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ind w:left="0" w:leftChars="0" w:firstLine="0" w:firstLineChars="0"/>
        <w:rPr>
          <w:rFonts w:hint="default"/>
          <w:lang w:val="en-US" w:eastAsia="zh-CN"/>
        </w:rPr>
      </w:pPr>
      <w:r>
        <w:rPr>
          <w:rFonts w:hint="default" w:ascii="Times New Roman" w:hAnsi="Times New Roman" w:eastAsia="方正仿宋_GBK" w:cs="Times New Roman"/>
          <w:sz w:val="32"/>
          <w:szCs w:val="32"/>
          <w:lang w:bidi="ar-SA"/>
        </w:rPr>
        <w:t xml:space="preserve">    </w:t>
      </w:r>
    </w:p>
    <w:p>
      <w:pPr>
        <w:spacing w:line="576" w:lineRule="exact"/>
        <w:ind w:firstLine="0"/>
        <w:jc w:val="center"/>
        <w:rPr>
          <w:rFonts w:hint="eastAsia" w:ascii="方正小标宋简体" w:eastAsia="方正小标宋简体" w:cs="方正小标宋简体"/>
          <w:b w:val="0"/>
          <w:bCs w:val="0"/>
          <w:sz w:val="44"/>
          <w:szCs w:val="44"/>
          <w:lang w:val="en-US" w:eastAsia="zh-CN" w:bidi="ar-SA"/>
        </w:rPr>
      </w:pPr>
      <w:r>
        <w:rPr>
          <w:rFonts w:hint="eastAsia" w:ascii="方正小标宋简体" w:eastAsia="方正小标宋简体" w:cs="方正小标宋简体"/>
          <w:b w:val="0"/>
          <w:bCs w:val="0"/>
          <w:sz w:val="44"/>
          <w:szCs w:val="44"/>
          <w:lang w:val="en-US" w:eastAsia="zh-CN" w:bidi="ar-SA"/>
        </w:rPr>
        <w:t>阿坝藏族羌族自治州</w:t>
      </w:r>
      <w:r>
        <w:rPr>
          <w:rFonts w:hint="eastAsia" w:ascii="方正小标宋简体" w:eastAsia="方正小标宋简体" w:cs="方正小标宋简体"/>
          <w:b w:val="0"/>
          <w:bCs w:val="0"/>
          <w:sz w:val="44"/>
          <w:szCs w:val="44"/>
          <w:lang w:val="en-US" w:eastAsia="zh-CN" w:bidi="ar-SA"/>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hint="eastAsia" w:ascii="方正小标宋简体" w:eastAsia="方正小标宋简体" w:cs="方正小标宋简体"/>
          <w:b w:val="0"/>
          <w:bCs w:val="0"/>
          <w:sz w:val="44"/>
          <w:szCs w:val="44"/>
          <w:lang w:val="en-US" w:eastAsia="zh-CN" w:bidi="ar-SA"/>
        </w:rPr>
        <w:instrText xml:space="preserve">ADDIN CNKISM.UserStyle</w:instrText>
      </w:r>
      <w:r>
        <w:rPr>
          <w:rFonts w:hint="eastAsia" w:ascii="方正小标宋简体" w:eastAsia="方正小标宋简体" w:cs="方正小标宋简体"/>
          <w:b w:val="0"/>
          <w:bCs w:val="0"/>
          <w:sz w:val="44"/>
          <w:szCs w:val="44"/>
          <w:lang w:val="en-US" w:eastAsia="zh-CN" w:bidi="ar-SA"/>
        </w:rPr>
        <w:fldChar w:fldCharType="end"/>
      </w:r>
      <w:r>
        <w:rPr>
          <w:rFonts w:hint="eastAsia" w:ascii="方正小标宋简体" w:eastAsia="方正小标宋简体" w:cs="方正小标宋简体"/>
          <w:b w:val="0"/>
          <w:bCs w:val="0"/>
          <w:sz w:val="44"/>
          <w:szCs w:val="44"/>
          <w:lang w:val="en-US" w:eastAsia="zh-CN" w:bidi="ar-SA"/>
        </w:rPr>
        <w:t>理县“十四五”</w:t>
      </w:r>
    </w:p>
    <w:p>
      <w:pPr>
        <w:spacing w:line="576" w:lineRule="exact"/>
        <w:ind w:firstLine="0"/>
        <w:jc w:val="center"/>
        <w:rPr>
          <w:rFonts w:hint="eastAsia" w:ascii="方正小标宋简体" w:eastAsia="方正小标宋简体" w:cs="方正小标宋简体"/>
          <w:b w:val="0"/>
          <w:bCs w:val="0"/>
          <w:sz w:val="44"/>
          <w:szCs w:val="44"/>
          <w:lang w:val="en-US" w:eastAsia="zh-CN" w:bidi="ar-SA"/>
        </w:rPr>
      </w:pPr>
      <w:r>
        <w:rPr>
          <w:rFonts w:hint="eastAsia" w:ascii="方正小标宋简体" w:eastAsia="方正小标宋简体" w:cs="方正小标宋简体"/>
          <w:b w:val="0"/>
          <w:bCs w:val="0"/>
          <w:sz w:val="44"/>
          <w:szCs w:val="44"/>
          <w:lang w:val="en-US" w:eastAsia="zh-CN" w:bidi="ar-SA"/>
        </w:rPr>
        <w:t>服务业发展规划（2021-2025）</w:t>
      </w:r>
    </w:p>
    <w:p>
      <w:pPr>
        <w:widowControl/>
        <w:jc w:val="center"/>
        <w:rPr>
          <w:rFonts w:ascii="仿宋" w:hAnsi="仿宋" w:eastAsia="仿宋"/>
          <w:sz w:val="44"/>
          <w:szCs w:val="44"/>
        </w:rPr>
      </w:pPr>
    </w:p>
    <w:p>
      <w:pPr>
        <w:widowControl/>
        <w:jc w:val="center"/>
        <w:rPr>
          <w:rFonts w:ascii="仿宋" w:hAnsi="仿宋" w:eastAsia="仿宋"/>
          <w:sz w:val="44"/>
          <w:szCs w:val="44"/>
        </w:rPr>
      </w:pPr>
    </w:p>
    <w:p>
      <w:pPr>
        <w:widowControl/>
        <w:jc w:val="center"/>
        <w:rPr>
          <w:rFonts w:ascii="仿宋" w:hAnsi="仿宋" w:eastAsia="仿宋"/>
          <w:sz w:val="44"/>
          <w:szCs w:val="44"/>
        </w:rPr>
      </w:pPr>
    </w:p>
    <w:p>
      <w:pPr>
        <w:widowControl/>
        <w:jc w:val="center"/>
        <w:rPr>
          <w:rFonts w:ascii="仿宋" w:hAnsi="仿宋" w:eastAsia="仿宋"/>
          <w:sz w:val="44"/>
          <w:szCs w:val="44"/>
        </w:rPr>
      </w:pPr>
    </w:p>
    <w:p>
      <w:pPr>
        <w:widowControl/>
        <w:jc w:val="center"/>
        <w:rPr>
          <w:rFonts w:ascii="仿宋" w:hAnsi="仿宋" w:eastAsia="仿宋"/>
          <w:sz w:val="44"/>
          <w:szCs w:val="44"/>
        </w:rPr>
      </w:pPr>
    </w:p>
    <w:p>
      <w:pPr>
        <w:widowControl/>
        <w:jc w:val="center"/>
        <w:rPr>
          <w:rFonts w:ascii="仿宋" w:hAnsi="仿宋" w:eastAsia="仿宋"/>
          <w:sz w:val="44"/>
          <w:szCs w:val="44"/>
        </w:rPr>
      </w:pPr>
    </w:p>
    <w:p>
      <w:pPr>
        <w:widowControl/>
        <w:jc w:val="center"/>
        <w:rPr>
          <w:rFonts w:ascii="仿宋" w:hAnsi="仿宋" w:eastAsia="仿宋"/>
          <w:sz w:val="44"/>
          <w:szCs w:val="44"/>
        </w:rPr>
      </w:pPr>
    </w:p>
    <w:p>
      <w:pPr>
        <w:widowControl/>
        <w:jc w:val="center"/>
        <w:rPr>
          <w:rFonts w:ascii="仿宋" w:hAnsi="仿宋" w:eastAsia="仿宋"/>
          <w:sz w:val="44"/>
          <w:szCs w:val="44"/>
        </w:rPr>
      </w:pPr>
    </w:p>
    <w:p>
      <w:pPr>
        <w:widowControl/>
        <w:jc w:val="center"/>
        <w:rPr>
          <w:rFonts w:ascii="仿宋" w:hAnsi="仿宋" w:eastAsia="仿宋"/>
          <w:sz w:val="44"/>
          <w:szCs w:val="44"/>
        </w:rPr>
      </w:pPr>
    </w:p>
    <w:p>
      <w:pPr>
        <w:widowControl/>
        <w:jc w:val="center"/>
        <w:rPr>
          <w:rFonts w:ascii="仿宋" w:hAnsi="仿宋" w:eastAsia="仿宋"/>
          <w:sz w:val="44"/>
          <w:szCs w:val="44"/>
        </w:rPr>
      </w:pPr>
    </w:p>
    <w:p>
      <w:pPr>
        <w:widowControl/>
        <w:jc w:val="center"/>
        <w:rPr>
          <w:rFonts w:ascii="仿宋" w:hAnsi="仿宋" w:eastAsia="仿宋"/>
          <w:sz w:val="44"/>
          <w:szCs w:val="44"/>
        </w:rPr>
      </w:pPr>
    </w:p>
    <w:p>
      <w:pPr>
        <w:pStyle w:val="2"/>
      </w:pPr>
    </w:p>
    <w:p/>
    <w:p>
      <w:pPr>
        <w:spacing w:line="576" w:lineRule="exact"/>
        <w:ind w:firstLine="0"/>
        <w:jc w:val="center"/>
        <w:rPr>
          <w:rFonts w:hint="eastAsia" w:ascii="方正小标宋简体" w:eastAsia="方正小标宋简体" w:cs="方正小标宋简体"/>
          <w:b w:val="0"/>
          <w:bCs w:val="0"/>
          <w:sz w:val="36"/>
          <w:szCs w:val="36"/>
          <w:lang w:val="en-US" w:eastAsia="zh-CN" w:bidi="ar-SA"/>
        </w:rPr>
      </w:pPr>
      <w:r>
        <w:rPr>
          <w:rFonts w:hint="eastAsia" w:ascii="方正小标宋简体" w:eastAsia="方正小标宋简体" w:cs="方正小标宋简体"/>
          <w:b w:val="0"/>
          <w:bCs w:val="0"/>
          <w:sz w:val="36"/>
          <w:szCs w:val="36"/>
          <w:lang w:val="en-US" w:eastAsia="zh-CN" w:bidi="ar-SA"/>
        </w:rPr>
        <w:t>阿坝藏族羌族自治州理县人民政府</w:t>
      </w:r>
    </w:p>
    <w:p>
      <w:pPr>
        <w:widowControl/>
        <w:jc w:val="both"/>
        <w:rPr>
          <w:rFonts w:ascii="仿宋" w:hAnsi="仿宋" w:eastAsia="仿宋"/>
          <w:b/>
          <w:bCs/>
          <w:sz w:val="44"/>
          <w:szCs w:val="44"/>
        </w:rPr>
        <w:sectPr>
          <w:pgSz w:w="11906" w:h="16838"/>
          <w:pgMar w:top="1440" w:right="1800" w:bottom="1440" w:left="1800" w:header="851" w:footer="992" w:gutter="0"/>
          <w:cols w:space="425" w:num="1"/>
          <w:docGrid w:type="lines" w:linePitch="312" w:charSpace="0"/>
        </w:sectPr>
      </w:pPr>
    </w:p>
    <w:p>
      <w:pPr>
        <w:widowControl/>
        <w:jc w:val="left"/>
        <w:rPr>
          <w:rFonts w:ascii="仿宋" w:hAnsi="仿宋" w:eastAsia="仿宋"/>
          <w:b/>
          <w:bCs/>
          <w:sz w:val="44"/>
          <w:szCs w:val="44"/>
        </w:rPr>
      </w:pPr>
      <w:bookmarkStart w:id="47" w:name="_GoBack"/>
      <w:bookmarkEnd w:id="47"/>
    </w:p>
    <w:sdt>
      <w:sdtPr>
        <w:rPr>
          <w:rFonts w:ascii="Calibri" w:hAnsi="Calibri" w:eastAsia="宋体" w:cs="Times New Roman"/>
          <w:b/>
          <w:bCs/>
          <w:color w:val="auto"/>
          <w:kern w:val="2"/>
          <w:sz w:val="21"/>
          <w:szCs w:val="21"/>
          <w:lang w:val="zh-CN"/>
        </w:rPr>
        <w:id w:val="1665583352"/>
        <w:docPartObj>
          <w:docPartGallery w:val="Table of Contents"/>
          <w:docPartUnique/>
        </w:docPartObj>
      </w:sdtPr>
      <w:sdtEndPr>
        <w:rPr>
          <w:rFonts w:ascii="Calibri" w:hAnsi="Calibri" w:eastAsia="宋体" w:cs="Times New Roman"/>
          <w:b w:val="0"/>
          <w:bCs w:val="0"/>
          <w:color w:val="auto"/>
          <w:kern w:val="2"/>
          <w:sz w:val="21"/>
          <w:szCs w:val="21"/>
          <w:lang w:val="zh-CN"/>
        </w:rPr>
      </w:sdtEndPr>
      <w:sdtContent>
        <w:p>
          <w:pPr>
            <w:pStyle w:val="21"/>
            <w:jc w:val="center"/>
            <w:rPr>
              <w:b/>
              <w:bCs/>
              <w:color w:val="auto"/>
              <w:sz w:val="44"/>
              <w:szCs w:val="44"/>
              <w:lang w:val="zh-CN"/>
            </w:rPr>
          </w:pPr>
          <w:r>
            <w:rPr>
              <w:b/>
              <w:bCs/>
              <w:color w:val="auto"/>
              <w:sz w:val="44"/>
              <w:szCs w:val="44"/>
              <w:lang w:val="zh-CN"/>
            </w:rPr>
            <w:t>目</w:t>
          </w:r>
          <w:r>
            <w:rPr>
              <w:rFonts w:hint="eastAsia"/>
              <w:b/>
              <w:bCs/>
              <w:color w:val="auto"/>
              <w:sz w:val="44"/>
              <w:szCs w:val="44"/>
              <w:lang w:val="zh-CN"/>
            </w:rPr>
            <w:t xml:space="preserve"> </w:t>
          </w:r>
          <w:r>
            <w:rPr>
              <w:b/>
              <w:bCs/>
              <w:color w:val="auto"/>
              <w:sz w:val="44"/>
              <w:szCs w:val="44"/>
              <w:lang w:val="zh-CN"/>
            </w:rPr>
            <w:t>录</w:t>
          </w:r>
        </w:p>
        <w:p>
          <w:pPr>
            <w:rPr>
              <w:lang w:val="zh-CN"/>
            </w:rPr>
          </w:pPr>
        </w:p>
        <w:p>
          <w:pPr>
            <w:pStyle w:val="15"/>
            <w:tabs>
              <w:tab w:val="right" w:leader="dot" w:pos="8296"/>
            </w:tabs>
            <w:spacing w:line="460" w:lineRule="exact"/>
            <w:rPr>
              <w:rFonts w:hint="eastAsia" w:ascii="宋体" w:hAnsi="宋体" w:eastAsia="宋体" w:cs="宋体"/>
              <w:b w:val="0"/>
              <w:bCs w:val="0"/>
              <w:sz w:val="28"/>
              <w:szCs w:val="28"/>
            </w:rPr>
          </w:pPr>
          <w:r>
            <w:fldChar w:fldCharType="begin"/>
          </w:r>
          <w:r>
            <w:instrText xml:space="preserve"> TOC \o "1-3" \h \z \u </w:instrText>
          </w:r>
          <w:r>
            <w:fldChar w:fldCharType="separate"/>
          </w: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"_Toc13417218" </w:instrText>
          </w:r>
          <w:r>
            <w:rPr>
              <w:rFonts w:hint="eastAsia" w:ascii="宋体" w:hAnsi="宋体" w:eastAsia="宋体" w:cs="宋体"/>
              <w:b w:val="0"/>
              <w:bCs w:val="0"/>
            </w:rPr>
            <w:fldChar w:fldCharType="separate"/>
          </w:r>
          <w:r>
            <w:rPr>
              <w:rStyle w:val="20"/>
              <w:rFonts w:hint="eastAsia" w:ascii="宋体" w:hAnsi="宋体" w:eastAsia="宋体" w:cs="宋体"/>
              <w:b w:val="0"/>
              <w:bCs w:val="0"/>
              <w:sz w:val="28"/>
              <w:szCs w:val="28"/>
            </w:rPr>
            <w:t>前  言</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_Toc13417218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4</w:t>
          </w:r>
          <w:r>
            <w:rPr>
              <w:rFonts w:hint="eastAsia" w:ascii="宋体" w:hAnsi="宋体" w:eastAsia="宋体" w:cs="宋体"/>
              <w:b w:val="0"/>
              <w:bCs w:val="0"/>
              <w:sz w:val="28"/>
              <w:szCs w:val="28"/>
            </w:rPr>
            <w:fldChar w:fldCharType="end"/>
          </w:r>
          <w:r>
            <w:rPr>
              <w:rFonts w:hint="eastAsia" w:ascii="宋体" w:hAnsi="宋体" w:eastAsia="宋体" w:cs="宋体"/>
              <w:b w:val="0"/>
              <w:bCs w:val="0"/>
              <w:sz w:val="28"/>
              <w:szCs w:val="28"/>
            </w:rPr>
            <w:fldChar w:fldCharType="end"/>
          </w:r>
        </w:p>
        <w:p>
          <w:pPr>
            <w:pStyle w:val="12"/>
            <w:tabs>
              <w:tab w:val="right" w:leader="dot" w:pos="8296"/>
            </w:tabs>
            <w:spacing w:line="460" w:lineRule="exact"/>
            <w:rPr>
              <w:rFonts w:hint="eastAsia" w:ascii="宋体" w:hAnsi="宋体" w:eastAsia="宋体" w:cs="宋体"/>
              <w:b w:val="0"/>
              <w:bCs w:val="0"/>
              <w:sz w:val="28"/>
              <w:szCs w:val="28"/>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"_Toc13417219" </w:instrText>
          </w:r>
          <w:r>
            <w:rPr>
              <w:rFonts w:hint="eastAsia" w:ascii="宋体" w:hAnsi="宋体" w:eastAsia="宋体" w:cs="宋体"/>
              <w:b w:val="0"/>
              <w:bCs w:val="0"/>
            </w:rPr>
            <w:fldChar w:fldCharType="separate"/>
          </w:r>
          <w:r>
            <w:rPr>
              <w:rStyle w:val="20"/>
              <w:rFonts w:hint="eastAsia" w:ascii="宋体" w:hAnsi="宋体" w:eastAsia="宋体" w:cs="宋体"/>
              <w:b w:val="0"/>
              <w:bCs w:val="0"/>
              <w:sz w:val="28"/>
              <w:szCs w:val="28"/>
            </w:rPr>
            <w:t>一、规划依据</w:t>
          </w:r>
          <w:r>
            <w:rPr>
              <w:rFonts w:hint="eastAsia" w:ascii="宋体" w:hAnsi="宋体" w:eastAsia="宋体" w:cs="宋体"/>
              <w:b w:val="0"/>
              <w:bCs w:val="0"/>
              <w:sz w:val="28"/>
              <w:szCs w:val="28"/>
            </w:rPr>
            <w:tab/>
          </w:r>
          <w:r>
            <w:rPr>
              <w:rFonts w:hint="eastAsia" w:ascii="宋体" w:hAnsi="宋体" w:eastAsia="宋体" w:cs="宋体"/>
              <w:b w:val="0"/>
              <w:bCs w:val="0"/>
              <w:sz w:val="28"/>
              <w:szCs w:val="28"/>
              <w:lang w:val="en-US" w:eastAsia="zh-CN"/>
            </w:rPr>
            <w:t>5</w:t>
          </w:r>
          <w:r>
            <w:rPr>
              <w:rFonts w:hint="eastAsia" w:ascii="宋体" w:hAnsi="宋体" w:eastAsia="宋体" w:cs="宋体"/>
              <w:b w:val="0"/>
              <w:bCs w:val="0"/>
              <w:sz w:val="28"/>
              <w:szCs w:val="28"/>
            </w:rPr>
            <w:fldChar w:fldCharType="end"/>
          </w:r>
        </w:p>
        <w:p>
          <w:pPr>
            <w:pStyle w:val="12"/>
            <w:tabs>
              <w:tab w:val="right" w:leader="dot" w:pos="8296"/>
            </w:tabs>
            <w:spacing w:line="460" w:lineRule="exact"/>
            <w:rPr>
              <w:rFonts w:hint="eastAsia" w:ascii="宋体" w:hAnsi="宋体" w:eastAsia="宋体" w:cs="宋体"/>
              <w:b w:val="0"/>
              <w:bCs w:val="0"/>
              <w:sz w:val="28"/>
              <w:szCs w:val="28"/>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"_Toc13417220" </w:instrText>
          </w:r>
          <w:r>
            <w:rPr>
              <w:rFonts w:hint="eastAsia" w:ascii="宋体" w:hAnsi="宋体" w:eastAsia="宋体" w:cs="宋体"/>
              <w:b w:val="0"/>
              <w:bCs w:val="0"/>
            </w:rPr>
            <w:fldChar w:fldCharType="separate"/>
          </w:r>
          <w:r>
            <w:rPr>
              <w:rStyle w:val="20"/>
              <w:rFonts w:hint="eastAsia" w:ascii="宋体" w:hAnsi="宋体" w:eastAsia="宋体" w:cs="宋体"/>
              <w:b w:val="0"/>
              <w:bCs w:val="0"/>
              <w:sz w:val="28"/>
              <w:szCs w:val="28"/>
            </w:rPr>
            <w:t>二、规划范围</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_Toc13417220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5</w:t>
          </w:r>
          <w:r>
            <w:rPr>
              <w:rFonts w:hint="eastAsia" w:ascii="宋体" w:hAnsi="宋体" w:eastAsia="宋体" w:cs="宋体"/>
              <w:b w:val="0"/>
              <w:bCs w:val="0"/>
              <w:sz w:val="28"/>
              <w:szCs w:val="28"/>
            </w:rPr>
            <w:fldChar w:fldCharType="end"/>
          </w:r>
          <w:r>
            <w:rPr>
              <w:rFonts w:hint="eastAsia" w:ascii="宋体" w:hAnsi="宋体" w:eastAsia="宋体" w:cs="宋体"/>
              <w:b w:val="0"/>
              <w:bCs w:val="0"/>
              <w:sz w:val="28"/>
              <w:szCs w:val="28"/>
            </w:rPr>
            <w:fldChar w:fldCharType="end"/>
          </w:r>
        </w:p>
        <w:p>
          <w:pPr>
            <w:pStyle w:val="12"/>
            <w:tabs>
              <w:tab w:val="right" w:leader="dot" w:pos="8296"/>
            </w:tabs>
            <w:spacing w:line="460" w:lineRule="exact"/>
            <w:rPr>
              <w:rFonts w:hint="eastAsia" w:ascii="宋体" w:hAnsi="宋体" w:eastAsia="宋体" w:cs="宋体"/>
              <w:b w:val="0"/>
              <w:bCs w:val="0"/>
              <w:sz w:val="28"/>
              <w:szCs w:val="28"/>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"_Toc13417221" </w:instrText>
          </w:r>
          <w:r>
            <w:rPr>
              <w:rFonts w:hint="eastAsia" w:ascii="宋体" w:hAnsi="宋体" w:eastAsia="宋体" w:cs="宋体"/>
              <w:b w:val="0"/>
              <w:bCs w:val="0"/>
            </w:rPr>
            <w:fldChar w:fldCharType="separate"/>
          </w:r>
          <w:r>
            <w:rPr>
              <w:rStyle w:val="20"/>
              <w:rFonts w:hint="eastAsia" w:ascii="宋体" w:hAnsi="宋体" w:eastAsia="宋体" w:cs="宋体"/>
              <w:b w:val="0"/>
              <w:bCs w:val="0"/>
              <w:sz w:val="28"/>
              <w:szCs w:val="28"/>
            </w:rPr>
            <w:t>三、规划期限</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_Toc13417221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5</w:t>
          </w:r>
          <w:r>
            <w:rPr>
              <w:rFonts w:hint="eastAsia" w:ascii="宋体" w:hAnsi="宋体" w:eastAsia="宋体" w:cs="宋体"/>
              <w:b w:val="0"/>
              <w:bCs w:val="0"/>
              <w:sz w:val="28"/>
              <w:szCs w:val="28"/>
            </w:rPr>
            <w:fldChar w:fldCharType="end"/>
          </w:r>
          <w:r>
            <w:rPr>
              <w:rFonts w:hint="eastAsia" w:ascii="宋体" w:hAnsi="宋体" w:eastAsia="宋体" w:cs="宋体"/>
              <w:b w:val="0"/>
              <w:bCs w:val="0"/>
              <w:sz w:val="28"/>
              <w:szCs w:val="28"/>
            </w:rPr>
            <w:fldChar w:fldCharType="end"/>
          </w:r>
        </w:p>
        <w:p>
          <w:pPr>
            <w:pStyle w:val="15"/>
            <w:tabs>
              <w:tab w:val="right" w:leader="dot" w:pos="8296"/>
            </w:tabs>
            <w:spacing w:before="240" w:line="460" w:lineRule="exact"/>
            <w:rPr>
              <w:rFonts w:hint="eastAsia" w:ascii="宋体" w:hAnsi="宋体" w:eastAsia="宋体" w:cs="宋体"/>
              <w:b w:val="0"/>
              <w:bCs w:val="0"/>
              <w:sz w:val="28"/>
              <w:szCs w:val="28"/>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"_Toc13417222" </w:instrText>
          </w:r>
          <w:r>
            <w:rPr>
              <w:rFonts w:hint="eastAsia" w:ascii="宋体" w:hAnsi="宋体" w:eastAsia="宋体" w:cs="宋体"/>
              <w:b w:val="0"/>
              <w:bCs w:val="0"/>
            </w:rPr>
            <w:fldChar w:fldCharType="separate"/>
          </w:r>
          <w:r>
            <w:rPr>
              <w:rStyle w:val="20"/>
              <w:rFonts w:hint="eastAsia" w:ascii="宋体" w:hAnsi="宋体" w:eastAsia="宋体" w:cs="宋体"/>
              <w:b w:val="0"/>
              <w:bCs w:val="0"/>
              <w:sz w:val="28"/>
              <w:szCs w:val="28"/>
            </w:rPr>
            <w:t>第一章 规划背景</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_Toc13417222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6</w:t>
          </w:r>
          <w:r>
            <w:rPr>
              <w:rFonts w:hint="eastAsia" w:ascii="宋体" w:hAnsi="宋体" w:eastAsia="宋体" w:cs="宋体"/>
              <w:b w:val="0"/>
              <w:bCs w:val="0"/>
              <w:sz w:val="28"/>
              <w:szCs w:val="28"/>
            </w:rPr>
            <w:fldChar w:fldCharType="end"/>
          </w:r>
          <w:r>
            <w:rPr>
              <w:rFonts w:hint="eastAsia" w:ascii="宋体" w:hAnsi="宋体" w:eastAsia="宋体" w:cs="宋体"/>
              <w:b w:val="0"/>
              <w:bCs w:val="0"/>
              <w:sz w:val="28"/>
              <w:szCs w:val="28"/>
            </w:rPr>
            <w:fldChar w:fldCharType="end"/>
          </w:r>
        </w:p>
        <w:p>
          <w:pPr>
            <w:pStyle w:val="16"/>
            <w:tabs>
              <w:tab w:val="right" w:leader="dot" w:pos="8296"/>
            </w:tabs>
            <w:spacing w:line="460" w:lineRule="exact"/>
            <w:rPr>
              <w:rFonts w:hint="eastAsia" w:ascii="宋体" w:hAnsi="宋体" w:eastAsia="宋体" w:cs="宋体"/>
              <w:b w:val="0"/>
              <w:bCs w:val="0"/>
              <w:sz w:val="28"/>
              <w:szCs w:val="28"/>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"_Toc13417223" </w:instrText>
          </w:r>
          <w:r>
            <w:rPr>
              <w:rFonts w:hint="eastAsia" w:ascii="宋体" w:hAnsi="宋体" w:eastAsia="宋体" w:cs="宋体"/>
              <w:b w:val="0"/>
              <w:bCs w:val="0"/>
            </w:rPr>
            <w:fldChar w:fldCharType="separate"/>
          </w:r>
          <w:r>
            <w:rPr>
              <w:rStyle w:val="20"/>
              <w:rFonts w:hint="eastAsia" w:ascii="宋体" w:hAnsi="宋体" w:eastAsia="宋体" w:cs="宋体"/>
              <w:b w:val="0"/>
              <w:bCs w:val="0"/>
              <w:sz w:val="28"/>
              <w:szCs w:val="28"/>
            </w:rPr>
            <w:t>第一节  发展现状</w:t>
          </w:r>
          <w:r>
            <w:rPr>
              <w:rFonts w:hint="eastAsia" w:ascii="宋体" w:hAnsi="宋体" w:eastAsia="宋体" w:cs="宋体"/>
              <w:b w:val="0"/>
              <w:bCs w:val="0"/>
              <w:sz w:val="28"/>
              <w:szCs w:val="28"/>
            </w:rPr>
            <w:tab/>
          </w:r>
          <w:r>
            <w:rPr>
              <w:rFonts w:hint="eastAsia" w:ascii="宋体" w:hAnsi="宋体" w:eastAsia="宋体" w:cs="宋体"/>
              <w:b w:val="0"/>
              <w:bCs w:val="0"/>
              <w:sz w:val="28"/>
              <w:szCs w:val="28"/>
              <w:lang w:val="en-US" w:eastAsia="zh-CN"/>
            </w:rPr>
            <w:t>7</w:t>
          </w:r>
          <w:r>
            <w:rPr>
              <w:rFonts w:hint="eastAsia" w:ascii="宋体" w:hAnsi="宋体" w:eastAsia="宋体" w:cs="宋体"/>
              <w:b w:val="0"/>
              <w:bCs w:val="0"/>
              <w:sz w:val="28"/>
              <w:szCs w:val="28"/>
            </w:rPr>
            <w:fldChar w:fldCharType="end"/>
          </w:r>
        </w:p>
        <w:p>
          <w:pPr>
            <w:pStyle w:val="16"/>
            <w:tabs>
              <w:tab w:val="right" w:leader="dot" w:pos="8296"/>
            </w:tabs>
            <w:spacing w:line="460" w:lineRule="exact"/>
            <w:rPr>
              <w:rFonts w:hint="eastAsia" w:ascii="宋体" w:hAnsi="宋体" w:eastAsia="宋体" w:cs="宋体"/>
              <w:b w:val="0"/>
              <w:bCs w:val="0"/>
              <w:sz w:val="28"/>
              <w:szCs w:val="28"/>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"_Toc13417224" </w:instrText>
          </w:r>
          <w:r>
            <w:rPr>
              <w:rFonts w:hint="eastAsia" w:ascii="宋体" w:hAnsi="宋体" w:eastAsia="宋体" w:cs="宋体"/>
              <w:b w:val="0"/>
              <w:bCs w:val="0"/>
            </w:rPr>
            <w:fldChar w:fldCharType="separate"/>
          </w:r>
          <w:r>
            <w:rPr>
              <w:rStyle w:val="20"/>
              <w:rFonts w:hint="eastAsia" w:ascii="宋体" w:hAnsi="宋体" w:eastAsia="宋体" w:cs="宋体"/>
              <w:b w:val="0"/>
              <w:bCs w:val="0"/>
              <w:sz w:val="28"/>
              <w:szCs w:val="28"/>
            </w:rPr>
            <w:t>第二节  新形势新要求</w:t>
          </w:r>
          <w:r>
            <w:rPr>
              <w:rFonts w:hint="eastAsia" w:ascii="宋体" w:hAnsi="宋体" w:eastAsia="宋体" w:cs="宋体"/>
              <w:b w:val="0"/>
              <w:bCs w:val="0"/>
              <w:sz w:val="28"/>
              <w:szCs w:val="28"/>
            </w:rPr>
            <w:tab/>
          </w:r>
          <w:r>
            <w:rPr>
              <w:rFonts w:hint="eastAsia" w:ascii="宋体" w:hAnsi="宋体" w:eastAsia="宋体" w:cs="宋体"/>
              <w:b w:val="0"/>
              <w:bCs w:val="0"/>
              <w:sz w:val="28"/>
              <w:szCs w:val="28"/>
              <w:lang w:val="en-US" w:eastAsia="zh-CN"/>
            </w:rPr>
            <w:t>8</w:t>
          </w:r>
          <w:r>
            <w:rPr>
              <w:rFonts w:hint="eastAsia" w:ascii="宋体" w:hAnsi="宋体" w:eastAsia="宋体" w:cs="宋体"/>
              <w:b w:val="0"/>
              <w:bCs w:val="0"/>
              <w:sz w:val="28"/>
              <w:szCs w:val="28"/>
            </w:rPr>
            <w:fldChar w:fldCharType="end"/>
          </w:r>
        </w:p>
        <w:p>
          <w:pPr>
            <w:pStyle w:val="15"/>
            <w:tabs>
              <w:tab w:val="right" w:leader="dot" w:pos="8296"/>
            </w:tabs>
            <w:spacing w:before="240" w:line="460" w:lineRule="exact"/>
            <w:rPr>
              <w:rFonts w:hint="eastAsia" w:ascii="宋体" w:hAnsi="宋体" w:eastAsia="宋体" w:cs="宋体"/>
              <w:b w:val="0"/>
              <w:bCs w:val="0"/>
              <w:sz w:val="28"/>
              <w:szCs w:val="28"/>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"_Toc13417225" </w:instrText>
          </w:r>
          <w:r>
            <w:rPr>
              <w:rFonts w:hint="eastAsia" w:ascii="宋体" w:hAnsi="宋体" w:eastAsia="宋体" w:cs="宋体"/>
              <w:b w:val="0"/>
              <w:bCs w:val="0"/>
            </w:rPr>
            <w:fldChar w:fldCharType="separate"/>
          </w:r>
          <w:r>
            <w:rPr>
              <w:rStyle w:val="20"/>
              <w:rFonts w:hint="eastAsia" w:ascii="宋体" w:hAnsi="宋体" w:eastAsia="宋体" w:cs="宋体"/>
              <w:b w:val="0"/>
              <w:bCs w:val="0"/>
              <w:sz w:val="28"/>
              <w:szCs w:val="28"/>
            </w:rPr>
            <w:t>第二章 总体思路</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_Toc13417225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9</w:t>
          </w:r>
          <w:r>
            <w:rPr>
              <w:rFonts w:hint="eastAsia" w:ascii="宋体" w:hAnsi="宋体" w:eastAsia="宋体" w:cs="宋体"/>
              <w:b w:val="0"/>
              <w:bCs w:val="0"/>
              <w:sz w:val="28"/>
              <w:szCs w:val="28"/>
            </w:rPr>
            <w:fldChar w:fldCharType="end"/>
          </w:r>
          <w:r>
            <w:rPr>
              <w:rFonts w:hint="eastAsia" w:ascii="宋体" w:hAnsi="宋体" w:eastAsia="宋体" w:cs="宋体"/>
              <w:b w:val="0"/>
              <w:bCs w:val="0"/>
              <w:sz w:val="28"/>
              <w:szCs w:val="28"/>
            </w:rPr>
            <w:fldChar w:fldCharType="end"/>
          </w:r>
        </w:p>
        <w:p>
          <w:pPr>
            <w:pStyle w:val="16"/>
            <w:tabs>
              <w:tab w:val="right" w:leader="dot" w:pos="8296"/>
            </w:tabs>
            <w:spacing w:line="460" w:lineRule="exact"/>
            <w:rPr>
              <w:rFonts w:hint="eastAsia" w:ascii="宋体" w:hAnsi="宋体" w:eastAsia="宋体" w:cs="宋体"/>
              <w:b w:val="0"/>
              <w:bCs w:val="0"/>
              <w:sz w:val="28"/>
              <w:szCs w:val="28"/>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"_Toc13417226" </w:instrText>
          </w:r>
          <w:r>
            <w:rPr>
              <w:rFonts w:hint="eastAsia" w:ascii="宋体" w:hAnsi="宋体" w:eastAsia="宋体" w:cs="宋体"/>
              <w:b w:val="0"/>
              <w:bCs w:val="0"/>
            </w:rPr>
            <w:fldChar w:fldCharType="separate"/>
          </w:r>
          <w:r>
            <w:rPr>
              <w:rStyle w:val="20"/>
              <w:rFonts w:hint="eastAsia" w:ascii="宋体" w:hAnsi="宋体" w:eastAsia="宋体" w:cs="宋体"/>
              <w:b w:val="0"/>
              <w:bCs w:val="0"/>
              <w:sz w:val="28"/>
              <w:szCs w:val="28"/>
            </w:rPr>
            <w:t>第一节 指导思想</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_Toc13417226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9</w:t>
          </w:r>
          <w:r>
            <w:rPr>
              <w:rFonts w:hint="eastAsia" w:ascii="宋体" w:hAnsi="宋体" w:eastAsia="宋体" w:cs="宋体"/>
              <w:b w:val="0"/>
              <w:bCs w:val="0"/>
              <w:sz w:val="28"/>
              <w:szCs w:val="28"/>
            </w:rPr>
            <w:fldChar w:fldCharType="end"/>
          </w:r>
          <w:r>
            <w:rPr>
              <w:rFonts w:hint="eastAsia" w:ascii="宋体" w:hAnsi="宋体" w:eastAsia="宋体" w:cs="宋体"/>
              <w:b w:val="0"/>
              <w:bCs w:val="0"/>
              <w:sz w:val="28"/>
              <w:szCs w:val="28"/>
            </w:rPr>
            <w:fldChar w:fldCharType="end"/>
          </w:r>
        </w:p>
        <w:p>
          <w:pPr>
            <w:pStyle w:val="16"/>
            <w:tabs>
              <w:tab w:val="right" w:leader="dot" w:pos="8296"/>
            </w:tabs>
            <w:spacing w:line="460" w:lineRule="exact"/>
            <w:rPr>
              <w:rFonts w:hint="eastAsia" w:ascii="宋体" w:hAnsi="宋体" w:eastAsia="宋体" w:cs="宋体"/>
              <w:b w:val="0"/>
              <w:bCs w:val="0"/>
              <w:sz w:val="28"/>
              <w:szCs w:val="28"/>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"_Toc13417227" </w:instrText>
          </w:r>
          <w:r>
            <w:rPr>
              <w:rFonts w:hint="eastAsia" w:ascii="宋体" w:hAnsi="宋体" w:eastAsia="宋体" w:cs="宋体"/>
              <w:b w:val="0"/>
              <w:bCs w:val="0"/>
            </w:rPr>
            <w:fldChar w:fldCharType="separate"/>
          </w:r>
          <w:r>
            <w:rPr>
              <w:rStyle w:val="20"/>
              <w:rFonts w:hint="eastAsia" w:ascii="宋体" w:hAnsi="宋体" w:eastAsia="宋体" w:cs="宋体"/>
              <w:b w:val="0"/>
              <w:bCs w:val="0"/>
              <w:sz w:val="28"/>
              <w:szCs w:val="28"/>
            </w:rPr>
            <w:t>第二节  规划原则</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_Toc13417227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10</w:t>
          </w:r>
          <w:r>
            <w:rPr>
              <w:rFonts w:hint="eastAsia" w:ascii="宋体" w:hAnsi="宋体" w:eastAsia="宋体" w:cs="宋体"/>
              <w:b w:val="0"/>
              <w:bCs w:val="0"/>
              <w:sz w:val="28"/>
              <w:szCs w:val="28"/>
            </w:rPr>
            <w:fldChar w:fldCharType="end"/>
          </w:r>
          <w:r>
            <w:rPr>
              <w:rFonts w:hint="eastAsia" w:ascii="宋体" w:hAnsi="宋体" w:eastAsia="宋体" w:cs="宋体"/>
              <w:b w:val="0"/>
              <w:bCs w:val="0"/>
              <w:sz w:val="28"/>
              <w:szCs w:val="28"/>
            </w:rPr>
            <w:fldChar w:fldCharType="end"/>
          </w:r>
        </w:p>
        <w:p>
          <w:pPr>
            <w:pStyle w:val="16"/>
            <w:tabs>
              <w:tab w:val="right" w:leader="dot" w:pos="8296"/>
            </w:tabs>
            <w:spacing w:line="460" w:lineRule="exact"/>
            <w:rPr>
              <w:rFonts w:hint="eastAsia" w:ascii="宋体" w:hAnsi="宋体" w:eastAsia="宋体" w:cs="宋体"/>
              <w:b w:val="0"/>
              <w:bCs w:val="0"/>
              <w:sz w:val="28"/>
              <w:szCs w:val="28"/>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"_Toc13417228" </w:instrText>
          </w:r>
          <w:r>
            <w:rPr>
              <w:rFonts w:hint="eastAsia" w:ascii="宋体" w:hAnsi="宋体" w:eastAsia="宋体" w:cs="宋体"/>
              <w:b w:val="0"/>
              <w:bCs w:val="0"/>
            </w:rPr>
            <w:fldChar w:fldCharType="separate"/>
          </w:r>
          <w:r>
            <w:rPr>
              <w:rStyle w:val="20"/>
              <w:rFonts w:hint="eastAsia" w:ascii="宋体" w:hAnsi="宋体" w:eastAsia="宋体" w:cs="宋体"/>
              <w:b w:val="0"/>
              <w:bCs w:val="0"/>
              <w:sz w:val="28"/>
              <w:szCs w:val="28"/>
            </w:rPr>
            <w:t>第三节  选定标准</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_Toc13417228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11</w:t>
          </w:r>
          <w:r>
            <w:rPr>
              <w:rFonts w:hint="eastAsia" w:ascii="宋体" w:hAnsi="宋体" w:eastAsia="宋体" w:cs="宋体"/>
              <w:b w:val="0"/>
              <w:bCs w:val="0"/>
              <w:sz w:val="28"/>
              <w:szCs w:val="28"/>
            </w:rPr>
            <w:fldChar w:fldCharType="end"/>
          </w:r>
          <w:r>
            <w:rPr>
              <w:rFonts w:hint="eastAsia" w:ascii="宋体" w:hAnsi="宋体" w:eastAsia="宋体" w:cs="宋体"/>
              <w:b w:val="0"/>
              <w:bCs w:val="0"/>
              <w:sz w:val="28"/>
              <w:szCs w:val="28"/>
            </w:rPr>
            <w:fldChar w:fldCharType="end"/>
          </w:r>
        </w:p>
        <w:p>
          <w:pPr>
            <w:pStyle w:val="16"/>
            <w:tabs>
              <w:tab w:val="right" w:leader="dot" w:pos="8296"/>
            </w:tabs>
            <w:spacing w:line="460" w:lineRule="exact"/>
            <w:rPr>
              <w:rFonts w:hint="eastAsia" w:ascii="宋体" w:hAnsi="宋体" w:eastAsia="宋体" w:cs="宋体"/>
              <w:b w:val="0"/>
              <w:bCs w:val="0"/>
              <w:sz w:val="28"/>
              <w:szCs w:val="28"/>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"_Toc13417229" </w:instrText>
          </w:r>
          <w:r>
            <w:rPr>
              <w:rFonts w:hint="eastAsia" w:ascii="宋体" w:hAnsi="宋体" w:eastAsia="宋体" w:cs="宋体"/>
              <w:b w:val="0"/>
              <w:bCs w:val="0"/>
            </w:rPr>
            <w:fldChar w:fldCharType="separate"/>
          </w:r>
          <w:r>
            <w:rPr>
              <w:rStyle w:val="20"/>
              <w:rFonts w:hint="eastAsia" w:ascii="宋体" w:hAnsi="宋体" w:eastAsia="宋体" w:cs="宋体"/>
              <w:b w:val="0"/>
              <w:bCs w:val="0"/>
              <w:sz w:val="28"/>
              <w:szCs w:val="28"/>
            </w:rPr>
            <w:t>第四节 规划目标</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_Toc13417229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11</w:t>
          </w:r>
          <w:r>
            <w:rPr>
              <w:rFonts w:hint="eastAsia" w:ascii="宋体" w:hAnsi="宋体" w:eastAsia="宋体" w:cs="宋体"/>
              <w:b w:val="0"/>
              <w:bCs w:val="0"/>
              <w:sz w:val="28"/>
              <w:szCs w:val="28"/>
            </w:rPr>
            <w:fldChar w:fldCharType="end"/>
          </w:r>
          <w:r>
            <w:rPr>
              <w:rFonts w:hint="eastAsia" w:ascii="宋体" w:hAnsi="宋体" w:eastAsia="宋体" w:cs="宋体"/>
              <w:b w:val="0"/>
              <w:bCs w:val="0"/>
              <w:sz w:val="28"/>
              <w:szCs w:val="28"/>
            </w:rPr>
            <w:fldChar w:fldCharType="end"/>
          </w:r>
        </w:p>
        <w:p>
          <w:pPr>
            <w:pStyle w:val="12"/>
            <w:tabs>
              <w:tab w:val="right" w:leader="dot" w:pos="8296"/>
            </w:tabs>
            <w:spacing w:line="460" w:lineRule="exact"/>
            <w:rPr>
              <w:rFonts w:hint="eastAsia" w:ascii="宋体" w:hAnsi="宋体" w:eastAsia="宋体" w:cs="宋体"/>
              <w:b w:val="0"/>
              <w:bCs w:val="0"/>
              <w:sz w:val="28"/>
              <w:szCs w:val="28"/>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"_Toc13417230" </w:instrText>
          </w:r>
          <w:r>
            <w:rPr>
              <w:rFonts w:hint="eastAsia" w:ascii="宋体" w:hAnsi="宋体" w:eastAsia="宋体" w:cs="宋体"/>
              <w:b w:val="0"/>
              <w:bCs w:val="0"/>
            </w:rPr>
            <w:fldChar w:fldCharType="separate"/>
          </w:r>
          <w:r>
            <w:rPr>
              <w:rStyle w:val="20"/>
              <w:rFonts w:hint="eastAsia" w:ascii="宋体" w:hAnsi="宋体" w:eastAsia="宋体" w:cs="宋体"/>
              <w:b w:val="0"/>
              <w:bCs w:val="0"/>
              <w:sz w:val="28"/>
              <w:szCs w:val="28"/>
            </w:rPr>
            <w:t>一、总体定位</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_Toc13417230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11</w:t>
          </w:r>
          <w:r>
            <w:rPr>
              <w:rFonts w:hint="eastAsia" w:ascii="宋体" w:hAnsi="宋体" w:eastAsia="宋体" w:cs="宋体"/>
              <w:b w:val="0"/>
              <w:bCs w:val="0"/>
              <w:sz w:val="28"/>
              <w:szCs w:val="28"/>
            </w:rPr>
            <w:fldChar w:fldCharType="end"/>
          </w:r>
          <w:r>
            <w:rPr>
              <w:rFonts w:hint="eastAsia" w:ascii="宋体" w:hAnsi="宋体" w:eastAsia="宋体" w:cs="宋体"/>
              <w:b w:val="0"/>
              <w:bCs w:val="0"/>
              <w:sz w:val="28"/>
              <w:szCs w:val="28"/>
            </w:rPr>
            <w:fldChar w:fldCharType="end"/>
          </w:r>
        </w:p>
        <w:p>
          <w:pPr>
            <w:pStyle w:val="12"/>
            <w:tabs>
              <w:tab w:val="right" w:leader="dot" w:pos="8296"/>
            </w:tabs>
            <w:spacing w:line="460" w:lineRule="exact"/>
            <w:rPr>
              <w:rFonts w:hint="eastAsia" w:ascii="宋体" w:hAnsi="宋体" w:eastAsia="宋体" w:cs="宋体"/>
              <w:b w:val="0"/>
              <w:bCs w:val="0"/>
              <w:sz w:val="28"/>
              <w:szCs w:val="28"/>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"_Toc13417231" </w:instrText>
          </w:r>
          <w:r>
            <w:rPr>
              <w:rFonts w:hint="eastAsia" w:ascii="宋体" w:hAnsi="宋体" w:eastAsia="宋体" w:cs="宋体"/>
              <w:b w:val="0"/>
              <w:bCs w:val="0"/>
            </w:rPr>
            <w:fldChar w:fldCharType="separate"/>
          </w:r>
          <w:r>
            <w:rPr>
              <w:rStyle w:val="20"/>
              <w:rFonts w:hint="eastAsia" w:ascii="宋体" w:hAnsi="宋体" w:eastAsia="宋体" w:cs="宋体"/>
              <w:b w:val="0"/>
              <w:bCs w:val="0"/>
              <w:sz w:val="28"/>
              <w:szCs w:val="28"/>
            </w:rPr>
            <w:t>二、发展目标</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_Toc13417231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12</w:t>
          </w:r>
          <w:r>
            <w:rPr>
              <w:rFonts w:hint="eastAsia" w:ascii="宋体" w:hAnsi="宋体" w:eastAsia="宋体" w:cs="宋体"/>
              <w:b w:val="0"/>
              <w:bCs w:val="0"/>
              <w:sz w:val="28"/>
              <w:szCs w:val="28"/>
            </w:rPr>
            <w:fldChar w:fldCharType="end"/>
          </w:r>
          <w:r>
            <w:rPr>
              <w:rFonts w:hint="eastAsia" w:ascii="宋体" w:hAnsi="宋体" w:eastAsia="宋体" w:cs="宋体"/>
              <w:b w:val="0"/>
              <w:bCs w:val="0"/>
              <w:sz w:val="28"/>
              <w:szCs w:val="28"/>
            </w:rPr>
            <w:fldChar w:fldCharType="end"/>
          </w:r>
        </w:p>
        <w:p>
          <w:pPr>
            <w:pStyle w:val="16"/>
            <w:tabs>
              <w:tab w:val="right" w:leader="dot" w:pos="8296"/>
            </w:tabs>
            <w:spacing w:line="460" w:lineRule="exact"/>
            <w:rPr>
              <w:rFonts w:hint="eastAsia" w:ascii="宋体" w:hAnsi="宋体" w:eastAsia="宋体" w:cs="宋体"/>
              <w:b w:val="0"/>
              <w:bCs w:val="0"/>
              <w:sz w:val="28"/>
              <w:szCs w:val="28"/>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"_Toc13417232" </w:instrText>
          </w:r>
          <w:r>
            <w:rPr>
              <w:rFonts w:hint="eastAsia" w:ascii="宋体" w:hAnsi="宋体" w:eastAsia="宋体" w:cs="宋体"/>
              <w:b w:val="0"/>
              <w:bCs w:val="0"/>
            </w:rPr>
            <w:fldChar w:fldCharType="separate"/>
          </w:r>
          <w:r>
            <w:rPr>
              <w:rStyle w:val="20"/>
              <w:rFonts w:hint="eastAsia" w:ascii="宋体" w:hAnsi="宋体" w:eastAsia="宋体" w:cs="宋体"/>
              <w:b w:val="0"/>
              <w:bCs w:val="0"/>
              <w:sz w:val="28"/>
              <w:szCs w:val="28"/>
            </w:rPr>
            <w:t>第五节 空间布局</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_Toc13417232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13</w:t>
          </w:r>
          <w:r>
            <w:rPr>
              <w:rFonts w:hint="eastAsia" w:ascii="宋体" w:hAnsi="宋体" w:eastAsia="宋体" w:cs="宋体"/>
              <w:b w:val="0"/>
              <w:bCs w:val="0"/>
              <w:sz w:val="28"/>
              <w:szCs w:val="28"/>
            </w:rPr>
            <w:fldChar w:fldCharType="end"/>
          </w:r>
          <w:r>
            <w:rPr>
              <w:rFonts w:hint="eastAsia" w:ascii="宋体" w:hAnsi="宋体" w:eastAsia="宋体" w:cs="宋体"/>
              <w:b w:val="0"/>
              <w:bCs w:val="0"/>
              <w:sz w:val="28"/>
              <w:szCs w:val="28"/>
            </w:rPr>
            <w:fldChar w:fldCharType="end"/>
          </w:r>
        </w:p>
        <w:p>
          <w:pPr>
            <w:pStyle w:val="15"/>
            <w:tabs>
              <w:tab w:val="right" w:leader="dot" w:pos="8296"/>
            </w:tabs>
            <w:spacing w:before="240" w:line="460" w:lineRule="exact"/>
            <w:rPr>
              <w:rFonts w:hint="eastAsia" w:ascii="宋体" w:hAnsi="宋体" w:eastAsia="宋体" w:cs="宋体"/>
              <w:b w:val="0"/>
              <w:bCs w:val="0"/>
              <w:sz w:val="28"/>
              <w:szCs w:val="28"/>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"_Toc13417233" </w:instrText>
          </w:r>
          <w:r>
            <w:rPr>
              <w:rFonts w:hint="eastAsia" w:ascii="宋体" w:hAnsi="宋体" w:eastAsia="宋体" w:cs="宋体"/>
              <w:b w:val="0"/>
              <w:bCs w:val="0"/>
            </w:rPr>
            <w:fldChar w:fldCharType="separate"/>
          </w:r>
          <w:r>
            <w:rPr>
              <w:rStyle w:val="20"/>
              <w:rFonts w:hint="eastAsia" w:ascii="宋体" w:hAnsi="宋体" w:eastAsia="宋体" w:cs="宋体"/>
              <w:b w:val="0"/>
              <w:bCs w:val="0"/>
              <w:sz w:val="28"/>
              <w:szCs w:val="28"/>
            </w:rPr>
            <w:t>第三章  发展指引</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_Toc13417233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15</w:t>
          </w:r>
          <w:r>
            <w:rPr>
              <w:rFonts w:hint="eastAsia" w:ascii="宋体" w:hAnsi="宋体" w:eastAsia="宋体" w:cs="宋体"/>
              <w:b w:val="0"/>
              <w:bCs w:val="0"/>
              <w:sz w:val="28"/>
              <w:szCs w:val="28"/>
            </w:rPr>
            <w:fldChar w:fldCharType="end"/>
          </w:r>
          <w:r>
            <w:rPr>
              <w:rFonts w:hint="eastAsia" w:ascii="宋体" w:hAnsi="宋体" w:eastAsia="宋体" w:cs="宋体"/>
              <w:b w:val="0"/>
              <w:bCs w:val="0"/>
              <w:sz w:val="28"/>
              <w:szCs w:val="28"/>
            </w:rPr>
            <w:fldChar w:fldCharType="end"/>
          </w:r>
        </w:p>
        <w:p>
          <w:pPr>
            <w:pStyle w:val="16"/>
            <w:tabs>
              <w:tab w:val="right" w:leader="dot" w:pos="8296"/>
            </w:tabs>
            <w:spacing w:line="460" w:lineRule="exact"/>
            <w:rPr>
              <w:rFonts w:hint="eastAsia" w:ascii="宋体" w:hAnsi="宋体" w:eastAsia="宋体" w:cs="宋体"/>
              <w:b w:val="0"/>
              <w:bCs w:val="0"/>
              <w:sz w:val="28"/>
              <w:szCs w:val="28"/>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"_Toc13417234" </w:instrText>
          </w:r>
          <w:r>
            <w:rPr>
              <w:rFonts w:hint="eastAsia" w:ascii="宋体" w:hAnsi="宋体" w:eastAsia="宋体" w:cs="宋体"/>
              <w:b w:val="0"/>
              <w:bCs w:val="0"/>
            </w:rPr>
            <w:fldChar w:fldCharType="separate"/>
          </w:r>
          <w:r>
            <w:rPr>
              <w:rStyle w:val="20"/>
              <w:rFonts w:hint="eastAsia" w:ascii="宋体" w:hAnsi="宋体" w:eastAsia="宋体" w:cs="宋体"/>
              <w:b w:val="0"/>
              <w:bCs w:val="0"/>
              <w:sz w:val="28"/>
              <w:szCs w:val="28"/>
            </w:rPr>
            <w:t>第一节　旅游文化休闲</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_Toc13417234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15</w:t>
          </w:r>
          <w:r>
            <w:rPr>
              <w:rFonts w:hint="eastAsia" w:ascii="宋体" w:hAnsi="宋体" w:eastAsia="宋体" w:cs="宋体"/>
              <w:b w:val="0"/>
              <w:bCs w:val="0"/>
              <w:sz w:val="28"/>
              <w:szCs w:val="28"/>
            </w:rPr>
            <w:fldChar w:fldCharType="end"/>
          </w:r>
          <w:r>
            <w:rPr>
              <w:rFonts w:hint="eastAsia" w:ascii="宋体" w:hAnsi="宋体" w:eastAsia="宋体" w:cs="宋体"/>
              <w:b w:val="0"/>
              <w:bCs w:val="0"/>
              <w:sz w:val="28"/>
              <w:szCs w:val="28"/>
            </w:rPr>
            <w:fldChar w:fldCharType="end"/>
          </w:r>
        </w:p>
        <w:p>
          <w:pPr>
            <w:pStyle w:val="12"/>
            <w:tabs>
              <w:tab w:val="right" w:leader="dot" w:pos="8296"/>
            </w:tabs>
            <w:spacing w:line="460" w:lineRule="exact"/>
            <w:rPr>
              <w:rFonts w:hint="eastAsia" w:ascii="宋体" w:hAnsi="宋体" w:eastAsia="宋体" w:cs="宋体"/>
              <w:b w:val="0"/>
              <w:bCs w:val="0"/>
              <w:sz w:val="28"/>
              <w:szCs w:val="28"/>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"_Toc13417235" </w:instrText>
          </w:r>
          <w:r>
            <w:rPr>
              <w:rFonts w:hint="eastAsia" w:ascii="宋体" w:hAnsi="宋体" w:eastAsia="宋体" w:cs="宋体"/>
              <w:b w:val="0"/>
              <w:bCs w:val="0"/>
            </w:rPr>
            <w:fldChar w:fldCharType="separate"/>
          </w:r>
          <w:r>
            <w:rPr>
              <w:rStyle w:val="20"/>
              <w:rFonts w:hint="eastAsia" w:ascii="宋体" w:hAnsi="宋体" w:eastAsia="宋体" w:cs="宋体"/>
              <w:b w:val="0"/>
              <w:bCs w:val="0"/>
              <w:sz w:val="28"/>
              <w:szCs w:val="28"/>
            </w:rPr>
            <w:t>一、空间指引</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_Toc13417235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15</w:t>
          </w:r>
          <w:r>
            <w:rPr>
              <w:rFonts w:hint="eastAsia" w:ascii="宋体" w:hAnsi="宋体" w:eastAsia="宋体" w:cs="宋体"/>
              <w:b w:val="0"/>
              <w:bCs w:val="0"/>
              <w:sz w:val="28"/>
              <w:szCs w:val="28"/>
            </w:rPr>
            <w:fldChar w:fldCharType="end"/>
          </w:r>
          <w:r>
            <w:rPr>
              <w:rFonts w:hint="eastAsia" w:ascii="宋体" w:hAnsi="宋体" w:eastAsia="宋体" w:cs="宋体"/>
              <w:b w:val="0"/>
              <w:bCs w:val="0"/>
              <w:sz w:val="28"/>
              <w:szCs w:val="28"/>
            </w:rPr>
            <w:fldChar w:fldCharType="end"/>
          </w:r>
        </w:p>
        <w:p>
          <w:pPr>
            <w:pStyle w:val="12"/>
            <w:tabs>
              <w:tab w:val="right" w:leader="dot" w:pos="8296"/>
            </w:tabs>
            <w:spacing w:line="460" w:lineRule="exact"/>
            <w:rPr>
              <w:rFonts w:hint="eastAsia" w:ascii="宋体" w:hAnsi="宋体" w:eastAsia="宋体" w:cs="宋体"/>
              <w:b w:val="0"/>
              <w:bCs w:val="0"/>
              <w:sz w:val="28"/>
              <w:szCs w:val="28"/>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"_Toc13417236" </w:instrText>
          </w:r>
          <w:r>
            <w:rPr>
              <w:rFonts w:hint="eastAsia" w:ascii="宋体" w:hAnsi="宋体" w:eastAsia="宋体" w:cs="宋体"/>
              <w:b w:val="0"/>
              <w:bCs w:val="0"/>
            </w:rPr>
            <w:fldChar w:fldCharType="separate"/>
          </w:r>
          <w:r>
            <w:rPr>
              <w:rStyle w:val="20"/>
              <w:rFonts w:hint="eastAsia" w:ascii="宋体" w:hAnsi="宋体" w:eastAsia="宋体" w:cs="宋体"/>
              <w:b w:val="0"/>
              <w:bCs w:val="0"/>
              <w:sz w:val="28"/>
              <w:szCs w:val="28"/>
            </w:rPr>
            <w:t>二、发展重点</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_Toc13417236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16</w:t>
          </w:r>
          <w:r>
            <w:rPr>
              <w:rFonts w:hint="eastAsia" w:ascii="宋体" w:hAnsi="宋体" w:eastAsia="宋体" w:cs="宋体"/>
              <w:b w:val="0"/>
              <w:bCs w:val="0"/>
              <w:sz w:val="28"/>
              <w:szCs w:val="28"/>
            </w:rPr>
            <w:fldChar w:fldCharType="end"/>
          </w:r>
          <w:r>
            <w:rPr>
              <w:rFonts w:hint="eastAsia" w:ascii="宋体" w:hAnsi="宋体" w:eastAsia="宋体" w:cs="宋体"/>
              <w:b w:val="0"/>
              <w:bCs w:val="0"/>
              <w:sz w:val="28"/>
              <w:szCs w:val="28"/>
            </w:rPr>
            <w:fldChar w:fldCharType="end"/>
          </w:r>
        </w:p>
        <w:p>
          <w:pPr>
            <w:pStyle w:val="16"/>
            <w:tabs>
              <w:tab w:val="right" w:leader="dot" w:pos="8296"/>
            </w:tabs>
            <w:spacing w:line="460" w:lineRule="exact"/>
            <w:rPr>
              <w:rFonts w:hint="eastAsia" w:ascii="宋体" w:hAnsi="宋体" w:eastAsia="宋体" w:cs="宋体"/>
              <w:b w:val="0"/>
              <w:bCs w:val="0"/>
              <w:sz w:val="28"/>
              <w:szCs w:val="28"/>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"_Toc13417237" </w:instrText>
          </w:r>
          <w:r>
            <w:rPr>
              <w:rFonts w:hint="eastAsia" w:ascii="宋体" w:hAnsi="宋体" w:eastAsia="宋体" w:cs="宋体"/>
              <w:b w:val="0"/>
              <w:bCs w:val="0"/>
            </w:rPr>
            <w:fldChar w:fldCharType="separate"/>
          </w:r>
          <w:r>
            <w:rPr>
              <w:rStyle w:val="20"/>
              <w:rFonts w:hint="eastAsia" w:ascii="宋体" w:hAnsi="宋体" w:eastAsia="宋体" w:cs="宋体"/>
              <w:b w:val="0"/>
              <w:bCs w:val="0"/>
              <w:sz w:val="28"/>
              <w:szCs w:val="28"/>
            </w:rPr>
            <w:t>第二节　健康养老</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_Toc13417237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19</w:t>
          </w:r>
          <w:r>
            <w:rPr>
              <w:rFonts w:hint="eastAsia" w:ascii="宋体" w:hAnsi="宋体" w:eastAsia="宋体" w:cs="宋体"/>
              <w:b w:val="0"/>
              <w:bCs w:val="0"/>
              <w:sz w:val="28"/>
              <w:szCs w:val="28"/>
            </w:rPr>
            <w:fldChar w:fldCharType="end"/>
          </w:r>
          <w:r>
            <w:rPr>
              <w:rFonts w:hint="eastAsia" w:ascii="宋体" w:hAnsi="宋体" w:eastAsia="宋体" w:cs="宋体"/>
              <w:b w:val="0"/>
              <w:bCs w:val="0"/>
              <w:sz w:val="28"/>
              <w:szCs w:val="28"/>
            </w:rPr>
            <w:fldChar w:fldCharType="end"/>
          </w:r>
        </w:p>
        <w:p>
          <w:pPr>
            <w:pStyle w:val="12"/>
            <w:tabs>
              <w:tab w:val="right" w:leader="dot" w:pos="8296"/>
            </w:tabs>
            <w:spacing w:line="460" w:lineRule="exact"/>
            <w:rPr>
              <w:rFonts w:hint="eastAsia" w:ascii="宋体" w:hAnsi="宋体" w:eastAsia="宋体" w:cs="宋体"/>
              <w:b w:val="0"/>
              <w:bCs w:val="0"/>
              <w:sz w:val="28"/>
              <w:szCs w:val="28"/>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"_Toc13417238" </w:instrText>
          </w:r>
          <w:r>
            <w:rPr>
              <w:rFonts w:hint="eastAsia" w:ascii="宋体" w:hAnsi="宋体" w:eastAsia="宋体" w:cs="宋体"/>
              <w:b w:val="0"/>
              <w:bCs w:val="0"/>
            </w:rPr>
            <w:fldChar w:fldCharType="separate"/>
          </w:r>
          <w:r>
            <w:rPr>
              <w:rStyle w:val="20"/>
              <w:rFonts w:hint="eastAsia" w:ascii="宋体" w:hAnsi="宋体" w:eastAsia="宋体" w:cs="宋体"/>
              <w:b w:val="0"/>
              <w:bCs w:val="0"/>
              <w:sz w:val="28"/>
              <w:szCs w:val="28"/>
            </w:rPr>
            <w:t>一、空间指引</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_Toc13417238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19</w:t>
          </w:r>
          <w:r>
            <w:rPr>
              <w:rFonts w:hint="eastAsia" w:ascii="宋体" w:hAnsi="宋体" w:eastAsia="宋体" w:cs="宋体"/>
              <w:b w:val="0"/>
              <w:bCs w:val="0"/>
              <w:sz w:val="28"/>
              <w:szCs w:val="28"/>
            </w:rPr>
            <w:fldChar w:fldCharType="end"/>
          </w:r>
          <w:r>
            <w:rPr>
              <w:rFonts w:hint="eastAsia" w:ascii="宋体" w:hAnsi="宋体" w:eastAsia="宋体" w:cs="宋体"/>
              <w:b w:val="0"/>
              <w:bCs w:val="0"/>
              <w:sz w:val="28"/>
              <w:szCs w:val="28"/>
            </w:rPr>
            <w:fldChar w:fldCharType="end"/>
          </w:r>
        </w:p>
        <w:p>
          <w:pPr>
            <w:pStyle w:val="12"/>
            <w:tabs>
              <w:tab w:val="right" w:leader="dot" w:pos="8296"/>
            </w:tabs>
            <w:spacing w:line="460" w:lineRule="exact"/>
            <w:rPr>
              <w:rFonts w:hint="eastAsia" w:ascii="宋体" w:hAnsi="宋体" w:eastAsia="宋体" w:cs="宋体"/>
              <w:b w:val="0"/>
              <w:bCs w:val="0"/>
              <w:sz w:val="28"/>
              <w:szCs w:val="28"/>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"_Toc13417239" </w:instrText>
          </w:r>
          <w:r>
            <w:rPr>
              <w:rFonts w:hint="eastAsia" w:ascii="宋体" w:hAnsi="宋体" w:eastAsia="宋体" w:cs="宋体"/>
              <w:b w:val="0"/>
              <w:bCs w:val="0"/>
            </w:rPr>
            <w:fldChar w:fldCharType="separate"/>
          </w:r>
          <w:r>
            <w:rPr>
              <w:rStyle w:val="20"/>
              <w:rFonts w:hint="eastAsia" w:ascii="宋体" w:hAnsi="宋体" w:eastAsia="宋体" w:cs="宋体"/>
              <w:b w:val="0"/>
              <w:bCs w:val="0"/>
              <w:sz w:val="28"/>
              <w:szCs w:val="28"/>
            </w:rPr>
            <w:t>二、发展重点</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_Toc13417239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19</w:t>
          </w:r>
          <w:r>
            <w:rPr>
              <w:rFonts w:hint="eastAsia" w:ascii="宋体" w:hAnsi="宋体" w:eastAsia="宋体" w:cs="宋体"/>
              <w:b w:val="0"/>
              <w:bCs w:val="0"/>
              <w:sz w:val="28"/>
              <w:szCs w:val="28"/>
            </w:rPr>
            <w:fldChar w:fldCharType="end"/>
          </w:r>
          <w:r>
            <w:rPr>
              <w:rFonts w:hint="eastAsia" w:ascii="宋体" w:hAnsi="宋体" w:eastAsia="宋体" w:cs="宋体"/>
              <w:b w:val="0"/>
              <w:bCs w:val="0"/>
              <w:sz w:val="28"/>
              <w:szCs w:val="28"/>
            </w:rPr>
            <w:fldChar w:fldCharType="end"/>
          </w:r>
        </w:p>
        <w:p>
          <w:pPr>
            <w:pStyle w:val="16"/>
            <w:tabs>
              <w:tab w:val="right" w:leader="dot" w:pos="8296"/>
            </w:tabs>
            <w:spacing w:line="460" w:lineRule="exact"/>
            <w:rPr>
              <w:rFonts w:hint="eastAsia" w:ascii="宋体" w:hAnsi="宋体" w:eastAsia="宋体" w:cs="宋体"/>
              <w:b w:val="0"/>
              <w:bCs w:val="0"/>
              <w:sz w:val="28"/>
              <w:szCs w:val="28"/>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"_Toc13417240" </w:instrText>
          </w:r>
          <w:r>
            <w:rPr>
              <w:rFonts w:hint="eastAsia" w:ascii="宋体" w:hAnsi="宋体" w:eastAsia="宋体" w:cs="宋体"/>
              <w:b w:val="0"/>
              <w:bCs w:val="0"/>
            </w:rPr>
            <w:fldChar w:fldCharType="separate"/>
          </w:r>
          <w:r>
            <w:rPr>
              <w:rStyle w:val="20"/>
              <w:rFonts w:hint="eastAsia" w:ascii="宋体" w:hAnsi="宋体" w:eastAsia="宋体" w:cs="宋体"/>
              <w:b w:val="0"/>
              <w:bCs w:val="0"/>
              <w:sz w:val="28"/>
              <w:szCs w:val="28"/>
            </w:rPr>
            <w:t>第三节　电子商务</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_Toc13417240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21</w:t>
          </w:r>
          <w:r>
            <w:rPr>
              <w:rFonts w:hint="eastAsia" w:ascii="宋体" w:hAnsi="宋体" w:eastAsia="宋体" w:cs="宋体"/>
              <w:b w:val="0"/>
              <w:bCs w:val="0"/>
              <w:sz w:val="28"/>
              <w:szCs w:val="28"/>
            </w:rPr>
            <w:fldChar w:fldCharType="end"/>
          </w:r>
          <w:r>
            <w:rPr>
              <w:rFonts w:hint="eastAsia" w:ascii="宋体" w:hAnsi="宋体" w:eastAsia="宋体" w:cs="宋体"/>
              <w:b w:val="0"/>
              <w:bCs w:val="0"/>
              <w:sz w:val="28"/>
              <w:szCs w:val="28"/>
            </w:rPr>
            <w:fldChar w:fldCharType="end"/>
          </w:r>
        </w:p>
        <w:p>
          <w:pPr>
            <w:pStyle w:val="12"/>
            <w:tabs>
              <w:tab w:val="right" w:leader="dot" w:pos="8296"/>
            </w:tabs>
            <w:spacing w:line="460" w:lineRule="exact"/>
            <w:rPr>
              <w:rFonts w:asciiTheme="minorEastAsia" w:hAnsiTheme="minorEastAsia" w:eastAsiaTheme="minorEastAsia"/>
              <w:sz w:val="28"/>
              <w:szCs w:val="28"/>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HYPERLINK \l "_Toc13417241" </w:instrText>
          </w:r>
          <w:r>
            <w:rPr>
              <w:rFonts w:hint="eastAsia" w:ascii="宋体" w:hAnsi="宋体" w:eastAsia="宋体" w:cs="宋体"/>
              <w:b w:val="0"/>
              <w:bCs w:val="0"/>
            </w:rPr>
            <w:fldChar w:fldCharType="separate"/>
          </w:r>
          <w:r>
            <w:rPr>
              <w:rStyle w:val="20"/>
              <w:rFonts w:hint="eastAsia" w:ascii="宋体" w:hAnsi="宋体" w:eastAsia="宋体" w:cs="宋体"/>
              <w:b w:val="0"/>
              <w:bCs w:val="0"/>
              <w:sz w:val="28"/>
              <w:szCs w:val="28"/>
            </w:rPr>
            <w:t>一、空间指引</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_Toc13417241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21</w:t>
          </w:r>
          <w:r>
            <w:rPr>
              <w:rFonts w:hint="eastAsia" w:ascii="宋体" w:hAnsi="宋体" w:eastAsia="宋体" w:cs="宋体"/>
              <w:b w:val="0"/>
              <w:bCs w:val="0"/>
              <w:sz w:val="28"/>
              <w:szCs w:val="28"/>
            </w:rPr>
            <w:fldChar w:fldCharType="end"/>
          </w:r>
          <w:r>
            <w:rPr>
              <w:rFonts w:hint="eastAsia" w:ascii="宋体" w:hAnsi="宋体" w:eastAsia="宋体" w:cs="宋体"/>
              <w:b w:val="0"/>
              <w:bCs w:val="0"/>
              <w:sz w:val="28"/>
              <w:szCs w:val="28"/>
            </w:rPr>
            <w:fldChar w:fldCharType="end"/>
          </w:r>
        </w:p>
        <w:p>
          <w:pPr>
            <w:pStyle w:val="12"/>
            <w:tabs>
              <w:tab w:val="right" w:leader="dot" w:pos="8296"/>
            </w:tabs>
            <w:spacing w:line="460" w:lineRule="exact"/>
            <w:rPr>
              <w:rFonts w:asciiTheme="minorEastAsia" w:hAnsiTheme="minorEastAsia" w:eastAsiaTheme="minorEastAsia"/>
              <w:sz w:val="28"/>
              <w:szCs w:val="28"/>
            </w:rPr>
          </w:pPr>
          <w:r>
            <w:fldChar w:fldCharType="begin"/>
          </w:r>
          <w:r>
            <w:instrText xml:space="preserve"> HYPERLINK \l "_Toc13417242" </w:instrText>
          </w:r>
          <w:r>
            <w:fldChar w:fldCharType="separate"/>
          </w:r>
          <w:r>
            <w:rPr>
              <w:rStyle w:val="20"/>
              <w:rFonts w:hint="eastAsia" w:asciiTheme="minorEastAsia" w:hAnsiTheme="minorEastAsia" w:eastAsiaTheme="minorEastAsia"/>
              <w:sz w:val="28"/>
              <w:szCs w:val="28"/>
            </w:rPr>
            <w:t>二、发展重点</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_Toc13417242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22</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16"/>
            <w:tabs>
              <w:tab w:val="right" w:leader="dot" w:pos="8296"/>
            </w:tabs>
            <w:spacing w:line="460" w:lineRule="exact"/>
            <w:rPr>
              <w:rFonts w:asciiTheme="minorEastAsia" w:hAnsiTheme="minorEastAsia" w:eastAsiaTheme="minorEastAsia"/>
              <w:sz w:val="28"/>
              <w:szCs w:val="28"/>
            </w:rPr>
          </w:pPr>
          <w:r>
            <w:fldChar w:fldCharType="begin"/>
          </w:r>
          <w:r>
            <w:instrText xml:space="preserve"> HYPERLINK \l "_Toc13417243" </w:instrText>
          </w:r>
          <w:r>
            <w:fldChar w:fldCharType="separate"/>
          </w:r>
          <w:r>
            <w:rPr>
              <w:rStyle w:val="20"/>
              <w:rFonts w:hint="eastAsia" w:asciiTheme="minorEastAsia" w:hAnsiTheme="minorEastAsia" w:eastAsiaTheme="minorEastAsia"/>
              <w:sz w:val="28"/>
              <w:szCs w:val="28"/>
            </w:rPr>
            <w:t>第四节　现代物流</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_Toc13417243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24</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12"/>
            <w:tabs>
              <w:tab w:val="right" w:leader="dot" w:pos="8296"/>
            </w:tabs>
            <w:spacing w:line="460" w:lineRule="exact"/>
            <w:rPr>
              <w:rFonts w:asciiTheme="minorEastAsia" w:hAnsiTheme="minorEastAsia" w:eastAsiaTheme="minorEastAsia"/>
              <w:sz w:val="28"/>
              <w:szCs w:val="28"/>
            </w:rPr>
          </w:pPr>
          <w:r>
            <w:fldChar w:fldCharType="begin"/>
          </w:r>
          <w:r>
            <w:instrText xml:space="preserve"> HYPERLINK \l "_Toc13417244" </w:instrText>
          </w:r>
          <w:r>
            <w:fldChar w:fldCharType="separate"/>
          </w:r>
          <w:r>
            <w:rPr>
              <w:rStyle w:val="20"/>
              <w:rFonts w:hint="eastAsia" w:asciiTheme="minorEastAsia" w:hAnsiTheme="minorEastAsia" w:eastAsiaTheme="minorEastAsia"/>
              <w:sz w:val="28"/>
              <w:szCs w:val="28"/>
            </w:rPr>
            <w:t>一、空间指引</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_Toc13417244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24</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12"/>
            <w:tabs>
              <w:tab w:val="right" w:leader="dot" w:pos="8296"/>
            </w:tabs>
            <w:spacing w:line="460" w:lineRule="exact"/>
            <w:rPr>
              <w:rFonts w:asciiTheme="minorEastAsia" w:hAnsiTheme="minorEastAsia" w:eastAsiaTheme="minorEastAsia"/>
              <w:sz w:val="28"/>
              <w:szCs w:val="28"/>
            </w:rPr>
          </w:pPr>
          <w:r>
            <w:fldChar w:fldCharType="begin"/>
          </w:r>
          <w:r>
            <w:instrText xml:space="preserve"> HYPERLINK \l "_Toc13417245" </w:instrText>
          </w:r>
          <w:r>
            <w:fldChar w:fldCharType="separate"/>
          </w:r>
          <w:r>
            <w:rPr>
              <w:rStyle w:val="20"/>
              <w:rFonts w:hint="eastAsia" w:asciiTheme="minorEastAsia" w:hAnsiTheme="minorEastAsia" w:eastAsiaTheme="minorEastAsia"/>
              <w:sz w:val="28"/>
              <w:szCs w:val="28"/>
            </w:rPr>
            <w:t>二、发展重点</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_Toc13417245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25</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16"/>
            <w:tabs>
              <w:tab w:val="right" w:leader="dot" w:pos="8296"/>
            </w:tabs>
            <w:spacing w:line="460" w:lineRule="exact"/>
            <w:rPr>
              <w:rFonts w:asciiTheme="minorEastAsia" w:hAnsiTheme="minorEastAsia" w:eastAsiaTheme="minorEastAsia"/>
              <w:sz w:val="28"/>
              <w:szCs w:val="28"/>
            </w:rPr>
          </w:pPr>
          <w:r>
            <w:fldChar w:fldCharType="begin"/>
          </w:r>
          <w:r>
            <w:instrText xml:space="preserve"> HYPERLINK \l "_Toc13417246" </w:instrText>
          </w:r>
          <w:r>
            <w:fldChar w:fldCharType="separate"/>
          </w:r>
          <w:r>
            <w:rPr>
              <w:rStyle w:val="20"/>
              <w:rFonts w:hint="eastAsia" w:asciiTheme="minorEastAsia" w:hAnsiTheme="minorEastAsia" w:eastAsiaTheme="minorEastAsia"/>
              <w:sz w:val="28"/>
              <w:szCs w:val="28"/>
            </w:rPr>
            <w:t>第五节　特色商贸</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_Toc13417246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28</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12"/>
            <w:tabs>
              <w:tab w:val="right" w:leader="dot" w:pos="8296"/>
            </w:tabs>
            <w:spacing w:line="460" w:lineRule="exact"/>
            <w:rPr>
              <w:rFonts w:asciiTheme="minorEastAsia" w:hAnsiTheme="minorEastAsia" w:eastAsiaTheme="minorEastAsia"/>
              <w:sz w:val="28"/>
              <w:szCs w:val="28"/>
            </w:rPr>
          </w:pPr>
          <w:r>
            <w:fldChar w:fldCharType="begin"/>
          </w:r>
          <w:r>
            <w:instrText xml:space="preserve"> HYPERLINK \l "_Toc13417247" </w:instrText>
          </w:r>
          <w:r>
            <w:fldChar w:fldCharType="separate"/>
          </w:r>
          <w:r>
            <w:rPr>
              <w:rStyle w:val="20"/>
              <w:rFonts w:hint="eastAsia" w:asciiTheme="minorEastAsia" w:hAnsiTheme="minorEastAsia" w:eastAsiaTheme="minorEastAsia"/>
              <w:sz w:val="28"/>
              <w:szCs w:val="28"/>
            </w:rPr>
            <w:t>一、空间指引</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_Toc13417247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28</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12"/>
            <w:tabs>
              <w:tab w:val="right" w:leader="dot" w:pos="8296"/>
            </w:tabs>
            <w:spacing w:line="460" w:lineRule="exact"/>
            <w:rPr>
              <w:rFonts w:asciiTheme="minorEastAsia" w:hAnsiTheme="minorEastAsia" w:eastAsiaTheme="minorEastAsia"/>
              <w:sz w:val="28"/>
              <w:szCs w:val="28"/>
            </w:rPr>
          </w:pPr>
          <w:r>
            <w:fldChar w:fldCharType="begin"/>
          </w:r>
          <w:r>
            <w:instrText xml:space="preserve"> HYPERLINK \l "_Toc13417248" </w:instrText>
          </w:r>
          <w:r>
            <w:fldChar w:fldCharType="separate"/>
          </w:r>
          <w:r>
            <w:rPr>
              <w:rStyle w:val="20"/>
              <w:rFonts w:hint="eastAsia" w:asciiTheme="minorEastAsia" w:hAnsiTheme="minorEastAsia" w:eastAsiaTheme="minorEastAsia"/>
              <w:sz w:val="28"/>
              <w:szCs w:val="28"/>
            </w:rPr>
            <w:t>二、发展重点</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_Toc13417248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29</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16"/>
            <w:tabs>
              <w:tab w:val="right" w:leader="dot" w:pos="8296"/>
            </w:tabs>
            <w:spacing w:before="240" w:line="460" w:lineRule="exact"/>
            <w:ind w:left="0" w:leftChars="0"/>
            <w:rPr>
              <w:rFonts w:asciiTheme="minorEastAsia" w:hAnsiTheme="minorEastAsia" w:eastAsiaTheme="minorEastAsia"/>
              <w:sz w:val="28"/>
              <w:szCs w:val="28"/>
            </w:rPr>
          </w:pPr>
          <w:r>
            <w:fldChar w:fldCharType="begin"/>
          </w:r>
          <w:r>
            <w:instrText xml:space="preserve"> HYPERLINK \l "_Toc13417249" </w:instrText>
          </w:r>
          <w:r>
            <w:fldChar w:fldCharType="separate"/>
          </w:r>
          <w:r>
            <w:rPr>
              <w:rStyle w:val="20"/>
              <w:rFonts w:hint="eastAsia" w:asciiTheme="minorEastAsia" w:hAnsiTheme="minorEastAsia" w:eastAsiaTheme="minorEastAsia"/>
              <w:b/>
              <w:kern w:val="44"/>
              <w:sz w:val="28"/>
              <w:szCs w:val="28"/>
            </w:rPr>
            <w:t>第四章</w:t>
          </w:r>
          <w:r>
            <w:rPr>
              <w:rStyle w:val="20"/>
              <w:rFonts w:asciiTheme="minorEastAsia" w:hAnsiTheme="minorEastAsia" w:eastAsiaTheme="minorEastAsia"/>
              <w:b/>
              <w:kern w:val="44"/>
              <w:sz w:val="28"/>
              <w:szCs w:val="28"/>
            </w:rPr>
            <w:t xml:space="preserve">  </w:t>
          </w:r>
          <w:r>
            <w:rPr>
              <w:rStyle w:val="20"/>
              <w:rFonts w:hint="eastAsia" w:asciiTheme="minorEastAsia" w:hAnsiTheme="minorEastAsia" w:eastAsiaTheme="minorEastAsia"/>
              <w:b/>
              <w:kern w:val="44"/>
              <w:sz w:val="28"/>
              <w:szCs w:val="28"/>
            </w:rPr>
            <w:t>重点工程</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_Toc13417249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32</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16"/>
            <w:tabs>
              <w:tab w:val="right" w:leader="dot" w:pos="8296"/>
            </w:tabs>
            <w:spacing w:line="460" w:lineRule="exact"/>
            <w:rPr>
              <w:rFonts w:asciiTheme="minorEastAsia" w:hAnsiTheme="minorEastAsia" w:eastAsiaTheme="minorEastAsia"/>
              <w:sz w:val="28"/>
              <w:szCs w:val="28"/>
            </w:rPr>
          </w:pPr>
          <w:r>
            <w:fldChar w:fldCharType="begin"/>
          </w:r>
          <w:r>
            <w:instrText xml:space="preserve"> HYPERLINK \l "_Toc13417250" </w:instrText>
          </w:r>
          <w:r>
            <w:fldChar w:fldCharType="separate"/>
          </w:r>
          <w:r>
            <w:rPr>
              <w:rStyle w:val="20"/>
              <w:rFonts w:hint="eastAsia" w:asciiTheme="minorEastAsia" w:hAnsiTheme="minorEastAsia" w:eastAsiaTheme="minorEastAsia"/>
              <w:sz w:val="28"/>
              <w:szCs w:val="28"/>
            </w:rPr>
            <w:t>第一节　规划体系引领工程</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_Toc13417250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32</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16"/>
            <w:tabs>
              <w:tab w:val="right" w:leader="dot" w:pos="8296"/>
            </w:tabs>
            <w:spacing w:line="460" w:lineRule="exact"/>
            <w:rPr>
              <w:rFonts w:asciiTheme="minorEastAsia" w:hAnsiTheme="minorEastAsia" w:eastAsiaTheme="minorEastAsia"/>
              <w:sz w:val="28"/>
              <w:szCs w:val="28"/>
            </w:rPr>
          </w:pPr>
          <w:r>
            <w:fldChar w:fldCharType="begin"/>
          </w:r>
          <w:r>
            <w:instrText xml:space="preserve"> HYPERLINK \l "_Toc13417251" </w:instrText>
          </w:r>
          <w:r>
            <w:fldChar w:fldCharType="separate"/>
          </w:r>
          <w:r>
            <w:rPr>
              <w:rStyle w:val="20"/>
              <w:rFonts w:hint="eastAsia" w:asciiTheme="minorEastAsia" w:hAnsiTheme="minorEastAsia" w:eastAsiaTheme="minorEastAsia"/>
              <w:sz w:val="28"/>
              <w:szCs w:val="28"/>
            </w:rPr>
            <w:t>第二节　公共平台升级工程</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_Toc13417251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33</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16"/>
            <w:tabs>
              <w:tab w:val="right" w:leader="dot" w:pos="8296"/>
            </w:tabs>
            <w:spacing w:line="460" w:lineRule="exact"/>
            <w:rPr>
              <w:rFonts w:asciiTheme="minorEastAsia" w:hAnsiTheme="minorEastAsia" w:eastAsiaTheme="minorEastAsia"/>
              <w:sz w:val="28"/>
              <w:szCs w:val="28"/>
            </w:rPr>
          </w:pPr>
          <w:r>
            <w:fldChar w:fldCharType="begin"/>
          </w:r>
          <w:r>
            <w:instrText xml:space="preserve"> HYPERLINK \l "_Toc13417252" </w:instrText>
          </w:r>
          <w:r>
            <w:fldChar w:fldCharType="separate"/>
          </w:r>
          <w:r>
            <w:rPr>
              <w:rStyle w:val="20"/>
              <w:rFonts w:hint="eastAsia" w:asciiTheme="minorEastAsia" w:hAnsiTheme="minorEastAsia" w:eastAsiaTheme="minorEastAsia"/>
              <w:sz w:val="28"/>
              <w:szCs w:val="28"/>
            </w:rPr>
            <w:t>第三节　市场主体壮大工程</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_Toc13417252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33</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16"/>
            <w:tabs>
              <w:tab w:val="right" w:leader="dot" w:pos="8296"/>
            </w:tabs>
            <w:spacing w:line="460" w:lineRule="exact"/>
            <w:rPr>
              <w:rFonts w:asciiTheme="minorEastAsia" w:hAnsiTheme="minorEastAsia" w:eastAsiaTheme="minorEastAsia"/>
              <w:sz w:val="28"/>
              <w:szCs w:val="28"/>
            </w:rPr>
          </w:pPr>
          <w:r>
            <w:fldChar w:fldCharType="begin"/>
          </w:r>
          <w:r>
            <w:instrText xml:space="preserve"> HYPERLINK \l "_Toc13417253" </w:instrText>
          </w:r>
          <w:r>
            <w:fldChar w:fldCharType="separate"/>
          </w:r>
          <w:r>
            <w:rPr>
              <w:rStyle w:val="20"/>
              <w:rFonts w:hint="eastAsia" w:asciiTheme="minorEastAsia" w:hAnsiTheme="minorEastAsia" w:eastAsiaTheme="minorEastAsia"/>
              <w:sz w:val="28"/>
              <w:szCs w:val="28"/>
            </w:rPr>
            <w:t>第四节　重点项目推进工程</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_Toc13417253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34</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16"/>
            <w:tabs>
              <w:tab w:val="right" w:leader="dot" w:pos="8296"/>
            </w:tabs>
            <w:spacing w:line="460" w:lineRule="exact"/>
            <w:rPr>
              <w:rFonts w:asciiTheme="minorEastAsia" w:hAnsiTheme="minorEastAsia" w:eastAsiaTheme="minorEastAsia"/>
              <w:sz w:val="28"/>
              <w:szCs w:val="28"/>
            </w:rPr>
          </w:pPr>
          <w:r>
            <w:fldChar w:fldCharType="begin"/>
          </w:r>
          <w:r>
            <w:instrText xml:space="preserve"> HYPERLINK \l "_Toc13417254" </w:instrText>
          </w:r>
          <w:r>
            <w:fldChar w:fldCharType="separate"/>
          </w:r>
          <w:r>
            <w:rPr>
              <w:rStyle w:val="20"/>
              <w:rFonts w:hint="eastAsia" w:asciiTheme="minorEastAsia" w:hAnsiTheme="minorEastAsia" w:eastAsiaTheme="minorEastAsia"/>
              <w:sz w:val="28"/>
              <w:szCs w:val="28"/>
            </w:rPr>
            <w:t>第五节　体制机制创新工程</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_Toc13417254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35</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15"/>
            <w:tabs>
              <w:tab w:val="right" w:leader="dot" w:pos="8296"/>
            </w:tabs>
            <w:spacing w:before="240" w:line="460" w:lineRule="exact"/>
            <w:rPr>
              <w:rFonts w:asciiTheme="minorEastAsia" w:hAnsiTheme="minorEastAsia" w:eastAsiaTheme="minorEastAsia"/>
              <w:sz w:val="28"/>
              <w:szCs w:val="28"/>
            </w:rPr>
          </w:pPr>
          <w:r>
            <w:fldChar w:fldCharType="begin"/>
          </w:r>
          <w:r>
            <w:instrText xml:space="preserve"> HYPERLINK \l "_Toc13417255" </w:instrText>
          </w:r>
          <w:r>
            <w:fldChar w:fldCharType="separate"/>
          </w:r>
          <w:r>
            <w:rPr>
              <w:rStyle w:val="20"/>
              <w:rFonts w:hint="eastAsia" w:asciiTheme="minorEastAsia" w:hAnsiTheme="minorEastAsia" w:eastAsiaTheme="minorEastAsia"/>
              <w:b/>
              <w:sz w:val="28"/>
              <w:szCs w:val="28"/>
            </w:rPr>
            <w:t>第五章</w:t>
          </w:r>
          <w:r>
            <w:rPr>
              <w:rStyle w:val="20"/>
              <w:rFonts w:asciiTheme="minorEastAsia" w:hAnsiTheme="minorEastAsia" w:eastAsiaTheme="minorEastAsia"/>
              <w:b/>
              <w:sz w:val="28"/>
              <w:szCs w:val="28"/>
            </w:rPr>
            <w:t xml:space="preserve">  </w:t>
          </w:r>
          <w:r>
            <w:rPr>
              <w:rStyle w:val="20"/>
              <w:rFonts w:hint="eastAsia" w:asciiTheme="minorEastAsia" w:hAnsiTheme="minorEastAsia" w:eastAsiaTheme="minorEastAsia"/>
              <w:b/>
              <w:sz w:val="28"/>
              <w:szCs w:val="28"/>
            </w:rPr>
            <w:t>政策体系</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_Toc13417255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37</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16"/>
            <w:tabs>
              <w:tab w:val="right" w:leader="dot" w:pos="8296"/>
            </w:tabs>
            <w:spacing w:line="460" w:lineRule="exact"/>
            <w:rPr>
              <w:rFonts w:asciiTheme="minorEastAsia" w:hAnsiTheme="minorEastAsia" w:eastAsiaTheme="minorEastAsia"/>
              <w:sz w:val="28"/>
              <w:szCs w:val="28"/>
            </w:rPr>
          </w:pPr>
          <w:r>
            <w:fldChar w:fldCharType="begin"/>
          </w:r>
          <w:r>
            <w:instrText xml:space="preserve"> HYPERLINK \l "_Toc13417256" </w:instrText>
          </w:r>
          <w:r>
            <w:fldChar w:fldCharType="separate"/>
          </w:r>
          <w:r>
            <w:rPr>
              <w:rStyle w:val="20"/>
              <w:rFonts w:hint="eastAsia" w:asciiTheme="minorEastAsia" w:hAnsiTheme="minorEastAsia" w:eastAsiaTheme="minorEastAsia"/>
              <w:sz w:val="28"/>
              <w:szCs w:val="28"/>
            </w:rPr>
            <w:t>第一节　财政政策</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_Toc13417256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37</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16"/>
            <w:tabs>
              <w:tab w:val="right" w:leader="dot" w:pos="8296"/>
            </w:tabs>
            <w:spacing w:line="460" w:lineRule="exact"/>
            <w:rPr>
              <w:rFonts w:asciiTheme="minorEastAsia" w:hAnsiTheme="minorEastAsia" w:eastAsiaTheme="minorEastAsia"/>
              <w:sz w:val="28"/>
              <w:szCs w:val="28"/>
            </w:rPr>
          </w:pPr>
          <w:r>
            <w:fldChar w:fldCharType="begin"/>
          </w:r>
          <w:r>
            <w:instrText xml:space="preserve"> HYPERLINK \l "_Toc13417257" </w:instrText>
          </w:r>
          <w:r>
            <w:fldChar w:fldCharType="separate"/>
          </w:r>
          <w:r>
            <w:rPr>
              <w:rStyle w:val="20"/>
              <w:rFonts w:hint="eastAsia" w:asciiTheme="minorEastAsia" w:hAnsiTheme="minorEastAsia" w:eastAsiaTheme="minorEastAsia"/>
              <w:sz w:val="28"/>
              <w:szCs w:val="28"/>
            </w:rPr>
            <w:t>第二节　投融资政策</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_Toc13417257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38</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16"/>
            <w:tabs>
              <w:tab w:val="right" w:leader="dot" w:pos="8296"/>
            </w:tabs>
            <w:spacing w:line="460" w:lineRule="exact"/>
            <w:rPr>
              <w:rFonts w:asciiTheme="minorEastAsia" w:hAnsiTheme="minorEastAsia" w:eastAsiaTheme="minorEastAsia"/>
              <w:sz w:val="28"/>
              <w:szCs w:val="28"/>
            </w:rPr>
          </w:pPr>
          <w:r>
            <w:fldChar w:fldCharType="begin"/>
          </w:r>
          <w:r>
            <w:instrText xml:space="preserve"> HYPERLINK \l "_Toc13417258" </w:instrText>
          </w:r>
          <w:r>
            <w:fldChar w:fldCharType="separate"/>
          </w:r>
          <w:r>
            <w:rPr>
              <w:rStyle w:val="20"/>
              <w:rFonts w:hint="eastAsia" w:asciiTheme="minorEastAsia" w:hAnsiTheme="minorEastAsia" w:eastAsiaTheme="minorEastAsia"/>
              <w:sz w:val="28"/>
              <w:szCs w:val="28"/>
            </w:rPr>
            <w:t>第三节　土地政策</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_Toc13417258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38</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16"/>
            <w:tabs>
              <w:tab w:val="right" w:leader="dot" w:pos="8296"/>
            </w:tabs>
            <w:spacing w:line="460" w:lineRule="exact"/>
            <w:rPr>
              <w:rFonts w:asciiTheme="minorEastAsia" w:hAnsiTheme="minorEastAsia" w:eastAsiaTheme="minorEastAsia"/>
              <w:sz w:val="28"/>
              <w:szCs w:val="28"/>
            </w:rPr>
          </w:pPr>
          <w:r>
            <w:fldChar w:fldCharType="begin"/>
          </w:r>
          <w:r>
            <w:instrText xml:space="preserve"> HYPERLINK \l "_Toc13417259" </w:instrText>
          </w:r>
          <w:r>
            <w:fldChar w:fldCharType="separate"/>
          </w:r>
          <w:r>
            <w:rPr>
              <w:rStyle w:val="20"/>
              <w:rFonts w:hint="eastAsia" w:asciiTheme="minorEastAsia" w:hAnsiTheme="minorEastAsia" w:eastAsiaTheme="minorEastAsia"/>
              <w:sz w:val="28"/>
              <w:szCs w:val="28"/>
            </w:rPr>
            <w:t>第四节　人才政策</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_Toc13417259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39</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15"/>
            <w:tabs>
              <w:tab w:val="right" w:leader="dot" w:pos="8296"/>
            </w:tabs>
            <w:spacing w:before="240" w:line="460" w:lineRule="exact"/>
            <w:rPr>
              <w:rFonts w:asciiTheme="minorEastAsia" w:hAnsiTheme="minorEastAsia" w:eastAsiaTheme="minorEastAsia"/>
              <w:sz w:val="28"/>
              <w:szCs w:val="28"/>
            </w:rPr>
          </w:pPr>
          <w:r>
            <w:fldChar w:fldCharType="begin"/>
          </w:r>
          <w:r>
            <w:instrText xml:space="preserve"> HYPERLINK \l "_Toc13417260" </w:instrText>
          </w:r>
          <w:r>
            <w:fldChar w:fldCharType="separate"/>
          </w:r>
          <w:r>
            <w:rPr>
              <w:rStyle w:val="20"/>
              <w:rFonts w:hint="eastAsia" w:asciiTheme="minorEastAsia" w:hAnsiTheme="minorEastAsia" w:eastAsiaTheme="minorEastAsia"/>
              <w:b/>
              <w:sz w:val="28"/>
              <w:szCs w:val="28"/>
            </w:rPr>
            <w:t>第六章</w:t>
          </w:r>
          <w:r>
            <w:rPr>
              <w:rStyle w:val="20"/>
              <w:rFonts w:asciiTheme="minorEastAsia" w:hAnsiTheme="minorEastAsia" w:eastAsiaTheme="minorEastAsia"/>
              <w:b/>
              <w:sz w:val="28"/>
              <w:szCs w:val="28"/>
            </w:rPr>
            <w:t xml:space="preserve">  </w:t>
          </w:r>
          <w:r>
            <w:rPr>
              <w:rStyle w:val="20"/>
              <w:rFonts w:hint="eastAsia" w:asciiTheme="minorEastAsia" w:hAnsiTheme="minorEastAsia" w:eastAsiaTheme="minorEastAsia"/>
              <w:b/>
              <w:sz w:val="28"/>
              <w:szCs w:val="28"/>
            </w:rPr>
            <w:t>规划实施</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_Toc13417260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40</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16"/>
            <w:tabs>
              <w:tab w:val="right" w:leader="dot" w:pos="8296"/>
            </w:tabs>
            <w:spacing w:line="460" w:lineRule="exact"/>
            <w:rPr>
              <w:rFonts w:asciiTheme="minorEastAsia" w:hAnsiTheme="minorEastAsia" w:eastAsiaTheme="minorEastAsia"/>
              <w:sz w:val="28"/>
              <w:szCs w:val="28"/>
            </w:rPr>
          </w:pPr>
          <w:r>
            <w:fldChar w:fldCharType="begin"/>
          </w:r>
          <w:r>
            <w:instrText xml:space="preserve"> HYPERLINK \l "_Toc13417261" </w:instrText>
          </w:r>
          <w:r>
            <w:fldChar w:fldCharType="separate"/>
          </w:r>
          <w:r>
            <w:rPr>
              <w:rStyle w:val="20"/>
              <w:rFonts w:hint="eastAsia" w:asciiTheme="minorEastAsia" w:hAnsiTheme="minorEastAsia" w:eastAsiaTheme="minorEastAsia"/>
              <w:sz w:val="28"/>
              <w:szCs w:val="28"/>
            </w:rPr>
            <w:t>第一节　强化组织领导</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_Toc13417261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40</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16"/>
            <w:tabs>
              <w:tab w:val="right" w:leader="dot" w:pos="8296"/>
            </w:tabs>
            <w:spacing w:line="460" w:lineRule="exact"/>
            <w:rPr>
              <w:rFonts w:asciiTheme="minorEastAsia" w:hAnsiTheme="minorEastAsia" w:eastAsiaTheme="minorEastAsia"/>
              <w:sz w:val="28"/>
              <w:szCs w:val="28"/>
            </w:rPr>
          </w:pPr>
          <w:r>
            <w:fldChar w:fldCharType="begin"/>
          </w:r>
          <w:r>
            <w:instrText xml:space="preserve"> HYPERLINK \l "_Toc13417262" </w:instrText>
          </w:r>
          <w:r>
            <w:fldChar w:fldCharType="separate"/>
          </w:r>
          <w:r>
            <w:rPr>
              <w:rStyle w:val="20"/>
              <w:rFonts w:hint="eastAsia" w:asciiTheme="minorEastAsia" w:hAnsiTheme="minorEastAsia" w:eastAsiaTheme="minorEastAsia"/>
              <w:sz w:val="28"/>
              <w:szCs w:val="28"/>
            </w:rPr>
            <w:t>第二节　加强统计分析</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_Toc13417262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40</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16"/>
            <w:tabs>
              <w:tab w:val="right" w:leader="dot" w:pos="8296"/>
            </w:tabs>
            <w:spacing w:line="460" w:lineRule="exact"/>
            <w:rPr>
              <w:rFonts w:asciiTheme="minorEastAsia" w:hAnsiTheme="minorEastAsia" w:eastAsiaTheme="minorEastAsia"/>
              <w:sz w:val="28"/>
              <w:szCs w:val="28"/>
            </w:rPr>
          </w:pPr>
          <w:r>
            <w:fldChar w:fldCharType="begin"/>
          </w:r>
          <w:r>
            <w:instrText xml:space="preserve"> HYPERLINK \l "_Toc13417263" </w:instrText>
          </w:r>
          <w:r>
            <w:fldChar w:fldCharType="separate"/>
          </w:r>
          <w:r>
            <w:rPr>
              <w:rStyle w:val="20"/>
              <w:rFonts w:hint="eastAsia" w:asciiTheme="minorEastAsia" w:hAnsiTheme="minorEastAsia" w:eastAsiaTheme="minorEastAsia"/>
              <w:sz w:val="28"/>
              <w:szCs w:val="28"/>
            </w:rPr>
            <w:t>第三节　加强目标考核</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_Toc13417263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41</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16"/>
            <w:tabs>
              <w:tab w:val="right" w:leader="dot" w:pos="8296"/>
            </w:tabs>
            <w:spacing w:line="460" w:lineRule="exact"/>
          </w:pPr>
          <w:r>
            <w:fldChar w:fldCharType="begin"/>
          </w:r>
          <w:r>
            <w:instrText xml:space="preserve"> HYPERLINK \l "_Toc13417264" </w:instrText>
          </w:r>
          <w:r>
            <w:fldChar w:fldCharType="separate"/>
          </w:r>
          <w:r>
            <w:rPr>
              <w:rStyle w:val="20"/>
              <w:rFonts w:hint="eastAsia" w:asciiTheme="minorEastAsia" w:hAnsiTheme="minorEastAsia" w:eastAsiaTheme="minorEastAsia"/>
              <w:sz w:val="28"/>
              <w:szCs w:val="28"/>
            </w:rPr>
            <w:t>第四节　加大宣传力度</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_Toc13417264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41</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r>
            <w:rPr>
              <w:b/>
              <w:bCs/>
              <w:lang w:val="zh-CN"/>
            </w:rPr>
            <w:fldChar w:fldCharType="end"/>
          </w:r>
        </w:p>
      </w:sdtContent>
    </w:sdt>
    <w:p>
      <w:pPr>
        <w:widowControl/>
        <w:jc w:val="left"/>
        <w:rPr>
          <w:rFonts w:ascii="仿宋" w:hAnsi="仿宋" w:eastAsia="仿宋"/>
          <w:b/>
          <w:bCs/>
          <w:sz w:val="44"/>
          <w:szCs w:val="44"/>
        </w:rPr>
        <w:sectPr>
          <w:footerReference r:id="rId3" w:type="default"/>
          <w:pgSz w:w="11906" w:h="16838"/>
          <w:pgMar w:top="1440" w:right="1800" w:bottom="1440" w:left="1800" w:header="851" w:footer="992" w:gutter="0"/>
          <w:pgNumType w:start="2"/>
          <w:cols w:space="425" w:num="1"/>
          <w:docGrid w:type="lines" w:linePitch="312" w:charSpace="0"/>
        </w:sectPr>
      </w:pPr>
      <w:r>
        <w:rPr>
          <w:rFonts w:ascii="仿宋" w:hAnsi="仿宋" w:eastAsia="仿宋"/>
          <w:b/>
          <w:bCs/>
          <w:sz w:val="44"/>
          <w:szCs w:val="44"/>
        </w:rPr>
        <w:br w:type="page"/>
      </w:r>
    </w:p>
    <w:p>
      <w:pPr>
        <w:widowControl/>
        <w:jc w:val="left"/>
        <w:rPr>
          <w:rFonts w:ascii="仿宋" w:hAnsi="仿宋" w:eastAsia="仿宋"/>
          <w:b/>
          <w:bCs/>
          <w:sz w:val="44"/>
          <w:szCs w:val="44"/>
        </w:rPr>
      </w:pPr>
    </w:p>
    <w:p>
      <w:pPr>
        <w:widowControl/>
        <w:jc w:val="center"/>
        <w:rPr>
          <w:rFonts w:ascii="仿宋" w:hAnsi="仿宋" w:eastAsia="仿宋"/>
          <w:b/>
          <w:bCs/>
          <w:sz w:val="44"/>
          <w:szCs w:val="44"/>
        </w:rPr>
      </w:pPr>
    </w:p>
    <w:p>
      <w:pPr>
        <w:pStyle w:val="4"/>
        <w:jc w:val="center"/>
      </w:pPr>
      <w:bookmarkStart w:id="0" w:name="_Toc13417218"/>
      <w:r>
        <w:rPr>
          <w:rFonts w:hint="eastAsia"/>
        </w:rPr>
        <w:t>前  言</w:t>
      </w:r>
      <w:bookmarkEnd w:id="0"/>
    </w:p>
    <w:p>
      <w:pPr>
        <w:widowControl/>
        <w:spacing w:before="100" w:beforeAutospacing="1" w:line="360" w:lineRule="auto"/>
        <w:ind w:firstLine="640"/>
        <w:jc w:val="left"/>
        <w:rPr>
          <w:rFonts w:ascii="仿宋" w:hAnsi="仿宋" w:eastAsia="仿宋"/>
          <w:kern w:val="0"/>
          <w:sz w:val="30"/>
          <w:szCs w:val="30"/>
        </w:rPr>
      </w:pPr>
      <w:r>
        <w:rPr>
          <w:rFonts w:hint="eastAsia" w:ascii="仿宋" w:hAnsi="仿宋" w:eastAsia="仿宋" w:cs="仿宋"/>
          <w:sz w:val="32"/>
          <w:szCs w:val="32"/>
        </w:rPr>
        <w:t>“十四五”是我国全面建设小康社会向基本实现社会主义现代化迈进的关键时期，是“两个一百年”奋斗目标的历史交汇期。“十四五”期间理县将坚持以习近平新时代中国特色社会主义思想为指导，深入贯彻党的十九届五中全会、中央第七次西藏工作座谈会、省委十一届八次全会、省委涉藏工作会议和州委十一届十次全会精神，全面贯彻习近平总书记对四川工作系列重要指示，深入落实新时代党的治藏方略和省委涉藏工作重要部署，围绕“一州两区三家园”战略部署，锚定“一廊两区三地四片五县”新战略新布局</w:t>
      </w:r>
      <w:r>
        <w:rPr>
          <w:rFonts w:hint="eastAsia" w:ascii="仿宋" w:hAnsi="仿宋" w:eastAsia="仿宋" w:cs="仿宋"/>
          <w:sz w:val="32"/>
          <w:szCs w:val="32"/>
          <w:lang w:eastAsia="zh-CN"/>
        </w:rPr>
        <w:t>。</w:t>
      </w:r>
      <w:r>
        <w:rPr>
          <w:rFonts w:ascii="仿宋" w:hAnsi="仿宋" w:eastAsia="仿宋" w:cs="宋体"/>
          <w:kern w:val="0"/>
          <w:sz w:val="30"/>
          <w:szCs w:val="30"/>
        </w:rPr>
        <w:t>服务业</w:t>
      </w:r>
      <w:r>
        <w:rPr>
          <w:rFonts w:hint="eastAsia" w:ascii="仿宋" w:hAnsi="仿宋" w:eastAsia="仿宋" w:cs="宋体"/>
          <w:kern w:val="0"/>
          <w:sz w:val="30"/>
          <w:szCs w:val="30"/>
          <w:lang w:eastAsia="zh-CN"/>
        </w:rPr>
        <w:t>“十四五”规划</w:t>
      </w:r>
      <w:r>
        <w:rPr>
          <w:rFonts w:ascii="仿宋" w:hAnsi="仿宋" w:eastAsia="仿宋" w:cs="宋体"/>
          <w:kern w:val="0"/>
          <w:sz w:val="30"/>
          <w:szCs w:val="30"/>
        </w:rPr>
        <w:t>是以某一个或多个服务业重点领域为主体，产业特色鲜明，创新能力较强，管理较为科学规范，具有要素集合、产业集群、服务集成等空间集聚特征，集聚度达到一定水平的产业园区。服务业</w:t>
      </w:r>
      <w:r>
        <w:rPr>
          <w:rFonts w:hint="eastAsia" w:ascii="仿宋" w:hAnsi="仿宋" w:eastAsia="仿宋" w:cs="宋体"/>
          <w:kern w:val="0"/>
          <w:sz w:val="30"/>
          <w:szCs w:val="30"/>
          <w:lang w:eastAsia="zh-CN"/>
        </w:rPr>
        <w:t>“十四五”规划</w:t>
      </w:r>
      <w:r>
        <w:rPr>
          <w:rFonts w:ascii="仿宋" w:hAnsi="仿宋" w:eastAsia="仿宋" w:cs="宋体"/>
          <w:kern w:val="0"/>
          <w:sz w:val="30"/>
          <w:szCs w:val="30"/>
        </w:rPr>
        <w:t>是新形势下服务业现代服务业集聚发展的主要形态，日益成为新常态下引领区域经济增长和促进转型发展的重要引擎。为贯彻落实县委、县政府战略部署，实施服务业集聚发展</w:t>
      </w:r>
      <w:r>
        <w:rPr>
          <w:rFonts w:hint="eastAsia" w:ascii="仿宋" w:hAnsi="仿宋" w:eastAsia="仿宋" w:cs="宋体"/>
          <w:kern w:val="0"/>
          <w:sz w:val="30"/>
          <w:szCs w:val="30"/>
        </w:rPr>
        <w:t>战略</w:t>
      </w:r>
      <w:r>
        <w:rPr>
          <w:rFonts w:ascii="仿宋" w:hAnsi="仿宋" w:eastAsia="仿宋" w:cs="宋体"/>
          <w:kern w:val="0"/>
          <w:sz w:val="30"/>
          <w:szCs w:val="30"/>
        </w:rPr>
        <w:t>，加快推进县级服务业建设，根据《理县国民经济和社会发展第十</w:t>
      </w:r>
      <w:r>
        <w:rPr>
          <w:rFonts w:hint="eastAsia" w:ascii="仿宋" w:hAnsi="仿宋" w:eastAsia="仿宋" w:cs="宋体"/>
          <w:kern w:val="0"/>
          <w:sz w:val="30"/>
          <w:szCs w:val="30"/>
          <w:lang w:eastAsia="zh-CN"/>
        </w:rPr>
        <w:t>四</w:t>
      </w:r>
      <w:r>
        <w:rPr>
          <w:rFonts w:ascii="仿宋" w:hAnsi="仿宋" w:eastAsia="仿宋" w:cs="宋体"/>
          <w:kern w:val="0"/>
          <w:sz w:val="30"/>
          <w:szCs w:val="30"/>
        </w:rPr>
        <w:t>个五年规划纲要》，特制定本规划。</w:t>
      </w:r>
    </w:p>
    <w:p>
      <w:pPr>
        <w:pStyle w:val="6"/>
      </w:pPr>
      <w:bookmarkStart w:id="1" w:name="_Toc13417219"/>
      <w:r>
        <w:rPr>
          <w:rFonts w:hint="eastAsia"/>
        </w:rPr>
        <w:t>一、规划依据</w:t>
      </w:r>
      <w:bookmarkEnd w:id="1"/>
    </w:p>
    <w:p>
      <w:pPr>
        <w:autoSpaceDE w:val="0"/>
        <w:autoSpaceDN w:val="0"/>
        <w:adjustRightInd w:val="0"/>
        <w:spacing w:line="360" w:lineRule="auto"/>
        <w:ind w:firstLine="600" w:firstLineChars="200"/>
        <w:jc w:val="left"/>
        <w:rPr>
          <w:rFonts w:ascii="仿宋" w:hAnsi="仿宋" w:eastAsia="仿宋" w:cs="宋体"/>
          <w:kern w:val="0"/>
          <w:sz w:val="30"/>
          <w:szCs w:val="30"/>
        </w:rPr>
      </w:pPr>
      <w:r>
        <w:rPr>
          <w:rFonts w:ascii="仿宋" w:hAnsi="仿宋" w:eastAsia="仿宋" w:cs="宋体"/>
          <w:kern w:val="0"/>
          <w:sz w:val="30"/>
          <w:szCs w:val="30"/>
        </w:rPr>
        <w:t>1.</w:t>
      </w:r>
      <w:r>
        <w:rPr>
          <w:rFonts w:hint="eastAsia" w:ascii="仿宋" w:hAnsi="仿宋" w:eastAsia="仿宋" w:cs="宋体"/>
          <w:kern w:val="0"/>
          <w:sz w:val="30"/>
          <w:szCs w:val="30"/>
        </w:rPr>
        <w:t>《中华人民共和国城乡规划法》（</w:t>
      </w:r>
      <w:r>
        <w:rPr>
          <w:rFonts w:ascii="仿宋" w:hAnsi="仿宋" w:eastAsia="仿宋" w:cs="宋体"/>
          <w:kern w:val="0"/>
          <w:sz w:val="30"/>
          <w:szCs w:val="30"/>
        </w:rPr>
        <w:t>2008</w:t>
      </w:r>
      <w:r>
        <w:rPr>
          <w:rFonts w:hint="eastAsia" w:ascii="仿宋" w:hAnsi="仿宋" w:eastAsia="仿宋" w:cs="宋体"/>
          <w:kern w:val="0"/>
          <w:sz w:val="30"/>
          <w:szCs w:val="30"/>
        </w:rPr>
        <w:t>）</w:t>
      </w:r>
    </w:p>
    <w:p>
      <w:pPr>
        <w:autoSpaceDE w:val="0"/>
        <w:autoSpaceDN w:val="0"/>
        <w:adjustRightInd w:val="0"/>
        <w:spacing w:line="360" w:lineRule="auto"/>
        <w:ind w:firstLine="600" w:firstLineChars="200"/>
        <w:jc w:val="left"/>
        <w:rPr>
          <w:rFonts w:ascii="仿宋" w:hAnsi="仿宋" w:eastAsia="仿宋" w:cs="宋体"/>
          <w:kern w:val="0"/>
          <w:sz w:val="30"/>
          <w:szCs w:val="30"/>
        </w:rPr>
      </w:pPr>
      <w:r>
        <w:rPr>
          <w:rFonts w:ascii="仿宋" w:hAnsi="仿宋" w:eastAsia="仿宋" w:cs="宋体"/>
          <w:kern w:val="0"/>
          <w:sz w:val="30"/>
          <w:szCs w:val="30"/>
        </w:rPr>
        <w:t>2.</w:t>
      </w:r>
      <w:r>
        <w:rPr>
          <w:rFonts w:hint="eastAsia" w:ascii="仿宋" w:hAnsi="仿宋" w:eastAsia="仿宋" w:cs="宋体"/>
          <w:kern w:val="0"/>
          <w:sz w:val="30"/>
          <w:szCs w:val="30"/>
        </w:rPr>
        <w:t>《城市规划编制办法》（</w:t>
      </w:r>
      <w:r>
        <w:rPr>
          <w:rFonts w:ascii="仿宋" w:hAnsi="仿宋" w:eastAsia="仿宋" w:cs="宋体"/>
          <w:kern w:val="0"/>
          <w:sz w:val="30"/>
          <w:szCs w:val="30"/>
        </w:rPr>
        <w:t>2006</w:t>
      </w:r>
      <w:r>
        <w:rPr>
          <w:rFonts w:hint="eastAsia" w:ascii="仿宋" w:hAnsi="仿宋" w:eastAsia="仿宋" w:cs="宋体"/>
          <w:kern w:val="0"/>
          <w:sz w:val="30"/>
          <w:szCs w:val="30"/>
        </w:rPr>
        <w:t>）</w:t>
      </w:r>
    </w:p>
    <w:p>
      <w:pPr>
        <w:autoSpaceDE w:val="0"/>
        <w:autoSpaceDN w:val="0"/>
        <w:adjustRightInd w:val="0"/>
        <w:spacing w:line="360" w:lineRule="auto"/>
        <w:ind w:firstLine="600" w:firstLineChars="200"/>
        <w:jc w:val="left"/>
        <w:rPr>
          <w:rFonts w:ascii="仿宋" w:hAnsi="仿宋" w:eastAsia="仿宋" w:cs="宋体"/>
          <w:kern w:val="0"/>
          <w:sz w:val="30"/>
          <w:szCs w:val="30"/>
        </w:rPr>
      </w:pPr>
      <w:r>
        <w:rPr>
          <w:rFonts w:ascii="仿宋" w:hAnsi="仿宋" w:eastAsia="仿宋" w:cs="宋体"/>
          <w:kern w:val="0"/>
          <w:sz w:val="30"/>
          <w:szCs w:val="30"/>
        </w:rPr>
        <w:t>3.</w:t>
      </w:r>
      <w:r>
        <w:rPr>
          <w:rFonts w:hint="eastAsia" w:ascii="仿宋" w:hAnsi="仿宋" w:eastAsia="仿宋" w:cs="宋体"/>
          <w:kern w:val="0"/>
          <w:sz w:val="30"/>
          <w:szCs w:val="30"/>
        </w:rPr>
        <w:t>《理县国民经济和社会发展第十</w:t>
      </w:r>
      <w:r>
        <w:rPr>
          <w:rFonts w:hint="eastAsia" w:ascii="仿宋" w:hAnsi="仿宋" w:eastAsia="仿宋" w:cs="宋体"/>
          <w:kern w:val="0"/>
          <w:sz w:val="30"/>
          <w:szCs w:val="30"/>
          <w:lang w:eastAsia="zh-CN"/>
        </w:rPr>
        <w:t>四</w:t>
      </w:r>
      <w:r>
        <w:rPr>
          <w:rFonts w:hint="eastAsia" w:ascii="仿宋" w:hAnsi="仿宋" w:eastAsia="仿宋" w:cs="宋体"/>
          <w:kern w:val="0"/>
          <w:sz w:val="30"/>
          <w:szCs w:val="30"/>
        </w:rPr>
        <w:t>个五年规划纲要》</w:t>
      </w:r>
    </w:p>
    <w:p>
      <w:pPr>
        <w:autoSpaceDE w:val="0"/>
        <w:autoSpaceDN w:val="0"/>
        <w:adjustRightInd w:val="0"/>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lang w:val="en-US" w:eastAsia="zh-CN"/>
        </w:rPr>
        <w:t>4</w:t>
      </w:r>
      <w:r>
        <w:rPr>
          <w:rFonts w:ascii="仿宋" w:hAnsi="仿宋" w:eastAsia="仿宋" w:cs="宋体"/>
          <w:kern w:val="0"/>
          <w:sz w:val="30"/>
          <w:szCs w:val="30"/>
        </w:rPr>
        <w:t>.</w:t>
      </w:r>
      <w:r>
        <w:rPr>
          <w:rFonts w:hint="eastAsia" w:ascii="仿宋" w:hAnsi="仿宋" w:eastAsia="仿宋" w:cs="宋体"/>
          <w:kern w:val="0"/>
          <w:sz w:val="30"/>
          <w:szCs w:val="30"/>
        </w:rPr>
        <w:t>《理县城镇总体规划（</w:t>
      </w:r>
      <w:r>
        <w:rPr>
          <w:rFonts w:ascii="仿宋" w:hAnsi="仿宋" w:eastAsia="仿宋" w:cs="宋体"/>
          <w:kern w:val="0"/>
          <w:sz w:val="30"/>
          <w:szCs w:val="30"/>
        </w:rPr>
        <w:t>2012-2020</w:t>
      </w:r>
      <w:r>
        <w:rPr>
          <w:rFonts w:hint="eastAsia" w:ascii="仿宋" w:hAnsi="仿宋" w:eastAsia="仿宋" w:cs="宋体"/>
          <w:kern w:val="0"/>
          <w:sz w:val="30"/>
          <w:szCs w:val="30"/>
        </w:rPr>
        <w:t>）》</w:t>
      </w:r>
    </w:p>
    <w:p>
      <w:pPr>
        <w:spacing w:line="360" w:lineRule="auto"/>
        <w:ind w:firstLine="600" w:firstLineChars="200"/>
        <w:rPr>
          <w:rFonts w:ascii="仿宋" w:hAnsi="仿宋" w:eastAsia="仿宋" w:cs="宋体"/>
          <w:kern w:val="0"/>
          <w:sz w:val="30"/>
          <w:szCs w:val="30"/>
        </w:rPr>
      </w:pPr>
      <w:r>
        <w:rPr>
          <w:rFonts w:hint="eastAsia" w:ascii="仿宋" w:hAnsi="仿宋" w:eastAsia="仿宋" w:cs="宋体"/>
          <w:kern w:val="0"/>
          <w:sz w:val="30"/>
          <w:szCs w:val="30"/>
          <w:lang w:val="en-US" w:eastAsia="zh-CN"/>
        </w:rPr>
        <w:t>5</w:t>
      </w:r>
      <w:r>
        <w:rPr>
          <w:rFonts w:ascii="仿宋" w:hAnsi="仿宋" w:eastAsia="仿宋" w:cs="宋体"/>
          <w:kern w:val="0"/>
          <w:sz w:val="30"/>
          <w:szCs w:val="30"/>
        </w:rPr>
        <w:t xml:space="preserve">. </w:t>
      </w:r>
      <w:r>
        <w:rPr>
          <w:rFonts w:hint="eastAsia" w:ascii="仿宋" w:hAnsi="仿宋" w:eastAsia="仿宋" w:cs="宋体"/>
          <w:kern w:val="0"/>
          <w:sz w:val="30"/>
          <w:szCs w:val="30"/>
        </w:rPr>
        <w:t>其他相关法规和技术标准</w:t>
      </w:r>
    </w:p>
    <w:p>
      <w:pPr>
        <w:pStyle w:val="6"/>
      </w:pPr>
      <w:bookmarkStart w:id="2" w:name="_Toc13417220"/>
      <w:r>
        <w:rPr>
          <w:rFonts w:hint="eastAsia"/>
        </w:rPr>
        <w:t>二、规划范围</w:t>
      </w:r>
      <w:bookmarkEnd w:id="2"/>
    </w:p>
    <w:p>
      <w:pPr>
        <w:spacing w:line="360" w:lineRule="auto"/>
        <w:ind w:firstLine="600" w:firstLineChars="200"/>
        <w:rPr>
          <w:rFonts w:ascii="仿宋" w:hAnsi="仿宋" w:eastAsia="仿宋" w:cs="宋体"/>
          <w:kern w:val="0"/>
          <w:sz w:val="30"/>
          <w:szCs w:val="30"/>
        </w:rPr>
      </w:pPr>
      <w:r>
        <w:rPr>
          <w:rFonts w:hint="eastAsia" w:ascii="仿宋" w:hAnsi="仿宋" w:eastAsia="仿宋" w:cs="宋体"/>
          <w:kern w:val="0"/>
          <w:sz w:val="30"/>
          <w:szCs w:val="30"/>
        </w:rPr>
        <w:t>规划范围为理县县域。</w:t>
      </w:r>
    </w:p>
    <w:p>
      <w:pPr>
        <w:pStyle w:val="6"/>
        <w:jc w:val="left"/>
      </w:pPr>
      <w:bookmarkStart w:id="3" w:name="_Toc13417221"/>
      <w:r>
        <w:rPr>
          <w:rFonts w:hint="eastAsia"/>
        </w:rPr>
        <w:t>三、规划期限</w:t>
      </w:r>
      <w:bookmarkEnd w:id="3"/>
    </w:p>
    <w:p>
      <w:pPr>
        <w:spacing w:line="360" w:lineRule="auto"/>
        <w:ind w:firstLine="600" w:firstLineChars="200"/>
        <w:rPr>
          <w:rFonts w:ascii="仿宋" w:hAnsi="仿宋" w:eastAsia="仿宋" w:cs="宋体"/>
          <w:kern w:val="0"/>
          <w:sz w:val="30"/>
          <w:szCs w:val="30"/>
        </w:rPr>
      </w:pPr>
      <w:r>
        <w:rPr>
          <w:rFonts w:ascii="仿宋" w:hAnsi="仿宋" w:eastAsia="仿宋"/>
          <w:kern w:val="0"/>
          <w:sz w:val="30"/>
          <w:szCs w:val="30"/>
        </w:rPr>
        <w:t>20</w:t>
      </w:r>
      <w:r>
        <w:rPr>
          <w:rFonts w:hint="eastAsia" w:ascii="仿宋" w:hAnsi="仿宋" w:eastAsia="仿宋"/>
          <w:kern w:val="0"/>
          <w:sz w:val="30"/>
          <w:szCs w:val="30"/>
          <w:lang w:val="en-US" w:eastAsia="zh-CN"/>
        </w:rPr>
        <w:t>21</w:t>
      </w:r>
      <w:r>
        <w:rPr>
          <w:rFonts w:ascii="仿宋" w:hAnsi="仿宋" w:eastAsia="仿宋"/>
          <w:kern w:val="0"/>
          <w:sz w:val="30"/>
          <w:szCs w:val="30"/>
        </w:rPr>
        <w:t>-202</w:t>
      </w:r>
      <w:r>
        <w:rPr>
          <w:rFonts w:hint="eastAsia" w:ascii="仿宋" w:hAnsi="仿宋" w:eastAsia="仿宋"/>
          <w:kern w:val="0"/>
          <w:sz w:val="30"/>
          <w:szCs w:val="30"/>
          <w:lang w:val="en-US" w:eastAsia="zh-CN"/>
        </w:rPr>
        <w:t>5</w:t>
      </w:r>
      <w:r>
        <w:rPr>
          <w:rFonts w:hint="eastAsia" w:ascii="仿宋" w:hAnsi="仿宋" w:eastAsia="仿宋" w:cs="宋体"/>
          <w:kern w:val="0"/>
          <w:sz w:val="30"/>
          <w:szCs w:val="30"/>
        </w:rPr>
        <w:t>年。其中</w:t>
      </w:r>
      <w:r>
        <w:rPr>
          <w:rFonts w:ascii="仿宋" w:hAnsi="仿宋" w:eastAsia="仿宋"/>
          <w:kern w:val="0"/>
          <w:sz w:val="30"/>
          <w:szCs w:val="30"/>
        </w:rPr>
        <w:t>20</w:t>
      </w:r>
      <w:r>
        <w:rPr>
          <w:rFonts w:hint="eastAsia" w:ascii="仿宋" w:hAnsi="仿宋" w:eastAsia="仿宋"/>
          <w:kern w:val="0"/>
          <w:sz w:val="30"/>
          <w:szCs w:val="30"/>
          <w:lang w:val="en-US" w:eastAsia="zh-CN"/>
        </w:rPr>
        <w:t>21</w:t>
      </w:r>
      <w:r>
        <w:rPr>
          <w:rFonts w:ascii="仿宋" w:hAnsi="仿宋" w:eastAsia="仿宋"/>
          <w:kern w:val="0"/>
          <w:sz w:val="30"/>
          <w:szCs w:val="30"/>
        </w:rPr>
        <w:t>-20</w:t>
      </w:r>
      <w:r>
        <w:rPr>
          <w:rFonts w:hint="eastAsia" w:ascii="仿宋" w:hAnsi="仿宋" w:eastAsia="仿宋"/>
          <w:kern w:val="0"/>
          <w:sz w:val="30"/>
          <w:szCs w:val="30"/>
        </w:rPr>
        <w:t>2</w:t>
      </w:r>
      <w:r>
        <w:rPr>
          <w:rFonts w:hint="eastAsia" w:ascii="仿宋" w:hAnsi="仿宋" w:eastAsia="仿宋"/>
          <w:kern w:val="0"/>
          <w:sz w:val="30"/>
          <w:szCs w:val="30"/>
          <w:lang w:val="en-US" w:eastAsia="zh-CN"/>
        </w:rPr>
        <w:t>3</w:t>
      </w:r>
      <w:r>
        <w:rPr>
          <w:rFonts w:hint="eastAsia" w:ascii="仿宋" w:hAnsi="仿宋" w:eastAsia="仿宋" w:cs="宋体"/>
          <w:kern w:val="0"/>
          <w:sz w:val="30"/>
          <w:szCs w:val="30"/>
        </w:rPr>
        <w:t>为近期，</w:t>
      </w:r>
      <w:r>
        <w:rPr>
          <w:rFonts w:ascii="仿宋" w:hAnsi="仿宋" w:eastAsia="仿宋"/>
          <w:kern w:val="0"/>
          <w:sz w:val="30"/>
          <w:szCs w:val="30"/>
        </w:rPr>
        <w:t>20</w:t>
      </w:r>
      <w:r>
        <w:rPr>
          <w:rFonts w:hint="eastAsia" w:ascii="仿宋" w:hAnsi="仿宋" w:eastAsia="仿宋"/>
          <w:kern w:val="0"/>
          <w:sz w:val="30"/>
          <w:szCs w:val="30"/>
        </w:rPr>
        <w:t>2</w:t>
      </w:r>
      <w:r>
        <w:rPr>
          <w:rFonts w:hint="eastAsia" w:ascii="仿宋" w:hAnsi="仿宋" w:eastAsia="仿宋"/>
          <w:kern w:val="0"/>
          <w:sz w:val="30"/>
          <w:szCs w:val="30"/>
          <w:lang w:val="en-US" w:eastAsia="zh-CN"/>
        </w:rPr>
        <w:t>4</w:t>
      </w:r>
      <w:r>
        <w:rPr>
          <w:rFonts w:ascii="仿宋" w:hAnsi="仿宋" w:eastAsia="仿宋"/>
          <w:kern w:val="0"/>
          <w:sz w:val="30"/>
          <w:szCs w:val="30"/>
        </w:rPr>
        <w:t>-202</w:t>
      </w:r>
      <w:r>
        <w:rPr>
          <w:rFonts w:hint="eastAsia" w:ascii="仿宋" w:hAnsi="仿宋" w:eastAsia="仿宋"/>
          <w:kern w:val="0"/>
          <w:sz w:val="30"/>
          <w:szCs w:val="30"/>
          <w:lang w:val="en-US" w:eastAsia="zh-CN"/>
        </w:rPr>
        <w:t>5</w:t>
      </w:r>
      <w:r>
        <w:rPr>
          <w:rFonts w:hint="eastAsia" w:ascii="仿宋" w:hAnsi="仿宋" w:eastAsia="仿宋" w:cs="宋体"/>
          <w:kern w:val="0"/>
          <w:sz w:val="30"/>
          <w:szCs w:val="30"/>
        </w:rPr>
        <w:t>为远期。</w:t>
      </w:r>
    </w:p>
    <w:p>
      <w:pPr>
        <w:spacing w:line="360" w:lineRule="auto"/>
        <w:ind w:firstLine="600" w:firstLineChars="200"/>
        <w:rPr>
          <w:rFonts w:ascii="仿宋" w:hAnsi="仿宋" w:eastAsia="仿宋"/>
          <w:sz w:val="30"/>
          <w:szCs w:val="30"/>
        </w:rPr>
      </w:pPr>
      <w:r>
        <w:rPr>
          <w:rFonts w:hint="eastAsia" w:ascii="仿宋" w:hAnsi="仿宋" w:eastAsia="仿宋" w:cs="宋体"/>
          <w:kern w:val="0"/>
          <w:sz w:val="30"/>
          <w:szCs w:val="30"/>
        </w:rPr>
        <w:br w:type="page"/>
      </w:r>
    </w:p>
    <w:p>
      <w:pPr>
        <w:pStyle w:val="4"/>
        <w:jc w:val="center"/>
      </w:pPr>
      <w:bookmarkStart w:id="4" w:name="_Toc13417222"/>
      <w:r>
        <w:rPr>
          <w:rFonts w:hint="eastAsia"/>
        </w:rPr>
        <w:t>第一章 规划背景</w:t>
      </w:r>
      <w:bookmarkEnd w:id="4"/>
    </w:p>
    <w:p>
      <w:pPr>
        <w:pStyle w:val="5"/>
        <w:jc w:val="center"/>
      </w:pPr>
      <w:bookmarkStart w:id="5" w:name="_Toc13417223"/>
      <w:r>
        <w:rPr>
          <w:rFonts w:hint="eastAsia"/>
        </w:rPr>
        <w:t>第一节  发展现状</w:t>
      </w:r>
      <w:bookmarkEnd w:id="5"/>
    </w:p>
    <w:p>
      <w:pPr>
        <w:widowControl/>
        <w:spacing w:line="360" w:lineRule="auto"/>
        <w:ind w:firstLine="600" w:firstLineChars="200"/>
        <w:jc w:val="left"/>
        <w:rPr>
          <w:rFonts w:ascii="仿宋" w:hAnsi="仿宋" w:eastAsia="仿宋"/>
          <w:kern w:val="0"/>
          <w:sz w:val="30"/>
          <w:szCs w:val="30"/>
        </w:rPr>
      </w:pPr>
      <w:r>
        <w:rPr>
          <w:rFonts w:ascii="仿宋" w:hAnsi="仿宋" w:eastAsia="仿宋" w:cs="宋体"/>
          <w:kern w:val="0"/>
          <w:sz w:val="30"/>
          <w:szCs w:val="30"/>
        </w:rPr>
        <w:t>“十</w:t>
      </w:r>
      <w:r>
        <w:rPr>
          <w:rFonts w:hint="eastAsia" w:ascii="仿宋" w:hAnsi="仿宋" w:eastAsia="仿宋" w:cs="宋体"/>
          <w:kern w:val="0"/>
          <w:sz w:val="30"/>
          <w:szCs w:val="30"/>
          <w:lang w:eastAsia="zh-CN"/>
        </w:rPr>
        <w:t>三</w:t>
      </w:r>
      <w:r>
        <w:rPr>
          <w:rFonts w:ascii="仿宋" w:hAnsi="仿宋" w:eastAsia="仿宋" w:cs="宋体"/>
          <w:kern w:val="0"/>
          <w:sz w:val="30"/>
          <w:szCs w:val="30"/>
        </w:rPr>
        <w:t>五”以来，随着服务业快速增长，我</w:t>
      </w:r>
      <w:r>
        <w:rPr>
          <w:rFonts w:hint="eastAsia" w:ascii="仿宋" w:hAnsi="仿宋" w:eastAsia="仿宋" w:cs="宋体"/>
          <w:kern w:val="0"/>
          <w:sz w:val="30"/>
          <w:szCs w:val="30"/>
        </w:rPr>
        <w:t>县</w:t>
      </w:r>
      <w:r>
        <w:rPr>
          <w:rFonts w:ascii="仿宋" w:hAnsi="仿宋" w:eastAsia="仿宋" w:cs="宋体"/>
          <w:kern w:val="0"/>
          <w:sz w:val="30"/>
          <w:szCs w:val="30"/>
        </w:rPr>
        <w:t>服务业</w:t>
      </w:r>
      <w:r>
        <w:rPr>
          <w:rFonts w:hint="eastAsia" w:ascii="仿宋" w:hAnsi="仿宋" w:eastAsia="仿宋" w:cs="宋体"/>
          <w:kern w:val="0"/>
          <w:sz w:val="30"/>
          <w:szCs w:val="30"/>
        </w:rPr>
        <w:t>发展</w:t>
      </w:r>
      <w:r>
        <w:rPr>
          <w:rFonts w:ascii="仿宋" w:hAnsi="仿宋" w:eastAsia="仿宋" w:cs="宋体"/>
          <w:kern w:val="0"/>
          <w:sz w:val="30"/>
          <w:szCs w:val="30"/>
        </w:rPr>
        <w:t>稳步推进，产业规模逐步壮大，空间布局不断完善，对</w:t>
      </w:r>
      <w:r>
        <w:rPr>
          <w:rFonts w:hint="eastAsia" w:ascii="仿宋" w:hAnsi="仿宋" w:eastAsia="仿宋" w:cs="宋体"/>
          <w:kern w:val="0"/>
          <w:sz w:val="30"/>
          <w:szCs w:val="30"/>
        </w:rPr>
        <w:t>县</w:t>
      </w:r>
      <w:r>
        <w:rPr>
          <w:rFonts w:ascii="仿宋" w:hAnsi="仿宋" w:eastAsia="仿宋" w:cs="宋体"/>
          <w:kern w:val="0"/>
          <w:sz w:val="30"/>
          <w:szCs w:val="30"/>
        </w:rPr>
        <w:t>域经济增长的贡献日益提升。</w:t>
      </w:r>
    </w:p>
    <w:p>
      <w:pPr>
        <w:spacing w:after="156" w:afterLines="50"/>
        <w:ind w:firstLine="640" w:firstLineChars="200"/>
        <w:rPr>
          <w:rFonts w:ascii="仿宋" w:hAnsi="仿宋" w:eastAsia="仿宋" w:cs="仿宋"/>
          <w:sz w:val="32"/>
          <w:szCs w:val="32"/>
        </w:rPr>
      </w:pPr>
      <w:r>
        <w:rPr>
          <w:rFonts w:hint="eastAsia" w:ascii="仿宋" w:hAnsi="仿宋" w:eastAsia="仿宋" w:cs="仿宋"/>
          <w:sz w:val="32"/>
          <w:szCs w:val="32"/>
        </w:rPr>
        <w:t>重点产业发展势头良好。交通运输、仓储和邮政服务业快速发展，商贸服务和住宿餐饮业蓬勃发展，金融和房地产业稳定增长，旅游业快速发展带动了商贸、餐饮住宿、特色农业等产业成为全县经济增长的新引擎，服务业配套设施日益完善。</w:t>
      </w:r>
    </w:p>
    <w:p>
      <w:pPr>
        <w:spacing w:after="156" w:afterLines="50"/>
        <w:ind w:firstLine="640" w:firstLineChars="200"/>
        <w:rPr>
          <w:rFonts w:ascii="仿宋" w:hAnsi="仿宋" w:eastAsia="仿宋" w:cs="仿宋"/>
          <w:kern w:val="0"/>
          <w:sz w:val="30"/>
          <w:szCs w:val="30"/>
        </w:rPr>
      </w:pPr>
      <w:r>
        <w:rPr>
          <w:rFonts w:hint="eastAsia" w:ascii="仿宋" w:hAnsi="仿宋" w:eastAsia="仿宋" w:cs="仿宋"/>
          <w:sz w:val="32"/>
          <w:szCs w:val="32"/>
        </w:rPr>
        <w:t>当前理县服务业持续平稳发展，总量规模不断扩大。服务业集聚化发展趋势越加显著。从目前发展来看，</w:t>
      </w:r>
      <w:r>
        <w:rPr>
          <w:rFonts w:hint="eastAsia" w:ascii="仿宋" w:hAnsi="仿宋" w:eastAsia="仿宋" w:cs="仿宋"/>
          <w:sz w:val="32"/>
          <w:szCs w:val="32"/>
          <w:lang w:eastAsia="zh-CN"/>
        </w:rPr>
        <w:t>第</w:t>
      </w:r>
      <w:r>
        <w:rPr>
          <w:rFonts w:hint="eastAsia" w:ascii="仿宋" w:hAnsi="仿宋" w:eastAsia="仿宋" w:cs="仿宋"/>
          <w:sz w:val="32"/>
          <w:szCs w:val="32"/>
        </w:rPr>
        <w:t>二产业稳步发展、</w:t>
      </w:r>
      <w:r>
        <w:rPr>
          <w:rFonts w:hint="eastAsia" w:ascii="仿宋" w:hAnsi="仿宋" w:eastAsia="仿宋" w:cs="仿宋"/>
          <w:sz w:val="32"/>
          <w:szCs w:val="32"/>
          <w:lang w:eastAsia="zh-CN"/>
        </w:rPr>
        <w:t>第</w:t>
      </w:r>
      <w:r>
        <w:rPr>
          <w:rFonts w:hint="eastAsia" w:ascii="仿宋" w:hAnsi="仿宋" w:eastAsia="仿宋" w:cs="仿宋"/>
          <w:sz w:val="32"/>
          <w:szCs w:val="32"/>
        </w:rPr>
        <w:t>三产业加快发展的状况</w:t>
      </w:r>
      <w:r>
        <w:rPr>
          <w:rFonts w:hint="eastAsia" w:ascii="仿宋" w:hAnsi="仿宋" w:eastAsia="仿宋" w:cs="仿宋"/>
          <w:sz w:val="32"/>
          <w:szCs w:val="32"/>
          <w:lang w:eastAsia="zh-CN"/>
        </w:rPr>
        <w:t>将</w:t>
      </w:r>
      <w:r>
        <w:rPr>
          <w:rFonts w:hint="eastAsia" w:ascii="仿宋" w:hAnsi="仿宋" w:eastAsia="仿宋" w:cs="仿宋"/>
          <w:sz w:val="32"/>
          <w:szCs w:val="32"/>
        </w:rPr>
        <w:t>维持一段时间，直到形成比较强的综合服务功能，由生产型县域经济转变为服务型县域经济，服务业比重才会显著上升。当前我县服务业</w:t>
      </w:r>
      <w:r>
        <w:rPr>
          <w:rFonts w:hint="eastAsia" w:ascii="仿宋" w:hAnsi="仿宋" w:eastAsia="仿宋" w:cs="仿宋"/>
          <w:sz w:val="32"/>
          <w:szCs w:val="32"/>
          <w:lang w:eastAsia="zh-CN"/>
        </w:rPr>
        <w:t>服务业</w:t>
      </w:r>
      <w:r>
        <w:rPr>
          <w:rFonts w:hint="eastAsia" w:ascii="仿宋" w:hAnsi="仿宋" w:eastAsia="仿宋" w:cs="仿宋"/>
          <w:sz w:val="32"/>
          <w:szCs w:val="32"/>
        </w:rPr>
        <w:t>建设取得了一定成效，以特色专业市场、金融商务、旅游休闲等为代表的现代服务业率先呈现出蓬勃发展的势头，服务业集聚发展的趋势也日益明显，涌现出农畜产品加工交易场所、物流集散中心、电子商务交易中心、特色商业街区、乡镇农产品集中交易点等一批现代服务业集聚度较高的区域。</w:t>
      </w:r>
      <w:r>
        <w:rPr>
          <w:rFonts w:hint="eastAsia" w:ascii="仿宋" w:hAnsi="仿宋" w:eastAsia="仿宋" w:cs="仿宋"/>
          <w:kern w:val="0"/>
          <w:sz w:val="30"/>
          <w:szCs w:val="30"/>
        </w:rPr>
        <w:t>但也面临诸多问题，突出表现为:缺少发展规划统筹,产业基础薄弱，总体发展水平较低;产业结构不合理，主导产业带动性不强；龙头企业发展不足，集聚带动效应不强；布局不够合理，商业网点和市场建设落后；管理运营机制滞后，发展模式创新不足等。因此，编制服务业</w:t>
      </w:r>
      <w:r>
        <w:rPr>
          <w:rFonts w:hint="eastAsia" w:ascii="仿宋" w:hAnsi="仿宋" w:eastAsia="仿宋" w:cs="仿宋"/>
          <w:kern w:val="0"/>
          <w:sz w:val="30"/>
          <w:szCs w:val="30"/>
          <w:lang w:eastAsia="zh-CN"/>
        </w:rPr>
        <w:t>服务业</w:t>
      </w:r>
      <w:r>
        <w:rPr>
          <w:rFonts w:hint="eastAsia" w:ascii="仿宋" w:hAnsi="仿宋" w:eastAsia="仿宋" w:cs="仿宋"/>
          <w:kern w:val="0"/>
          <w:sz w:val="30"/>
          <w:szCs w:val="30"/>
        </w:rPr>
        <w:t>规划势在必行，通过引导服务业的空间布局，进一步加快全县现代服务业发展。</w:t>
      </w:r>
    </w:p>
    <w:p>
      <w:pPr>
        <w:pStyle w:val="5"/>
        <w:jc w:val="center"/>
      </w:pPr>
      <w:bookmarkStart w:id="6" w:name="_Toc13417224"/>
      <w:r>
        <w:rPr>
          <w:rFonts w:hint="eastAsia"/>
        </w:rPr>
        <w:t>第二节  新形势新要求</w:t>
      </w:r>
      <w:bookmarkEnd w:id="6"/>
    </w:p>
    <w:p>
      <w:pPr>
        <w:widowControl/>
        <w:spacing w:line="360" w:lineRule="auto"/>
        <w:ind w:firstLine="600" w:firstLineChars="200"/>
        <w:jc w:val="left"/>
        <w:rPr>
          <w:rFonts w:ascii="仿宋" w:hAnsi="仿宋" w:eastAsia="仿宋"/>
          <w:kern w:val="0"/>
          <w:sz w:val="30"/>
          <w:szCs w:val="30"/>
        </w:rPr>
      </w:pPr>
      <w:r>
        <w:rPr>
          <w:rFonts w:ascii="仿宋" w:hAnsi="仿宋" w:eastAsia="仿宋" w:cs="宋体"/>
          <w:kern w:val="0"/>
          <w:sz w:val="30"/>
          <w:szCs w:val="30"/>
        </w:rPr>
        <w:t>进入发展新常态，服务业内涵更加丰富、分工更加细化、业态更加多样、模式不断创新，在稳定经济增长和促进产业升级中的作用更加突出。未来一个时期，新一代信息、人工智能等技术不断突破和广泛应用，加速服务内容、业态和商业模式创新；“一带一路”、长江经济带</w:t>
      </w:r>
      <w:r>
        <w:rPr>
          <w:rFonts w:hint="eastAsia" w:ascii="仿宋" w:hAnsi="仿宋" w:eastAsia="仿宋" w:cs="宋体"/>
          <w:kern w:val="0"/>
          <w:sz w:val="30"/>
          <w:szCs w:val="30"/>
        </w:rPr>
        <w:t>、区域协调发展、乡村振兴</w:t>
      </w:r>
      <w:r>
        <w:rPr>
          <w:rFonts w:ascii="仿宋" w:hAnsi="仿宋" w:eastAsia="仿宋" w:cs="宋体"/>
          <w:kern w:val="0"/>
          <w:sz w:val="30"/>
          <w:szCs w:val="30"/>
        </w:rPr>
        <w:t>战略深入推进，</w:t>
      </w:r>
      <w:r>
        <w:rPr>
          <w:rFonts w:hint="eastAsia" w:ascii="仿宋" w:hAnsi="仿宋" w:eastAsia="仿宋" w:cs="宋体"/>
          <w:kern w:val="0"/>
          <w:sz w:val="30"/>
          <w:szCs w:val="30"/>
        </w:rPr>
        <w:t>将</w:t>
      </w:r>
      <w:r>
        <w:rPr>
          <w:rFonts w:ascii="仿宋" w:hAnsi="仿宋" w:eastAsia="仿宋" w:cs="宋体"/>
          <w:kern w:val="0"/>
          <w:sz w:val="30"/>
          <w:szCs w:val="30"/>
        </w:rPr>
        <w:t>带动服务业投资贸易快速增长。既迎来加速发展、提升能级的新机遇，也面临转型发展、提质增效的新要求。</w:t>
      </w:r>
    </w:p>
    <w:p>
      <w:pPr>
        <w:widowControl/>
        <w:spacing w:line="360" w:lineRule="auto"/>
        <w:ind w:firstLine="600" w:firstLineChars="200"/>
        <w:jc w:val="left"/>
        <w:rPr>
          <w:rFonts w:ascii="仿宋" w:hAnsi="仿宋" w:eastAsia="仿宋"/>
          <w:kern w:val="0"/>
          <w:sz w:val="30"/>
          <w:szCs w:val="30"/>
        </w:rPr>
      </w:pPr>
      <w:r>
        <w:rPr>
          <w:rFonts w:ascii="仿宋" w:hAnsi="仿宋" w:eastAsia="仿宋" w:cs="宋体"/>
          <w:kern w:val="0"/>
          <w:sz w:val="30"/>
          <w:szCs w:val="30"/>
        </w:rPr>
        <w:t>由数量扩张向量质并重转变。资源环境和要素约束日益趋紧，对服务业发展提出更高要求。必须走内涵式发展之路，在规划新建、整合调整的基础上，引导服务业</w:t>
      </w:r>
      <w:r>
        <w:rPr>
          <w:rFonts w:hint="eastAsia" w:ascii="仿宋" w:hAnsi="仿宋" w:eastAsia="仿宋" w:cs="宋体"/>
          <w:kern w:val="0"/>
          <w:sz w:val="30"/>
          <w:szCs w:val="30"/>
          <w:lang w:eastAsia="zh-CN"/>
        </w:rPr>
        <w:t>服务业</w:t>
      </w:r>
      <w:r>
        <w:rPr>
          <w:rFonts w:ascii="仿宋" w:hAnsi="仿宋" w:eastAsia="仿宋" w:cs="宋体"/>
          <w:kern w:val="0"/>
          <w:sz w:val="30"/>
          <w:szCs w:val="30"/>
        </w:rPr>
        <w:t>加快转型升级步伐，不断提高发展质量和效益。</w:t>
      </w:r>
    </w:p>
    <w:p>
      <w:pPr>
        <w:widowControl/>
        <w:spacing w:line="360" w:lineRule="auto"/>
        <w:ind w:firstLine="600" w:firstLineChars="200"/>
        <w:jc w:val="left"/>
        <w:rPr>
          <w:rFonts w:ascii="仿宋" w:hAnsi="仿宋" w:eastAsia="仿宋"/>
          <w:kern w:val="0"/>
          <w:sz w:val="30"/>
          <w:szCs w:val="30"/>
        </w:rPr>
      </w:pPr>
      <w:r>
        <w:rPr>
          <w:rFonts w:ascii="仿宋" w:hAnsi="仿宋" w:eastAsia="仿宋" w:cs="宋体"/>
          <w:kern w:val="0"/>
          <w:sz w:val="30"/>
          <w:szCs w:val="30"/>
        </w:rPr>
        <w:t>由“小而全”向专业特色转变。专业化、特色化是发达</w:t>
      </w:r>
      <w:r>
        <w:rPr>
          <w:rFonts w:hint="eastAsia" w:ascii="仿宋" w:hAnsi="仿宋" w:eastAsia="仿宋" w:cs="宋体"/>
          <w:kern w:val="0"/>
          <w:sz w:val="30"/>
          <w:szCs w:val="30"/>
        </w:rPr>
        <w:t>地区</w:t>
      </w:r>
      <w:r>
        <w:rPr>
          <w:rFonts w:ascii="仿宋" w:hAnsi="仿宋" w:eastAsia="仿宋" w:cs="宋体"/>
          <w:kern w:val="0"/>
          <w:sz w:val="30"/>
          <w:szCs w:val="30"/>
        </w:rPr>
        <w:t>服务业发展的主要经验，也是我</w:t>
      </w:r>
      <w:r>
        <w:rPr>
          <w:rFonts w:hint="eastAsia" w:ascii="仿宋" w:hAnsi="仿宋" w:eastAsia="仿宋" w:cs="宋体"/>
          <w:kern w:val="0"/>
          <w:sz w:val="30"/>
          <w:szCs w:val="30"/>
        </w:rPr>
        <w:t>县</w:t>
      </w:r>
      <w:r>
        <w:rPr>
          <w:rFonts w:ascii="仿宋" w:hAnsi="仿宋" w:eastAsia="仿宋" w:cs="宋体"/>
          <w:kern w:val="0"/>
          <w:sz w:val="30"/>
          <w:szCs w:val="30"/>
        </w:rPr>
        <w:t>服务业转型的必由之路。必须围绕地方主导产业需求，促进各服务业专业发展、特色发展、品牌化发展。</w:t>
      </w:r>
    </w:p>
    <w:p>
      <w:pPr>
        <w:widowControl/>
        <w:spacing w:line="360" w:lineRule="auto"/>
        <w:ind w:firstLine="600" w:firstLineChars="200"/>
        <w:jc w:val="left"/>
        <w:rPr>
          <w:rFonts w:ascii="仿宋" w:hAnsi="仿宋" w:eastAsia="仿宋"/>
          <w:kern w:val="0"/>
          <w:sz w:val="30"/>
          <w:szCs w:val="30"/>
        </w:rPr>
      </w:pPr>
      <w:r>
        <w:rPr>
          <w:rFonts w:ascii="仿宋" w:hAnsi="仿宋" w:eastAsia="仿宋" w:cs="宋体"/>
          <w:kern w:val="0"/>
          <w:sz w:val="30"/>
          <w:szCs w:val="30"/>
        </w:rPr>
        <w:t>由要素集中向功能聚合转变。必须坚持招商引资和关联配套并重、基建投入和平台建设并重，面向企业共性需求，进一步加强平台建设，增强公共服务能力，不断提升服务业的综合竞争力。</w:t>
      </w:r>
    </w:p>
    <w:p>
      <w:pPr>
        <w:spacing w:line="360" w:lineRule="auto"/>
        <w:ind w:firstLine="600" w:firstLineChars="200"/>
        <w:rPr>
          <w:rFonts w:ascii="仿宋" w:hAnsi="仿宋" w:eastAsia="仿宋" w:cs="宋体"/>
          <w:kern w:val="0"/>
          <w:sz w:val="30"/>
          <w:szCs w:val="30"/>
        </w:rPr>
      </w:pPr>
      <w:r>
        <w:rPr>
          <w:rFonts w:ascii="仿宋" w:hAnsi="仿宋" w:eastAsia="仿宋" w:cs="宋体"/>
          <w:kern w:val="0"/>
          <w:sz w:val="30"/>
          <w:szCs w:val="30"/>
        </w:rPr>
        <w:t>由自发建设为主向系统推进转变。服务业建设是一项系统工程</w:t>
      </w:r>
      <w:r>
        <w:rPr>
          <w:rFonts w:hint="eastAsia" w:ascii="仿宋" w:hAnsi="仿宋" w:eastAsia="仿宋" w:cs="宋体"/>
          <w:kern w:val="0"/>
          <w:sz w:val="30"/>
          <w:szCs w:val="30"/>
        </w:rPr>
        <w:t>，</w:t>
      </w:r>
      <w:r>
        <w:rPr>
          <w:rFonts w:ascii="仿宋" w:hAnsi="仿宋" w:eastAsia="仿宋" w:cs="宋体"/>
          <w:kern w:val="0"/>
          <w:sz w:val="30"/>
          <w:szCs w:val="30"/>
        </w:rPr>
        <w:t>必须在继续发挥</w:t>
      </w:r>
      <w:r>
        <w:rPr>
          <w:rFonts w:hint="eastAsia" w:ascii="仿宋" w:hAnsi="仿宋" w:eastAsia="仿宋" w:cs="宋体"/>
          <w:kern w:val="0"/>
          <w:sz w:val="30"/>
          <w:szCs w:val="30"/>
          <w:lang w:eastAsia="zh-CN"/>
        </w:rPr>
        <w:t>服务业</w:t>
      </w:r>
      <w:r>
        <w:rPr>
          <w:rFonts w:ascii="仿宋" w:hAnsi="仿宋" w:eastAsia="仿宋" w:cs="宋体"/>
          <w:kern w:val="0"/>
          <w:sz w:val="30"/>
          <w:szCs w:val="30"/>
        </w:rPr>
        <w:t>主动性、能动性的基础上，进一步突出顶层设计和统筹规划，加快建立县</w:t>
      </w:r>
      <w:r>
        <w:rPr>
          <w:rFonts w:hint="eastAsia" w:ascii="仿宋" w:hAnsi="仿宋" w:eastAsia="仿宋" w:cs="宋体"/>
          <w:kern w:val="0"/>
          <w:sz w:val="30"/>
          <w:szCs w:val="30"/>
        </w:rPr>
        <w:t>、镇（乡）</w:t>
      </w:r>
      <w:r>
        <w:rPr>
          <w:rFonts w:ascii="仿宋" w:hAnsi="仿宋" w:eastAsia="仿宋" w:cs="宋体"/>
          <w:kern w:val="0"/>
          <w:sz w:val="30"/>
          <w:szCs w:val="30"/>
        </w:rPr>
        <w:t>和管委会联动管理的协调机制，切实推动管理体制、开发模式创新，消除制约服务业发展的深层次体制机制障碍，提升</w:t>
      </w:r>
      <w:r>
        <w:rPr>
          <w:rFonts w:hint="eastAsia" w:ascii="仿宋" w:hAnsi="仿宋" w:eastAsia="仿宋" w:cs="宋体"/>
          <w:kern w:val="0"/>
          <w:sz w:val="30"/>
          <w:szCs w:val="30"/>
          <w:lang w:eastAsia="zh-CN"/>
        </w:rPr>
        <w:t>服务业</w:t>
      </w:r>
      <w:r>
        <w:rPr>
          <w:rFonts w:ascii="仿宋" w:hAnsi="仿宋" w:eastAsia="仿宋" w:cs="宋体"/>
          <w:kern w:val="0"/>
          <w:sz w:val="30"/>
          <w:szCs w:val="30"/>
        </w:rPr>
        <w:t>发展活力。</w:t>
      </w:r>
    </w:p>
    <w:p>
      <w:pPr>
        <w:spacing w:line="360" w:lineRule="auto"/>
        <w:ind w:firstLine="600" w:firstLineChars="200"/>
        <w:rPr>
          <w:rFonts w:ascii="仿宋" w:hAnsi="仿宋" w:eastAsia="仿宋" w:cs="宋体"/>
          <w:kern w:val="0"/>
          <w:sz w:val="30"/>
          <w:szCs w:val="30"/>
        </w:rPr>
      </w:pPr>
      <w:r>
        <w:rPr>
          <w:rFonts w:ascii="仿宋" w:hAnsi="仿宋" w:eastAsia="仿宋" w:cs="宋体"/>
          <w:kern w:val="0"/>
          <w:sz w:val="30"/>
          <w:szCs w:val="30"/>
        </w:rPr>
        <w:br w:type="page"/>
      </w:r>
    </w:p>
    <w:p>
      <w:pPr>
        <w:spacing w:line="360" w:lineRule="auto"/>
        <w:rPr>
          <w:rFonts w:ascii="仿宋" w:hAnsi="仿宋" w:eastAsia="仿宋" w:cs="宋体"/>
          <w:kern w:val="0"/>
          <w:sz w:val="30"/>
          <w:szCs w:val="30"/>
        </w:rPr>
      </w:pPr>
    </w:p>
    <w:p>
      <w:pPr>
        <w:pStyle w:val="4"/>
        <w:jc w:val="center"/>
      </w:pPr>
      <w:bookmarkStart w:id="7" w:name="_Toc13417225"/>
      <w:r>
        <w:rPr>
          <w:rFonts w:hint="eastAsia"/>
        </w:rPr>
        <w:t>第二章 总体思路</w:t>
      </w:r>
      <w:bookmarkEnd w:id="7"/>
    </w:p>
    <w:p>
      <w:pPr>
        <w:pStyle w:val="5"/>
        <w:jc w:val="center"/>
      </w:pPr>
      <w:bookmarkStart w:id="8" w:name="_Toc13417226"/>
      <w:r>
        <w:rPr>
          <w:rFonts w:hint="eastAsia"/>
        </w:rPr>
        <w:t>第一节 指导思想</w:t>
      </w:r>
      <w:bookmarkEnd w:id="8"/>
    </w:p>
    <w:p>
      <w:pPr>
        <w:spacing w:before="240" w:after="240"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高举中国特色社会主义伟大旗帜，坚持以习近平新时代中国特色社会主义思想为指导，深入贯彻党的十九届五中全会、中央第七次西藏工作座谈会、省委十一届八次全会、省委涉藏工作会议和州委十一届十次全会精神，全面准确、系统深入宣传县委十二届十一次全会精神，激励全县干部群众把思想和行动统一到全会精神上来，把智慧和力量凝聚到落实全会确定的各项目标任务上来，为全面建设团结、富裕、文明、和谐、美丽的现代化新理县开好局、起好步汇聚强大力量。</w:t>
      </w:r>
    </w:p>
    <w:p>
      <w:pPr>
        <w:spacing w:before="240" w:after="240" w:line="360" w:lineRule="auto"/>
        <w:ind w:firstLine="640" w:firstLineChars="200"/>
        <w:rPr>
          <w:rFonts w:hint="eastAsia" w:ascii="仿宋" w:hAnsi="仿宋" w:eastAsia="仿宋" w:cs="仿宋"/>
          <w:sz w:val="32"/>
          <w:szCs w:val="32"/>
        </w:rPr>
      </w:pPr>
    </w:p>
    <w:p>
      <w:pPr>
        <w:spacing w:before="240" w:after="240" w:line="360" w:lineRule="auto"/>
        <w:ind w:firstLine="640" w:firstLineChars="200"/>
        <w:rPr>
          <w:rFonts w:hint="eastAsia" w:ascii="仿宋" w:hAnsi="仿宋" w:eastAsia="仿宋" w:cs="仿宋"/>
          <w:sz w:val="32"/>
          <w:szCs w:val="32"/>
        </w:rPr>
      </w:pPr>
    </w:p>
    <w:p>
      <w:pPr>
        <w:spacing w:before="240" w:after="240" w:line="360" w:lineRule="auto"/>
        <w:ind w:firstLine="640" w:firstLineChars="200"/>
        <w:rPr>
          <w:rFonts w:hint="eastAsia" w:ascii="仿宋" w:hAnsi="仿宋" w:eastAsia="仿宋" w:cs="仿宋"/>
          <w:sz w:val="32"/>
          <w:szCs w:val="32"/>
        </w:rPr>
      </w:pPr>
    </w:p>
    <w:p>
      <w:pPr>
        <w:spacing w:before="240" w:after="240" w:line="360" w:lineRule="auto"/>
        <w:ind w:firstLine="640" w:firstLineChars="200"/>
        <w:rPr>
          <w:rFonts w:hint="eastAsia" w:ascii="仿宋" w:hAnsi="仿宋" w:eastAsia="仿宋" w:cs="仿宋"/>
          <w:sz w:val="32"/>
          <w:szCs w:val="32"/>
        </w:rPr>
      </w:pPr>
    </w:p>
    <w:p>
      <w:pPr>
        <w:pStyle w:val="5"/>
        <w:jc w:val="center"/>
      </w:pPr>
      <w:bookmarkStart w:id="9" w:name="_Toc13417227"/>
      <w:r>
        <w:rPr>
          <w:rFonts w:hint="eastAsia"/>
        </w:rPr>
        <w:t>第二节  规划原则</w:t>
      </w:r>
      <w:bookmarkEnd w:id="9"/>
    </w:p>
    <w:p>
      <w:pPr>
        <w:widowControl/>
        <w:spacing w:before="100" w:beforeAutospacing="1" w:after="100" w:afterAutospacing="1" w:line="480" w:lineRule="auto"/>
        <w:ind w:firstLine="600" w:firstLineChars="200"/>
        <w:jc w:val="left"/>
        <w:rPr>
          <w:rFonts w:ascii="仿宋" w:hAnsi="仿宋" w:eastAsia="仿宋" w:cs="宋体"/>
          <w:kern w:val="0"/>
          <w:sz w:val="30"/>
          <w:szCs w:val="30"/>
        </w:rPr>
      </w:pPr>
      <w:r>
        <w:rPr>
          <w:rFonts w:hint="eastAsia" w:ascii="仿宋" w:hAnsi="仿宋" w:eastAsia="仿宋"/>
          <w:kern w:val="0"/>
          <w:sz w:val="30"/>
          <w:szCs w:val="30"/>
        </w:rPr>
        <w:t>——</w:t>
      </w:r>
      <w:r>
        <w:rPr>
          <w:rFonts w:ascii="仿宋" w:hAnsi="仿宋" w:eastAsia="仿宋" w:cs="宋体"/>
          <w:kern w:val="0"/>
          <w:sz w:val="30"/>
          <w:szCs w:val="30"/>
        </w:rPr>
        <w:t>市场主导、政府引导。</w:t>
      </w:r>
      <w:r>
        <w:rPr>
          <w:rFonts w:hint="eastAsia" w:ascii="仿宋" w:hAnsi="仿宋" w:eastAsia="仿宋" w:cs="宋体"/>
          <w:kern w:val="0"/>
          <w:sz w:val="30"/>
          <w:szCs w:val="30"/>
        </w:rPr>
        <w:t>充分发挥市场配置资源的基础性作用，</w:t>
      </w:r>
      <w:r>
        <w:rPr>
          <w:rFonts w:ascii="仿宋" w:hAnsi="仿宋" w:eastAsia="仿宋" w:cs="宋体"/>
          <w:kern w:val="0"/>
          <w:sz w:val="30"/>
          <w:szCs w:val="30"/>
        </w:rPr>
        <w:t>进一步突出企业主体地位，调动企业在投资、建设、运营、管理中的积极性</w:t>
      </w:r>
      <w:r>
        <w:rPr>
          <w:rFonts w:hint="eastAsia" w:ascii="仿宋" w:hAnsi="仿宋" w:eastAsia="仿宋" w:cs="宋体"/>
          <w:kern w:val="0"/>
          <w:sz w:val="30"/>
          <w:szCs w:val="30"/>
        </w:rPr>
        <w:t>；强化政府服务职能，建立和完善公共服务平台，规范市场准入，降低交易成本，营造良好的发展环境。</w:t>
      </w:r>
      <w:r>
        <w:rPr>
          <w:rFonts w:ascii="仿宋" w:hAnsi="仿宋" w:eastAsia="仿宋" w:cs="宋体"/>
          <w:kern w:val="0"/>
          <w:sz w:val="30"/>
          <w:szCs w:val="30"/>
        </w:rPr>
        <w:t>更好发挥政府在规划引导、政策扶持等方面作用，</w:t>
      </w:r>
      <w:r>
        <w:rPr>
          <w:rFonts w:hint="eastAsia" w:ascii="仿宋" w:hAnsi="仿宋" w:eastAsia="仿宋" w:cs="宋体"/>
          <w:kern w:val="0"/>
          <w:sz w:val="30"/>
          <w:szCs w:val="30"/>
        </w:rPr>
        <w:t>促进企业集聚，推进服务业建设。</w:t>
      </w:r>
    </w:p>
    <w:p>
      <w:pPr>
        <w:widowControl/>
        <w:spacing w:before="100" w:beforeAutospacing="1" w:after="100" w:afterAutospacing="1" w:line="48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集聚集约,优化布局。推进同类型服务业企业在空间的相对集中,发挥产业集聚的规模效应、溢出效应,强化产业链配套协作与专业分工,提升公共服务能力,形成配置合理、功能清晰、相对集中的服务业集聚形态和集约发展模式。</w:t>
      </w:r>
    </w:p>
    <w:p>
      <w:pPr>
        <w:widowControl/>
        <w:spacing w:before="100" w:beforeAutospacing="1" w:after="100" w:afterAutospacing="1" w:line="48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——统筹规划,分步实施。以规划为引领,统筹编制相关规划,把</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纳入经济社会发展规划、城市总体规划、土地利用规划及相关专项规划,以重大项目和龙头企业为核心,坚持试点促进和全面推进并举,有计划、分步骤有序实施。</w:t>
      </w:r>
    </w:p>
    <w:p>
      <w:pPr>
        <w:widowControl/>
        <w:spacing w:before="100" w:beforeAutospacing="1" w:after="100" w:afterAutospacing="1" w:line="48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深化改革,创新引领。深化改革，把创新制度供给、公平市场准入、扩大开放合作，作为推进服务业发展的重要举措，努力营造有利于服务业发展的体制环境和开放环境。加快制度创新、技术创新、业态创新和标准引领,创新运营管理模式,增强</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发展动力和活力。</w:t>
      </w:r>
    </w:p>
    <w:p>
      <w:pPr>
        <w:widowControl/>
        <w:spacing w:before="100" w:beforeAutospacing="1" w:after="100" w:afterAutospacing="1" w:line="48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——立足优势, 提升能级。发挥本地区比较优势，立足产业特点，确定服务业发展的功能定位和方向，建设特色鲜明的服务业。以服务业重大项目为载体，特别要加快推进产业带动性强的功能性项目建设，力争形成相对优势，提升</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综合竞争力。</w:t>
      </w:r>
    </w:p>
    <w:p>
      <w:pPr>
        <w:pStyle w:val="5"/>
        <w:jc w:val="center"/>
        <w:rPr>
          <w:rFonts w:hint="eastAsia"/>
          <w:color w:val="FF0000"/>
        </w:rPr>
      </w:pPr>
      <w:bookmarkStart w:id="10" w:name="_Toc13417228"/>
    </w:p>
    <w:p>
      <w:pPr>
        <w:pStyle w:val="5"/>
        <w:jc w:val="center"/>
        <w:rPr>
          <w:color w:val="auto"/>
        </w:rPr>
      </w:pPr>
      <w:r>
        <w:rPr>
          <w:rFonts w:hint="eastAsia"/>
          <w:color w:val="auto"/>
        </w:rPr>
        <w:t>第三节  选定标准</w:t>
      </w:r>
      <w:bookmarkEnd w:id="10"/>
    </w:p>
    <w:p>
      <w:pPr>
        <w:autoSpaceDE w:val="0"/>
        <w:autoSpaceDN w:val="0"/>
        <w:adjustRightInd w:val="0"/>
        <w:spacing w:line="360" w:lineRule="auto"/>
        <w:ind w:firstLine="600" w:firstLineChars="200"/>
        <w:jc w:val="left"/>
        <w:rPr>
          <w:rFonts w:ascii="仿宋" w:hAnsi="仿宋" w:eastAsia="仿宋" w:cs="宋体"/>
          <w:color w:val="auto"/>
          <w:kern w:val="0"/>
          <w:sz w:val="30"/>
          <w:szCs w:val="30"/>
        </w:rPr>
      </w:pPr>
      <w:r>
        <w:rPr>
          <w:rFonts w:hint="eastAsia" w:ascii="仿宋" w:hAnsi="仿宋" w:eastAsia="仿宋" w:cs="宋体"/>
          <w:color w:val="auto"/>
          <w:kern w:val="0"/>
          <w:sz w:val="30"/>
          <w:szCs w:val="30"/>
        </w:rPr>
        <w:t>选定标准：</w:t>
      </w:r>
    </w:p>
    <w:p>
      <w:pPr>
        <w:autoSpaceDE w:val="0"/>
        <w:autoSpaceDN w:val="0"/>
        <w:adjustRightInd w:val="0"/>
        <w:spacing w:line="360" w:lineRule="auto"/>
        <w:ind w:firstLine="600" w:firstLineChars="200"/>
        <w:jc w:val="left"/>
        <w:rPr>
          <w:rFonts w:ascii="仿宋" w:hAnsi="仿宋" w:eastAsia="仿宋" w:cs="宋体"/>
          <w:color w:val="auto"/>
          <w:kern w:val="0"/>
          <w:sz w:val="30"/>
          <w:szCs w:val="30"/>
        </w:rPr>
      </w:pPr>
      <w:r>
        <w:rPr>
          <w:rFonts w:ascii="仿宋" w:hAnsi="仿宋" w:eastAsia="仿宋" w:cs="宋体"/>
          <w:color w:val="auto"/>
          <w:kern w:val="0"/>
          <w:sz w:val="30"/>
          <w:szCs w:val="30"/>
        </w:rPr>
        <w:t xml:space="preserve">1. </w:t>
      </w:r>
      <w:r>
        <w:rPr>
          <w:rFonts w:hint="eastAsia" w:ascii="仿宋" w:hAnsi="仿宋" w:eastAsia="仿宋" w:cs="宋体"/>
          <w:color w:val="auto"/>
          <w:kern w:val="0"/>
          <w:sz w:val="30"/>
          <w:szCs w:val="30"/>
        </w:rPr>
        <w:t>面积10公顷以上；</w:t>
      </w:r>
    </w:p>
    <w:p>
      <w:pPr>
        <w:autoSpaceDE w:val="0"/>
        <w:autoSpaceDN w:val="0"/>
        <w:adjustRightInd w:val="0"/>
        <w:spacing w:line="360" w:lineRule="auto"/>
        <w:ind w:firstLine="600" w:firstLineChars="200"/>
        <w:jc w:val="left"/>
        <w:rPr>
          <w:rFonts w:ascii="仿宋" w:hAnsi="仿宋" w:eastAsia="仿宋" w:cs="宋体"/>
          <w:color w:val="auto"/>
          <w:kern w:val="0"/>
          <w:sz w:val="30"/>
          <w:szCs w:val="30"/>
        </w:rPr>
      </w:pPr>
      <w:r>
        <w:rPr>
          <w:rFonts w:ascii="仿宋" w:hAnsi="仿宋" w:eastAsia="仿宋" w:cs="宋体"/>
          <w:color w:val="auto"/>
          <w:kern w:val="0"/>
          <w:sz w:val="30"/>
          <w:szCs w:val="30"/>
        </w:rPr>
        <w:t xml:space="preserve">2. </w:t>
      </w:r>
      <w:r>
        <w:rPr>
          <w:rFonts w:hint="eastAsia" w:ascii="仿宋" w:hAnsi="仿宋" w:eastAsia="仿宋" w:cs="宋体"/>
          <w:color w:val="auto"/>
          <w:kern w:val="0"/>
          <w:sz w:val="30"/>
          <w:szCs w:val="30"/>
        </w:rPr>
        <w:t>产业用地适度集中；</w:t>
      </w:r>
    </w:p>
    <w:p>
      <w:pPr>
        <w:autoSpaceDE w:val="0"/>
        <w:autoSpaceDN w:val="0"/>
        <w:adjustRightInd w:val="0"/>
        <w:spacing w:line="360" w:lineRule="auto"/>
        <w:ind w:firstLine="600" w:firstLineChars="200"/>
        <w:jc w:val="left"/>
        <w:rPr>
          <w:rFonts w:ascii="仿宋" w:hAnsi="仿宋" w:eastAsia="仿宋" w:cs="宋体"/>
          <w:color w:val="auto"/>
          <w:kern w:val="0"/>
          <w:sz w:val="30"/>
          <w:szCs w:val="30"/>
        </w:rPr>
      </w:pPr>
      <w:r>
        <w:rPr>
          <w:rFonts w:ascii="仿宋" w:hAnsi="仿宋" w:eastAsia="仿宋" w:cs="宋体"/>
          <w:color w:val="auto"/>
          <w:kern w:val="0"/>
          <w:sz w:val="30"/>
          <w:szCs w:val="30"/>
        </w:rPr>
        <w:t xml:space="preserve">3. </w:t>
      </w:r>
      <w:r>
        <w:rPr>
          <w:rFonts w:hint="eastAsia" w:ascii="仿宋" w:hAnsi="仿宋" w:eastAsia="仿宋" w:cs="宋体"/>
          <w:color w:val="auto"/>
          <w:kern w:val="0"/>
          <w:sz w:val="30"/>
          <w:szCs w:val="30"/>
        </w:rPr>
        <w:t>区域国土指标全覆盖；</w:t>
      </w:r>
    </w:p>
    <w:p>
      <w:pPr>
        <w:autoSpaceDE w:val="0"/>
        <w:autoSpaceDN w:val="0"/>
        <w:adjustRightInd w:val="0"/>
        <w:spacing w:line="360" w:lineRule="auto"/>
        <w:ind w:firstLine="600" w:firstLineChars="200"/>
        <w:jc w:val="left"/>
        <w:rPr>
          <w:rFonts w:ascii="仿宋" w:hAnsi="仿宋" w:eastAsia="仿宋" w:cs="宋体"/>
          <w:color w:val="auto"/>
          <w:kern w:val="0"/>
          <w:sz w:val="30"/>
          <w:szCs w:val="30"/>
        </w:rPr>
      </w:pPr>
      <w:r>
        <w:rPr>
          <w:rFonts w:ascii="仿宋" w:hAnsi="仿宋" w:eastAsia="仿宋" w:cs="宋体"/>
          <w:color w:val="auto"/>
          <w:kern w:val="0"/>
          <w:sz w:val="30"/>
          <w:szCs w:val="30"/>
        </w:rPr>
        <w:t xml:space="preserve">4. </w:t>
      </w:r>
      <w:r>
        <w:rPr>
          <w:rFonts w:hint="eastAsia" w:ascii="仿宋" w:hAnsi="仿宋" w:eastAsia="仿宋" w:cs="宋体"/>
          <w:color w:val="auto"/>
          <w:kern w:val="0"/>
          <w:sz w:val="30"/>
          <w:szCs w:val="30"/>
        </w:rPr>
        <w:t>有一定的产业基础和发展空间；</w:t>
      </w:r>
    </w:p>
    <w:p>
      <w:pPr>
        <w:pStyle w:val="22"/>
        <w:spacing w:line="360" w:lineRule="auto"/>
        <w:ind w:firstLine="600"/>
        <w:rPr>
          <w:rFonts w:ascii="仿宋" w:hAnsi="仿宋" w:eastAsia="仿宋"/>
          <w:color w:val="auto"/>
          <w:sz w:val="30"/>
          <w:szCs w:val="30"/>
        </w:rPr>
      </w:pPr>
      <w:r>
        <w:rPr>
          <w:rFonts w:ascii="仿宋" w:hAnsi="仿宋" w:eastAsia="仿宋" w:cs="宋体"/>
          <w:color w:val="auto"/>
          <w:kern w:val="0"/>
          <w:sz w:val="30"/>
          <w:szCs w:val="30"/>
        </w:rPr>
        <w:t xml:space="preserve">5. </w:t>
      </w:r>
      <w:r>
        <w:rPr>
          <w:rFonts w:hint="eastAsia" w:ascii="仿宋" w:hAnsi="仿宋" w:eastAsia="仿宋" w:cs="宋体"/>
          <w:color w:val="auto"/>
          <w:kern w:val="0"/>
          <w:sz w:val="30"/>
          <w:szCs w:val="30"/>
        </w:rPr>
        <w:t>有便利的交通条件。</w:t>
      </w:r>
    </w:p>
    <w:p>
      <w:pPr>
        <w:pStyle w:val="5"/>
        <w:jc w:val="center"/>
      </w:pPr>
      <w:bookmarkStart w:id="11" w:name="_Toc13417229"/>
      <w:r>
        <w:rPr>
          <w:rFonts w:hint="eastAsia"/>
        </w:rPr>
        <w:t>第四节 规划目标</w:t>
      </w:r>
      <w:bookmarkEnd w:id="11"/>
    </w:p>
    <w:p>
      <w:pPr>
        <w:pStyle w:val="6"/>
      </w:pPr>
      <w:bookmarkStart w:id="12" w:name="_Toc13417230"/>
      <w:r>
        <w:rPr>
          <w:rFonts w:hint="eastAsia"/>
        </w:rPr>
        <w:t>一、总体定位</w:t>
      </w:r>
      <w:bookmarkEnd w:id="12"/>
    </w:p>
    <w:p>
      <w:pPr>
        <w:autoSpaceDE w:val="0"/>
        <w:autoSpaceDN w:val="0"/>
        <w:adjustRightInd w:val="0"/>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按照“重点集聚、城乡统筹”的原则，以生态资源和民俗文化为主要载体，以生产性服务业和新兴服务业为主导产业，以服务业重大项目和重点企业为抓手，为把理县建设成为</w:t>
      </w:r>
      <w:r>
        <w:rPr>
          <w:rFonts w:hint="eastAsia" w:ascii="仿宋" w:hAnsi="仿宋" w:eastAsia="仿宋" w:cs="仿宋"/>
          <w:sz w:val="32"/>
          <w:szCs w:val="32"/>
        </w:rPr>
        <w:t>川西北现代服务业强县、</w:t>
      </w:r>
      <w:r>
        <w:rPr>
          <w:rFonts w:hint="eastAsia" w:ascii="仿宋" w:hAnsi="仿宋" w:eastAsia="仿宋" w:cs="仿宋"/>
          <w:sz w:val="32"/>
          <w:szCs w:val="32"/>
          <w:lang w:eastAsia="zh-CN"/>
        </w:rPr>
        <w:t>全域旅游示范区</w:t>
      </w:r>
      <w:r>
        <w:rPr>
          <w:rFonts w:hint="eastAsia" w:ascii="仿宋" w:hAnsi="仿宋" w:eastAsia="仿宋" w:cs="宋体"/>
          <w:kern w:val="0"/>
          <w:sz w:val="30"/>
          <w:szCs w:val="30"/>
        </w:rPr>
        <w:t>提供支撑。</w:t>
      </w:r>
    </w:p>
    <w:p>
      <w:pPr>
        <w:pStyle w:val="6"/>
      </w:pPr>
      <w:bookmarkStart w:id="13" w:name="_Toc13417231"/>
      <w:r>
        <w:rPr>
          <w:rFonts w:hint="eastAsia"/>
        </w:rPr>
        <w:t>二、发展目标</w:t>
      </w:r>
      <w:bookmarkEnd w:id="13"/>
    </w:p>
    <w:p>
      <w:pPr>
        <w:autoSpaceDE w:val="0"/>
        <w:autoSpaceDN w:val="0"/>
        <w:adjustRightInd w:val="0"/>
        <w:spacing w:line="360" w:lineRule="auto"/>
        <w:ind w:firstLine="600" w:firstLineChars="200"/>
        <w:jc w:val="left"/>
        <w:rPr>
          <w:rFonts w:ascii="仿宋" w:hAnsi="仿宋" w:eastAsia="仿宋" w:cs="宋体"/>
          <w:kern w:val="0"/>
          <w:sz w:val="30"/>
          <w:szCs w:val="30"/>
        </w:rPr>
      </w:pPr>
      <w:r>
        <w:rPr>
          <w:rFonts w:ascii="仿宋" w:hAnsi="仿宋" w:eastAsia="仿宋" w:cs="宋体"/>
          <w:kern w:val="0"/>
          <w:sz w:val="30"/>
          <w:szCs w:val="30"/>
        </w:rPr>
        <w:t xml:space="preserve">1. </w:t>
      </w:r>
      <w:r>
        <w:rPr>
          <w:rFonts w:hint="eastAsia" w:ascii="仿宋" w:hAnsi="仿宋" w:eastAsia="仿宋" w:cs="宋体"/>
          <w:kern w:val="0"/>
          <w:sz w:val="30"/>
          <w:szCs w:val="30"/>
        </w:rPr>
        <w:t>近期（</w:t>
      </w:r>
      <w:r>
        <w:rPr>
          <w:rFonts w:ascii="仿宋" w:hAnsi="仿宋" w:eastAsia="仿宋" w:cs="宋体"/>
          <w:kern w:val="0"/>
          <w:sz w:val="30"/>
          <w:szCs w:val="30"/>
        </w:rPr>
        <w:t>20</w:t>
      </w:r>
      <w:r>
        <w:rPr>
          <w:rFonts w:hint="eastAsia" w:ascii="仿宋" w:hAnsi="仿宋" w:eastAsia="仿宋" w:cs="宋体"/>
          <w:kern w:val="0"/>
          <w:sz w:val="30"/>
          <w:szCs w:val="30"/>
          <w:lang w:val="en-US" w:eastAsia="zh-CN"/>
        </w:rPr>
        <w:t>21</w:t>
      </w:r>
      <w:r>
        <w:rPr>
          <w:rFonts w:ascii="仿宋" w:hAnsi="仿宋" w:eastAsia="仿宋" w:cs="宋体"/>
          <w:kern w:val="0"/>
          <w:sz w:val="30"/>
          <w:szCs w:val="30"/>
        </w:rPr>
        <w:t>-20</w:t>
      </w:r>
      <w:r>
        <w:rPr>
          <w:rFonts w:hint="eastAsia" w:ascii="仿宋" w:hAnsi="仿宋" w:eastAsia="仿宋" w:cs="宋体"/>
          <w:kern w:val="0"/>
          <w:sz w:val="30"/>
          <w:szCs w:val="30"/>
        </w:rPr>
        <w:t>2</w:t>
      </w:r>
      <w:r>
        <w:rPr>
          <w:rFonts w:hint="eastAsia" w:ascii="仿宋" w:hAnsi="仿宋" w:eastAsia="仿宋" w:cs="宋体"/>
          <w:kern w:val="0"/>
          <w:sz w:val="30"/>
          <w:szCs w:val="30"/>
          <w:lang w:val="en-US" w:eastAsia="zh-CN"/>
        </w:rPr>
        <w:t>3</w:t>
      </w:r>
      <w:r>
        <w:rPr>
          <w:rFonts w:hint="eastAsia" w:ascii="仿宋" w:hAnsi="仿宋" w:eastAsia="仿宋" w:cs="宋体"/>
          <w:kern w:val="0"/>
          <w:sz w:val="30"/>
          <w:szCs w:val="30"/>
        </w:rPr>
        <w:t>年）：</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增加值年均增长</w:t>
      </w:r>
      <w:r>
        <w:rPr>
          <w:rFonts w:hint="eastAsia" w:ascii="仿宋" w:hAnsi="仿宋" w:eastAsia="仿宋" w:cs="宋体"/>
          <w:kern w:val="0"/>
          <w:sz w:val="30"/>
          <w:szCs w:val="30"/>
          <w:lang w:val="en-US" w:eastAsia="zh-CN"/>
        </w:rPr>
        <w:t>7</w:t>
      </w:r>
      <w:r>
        <w:rPr>
          <w:rFonts w:ascii="仿宋" w:hAnsi="仿宋" w:eastAsia="仿宋" w:cs="宋体"/>
          <w:kern w:val="0"/>
          <w:sz w:val="30"/>
          <w:szCs w:val="30"/>
        </w:rPr>
        <w:t>%</w:t>
      </w:r>
      <w:r>
        <w:rPr>
          <w:rFonts w:hint="eastAsia" w:ascii="仿宋" w:hAnsi="仿宋" w:eastAsia="仿宋" w:cs="宋体"/>
          <w:kern w:val="0"/>
          <w:sz w:val="30"/>
          <w:szCs w:val="30"/>
        </w:rPr>
        <w:t>以上。到</w:t>
      </w:r>
      <w:r>
        <w:rPr>
          <w:rFonts w:ascii="仿宋" w:hAnsi="仿宋" w:eastAsia="仿宋" w:cs="宋体"/>
          <w:kern w:val="0"/>
          <w:sz w:val="30"/>
          <w:szCs w:val="30"/>
        </w:rPr>
        <w:t>20</w:t>
      </w:r>
      <w:r>
        <w:rPr>
          <w:rFonts w:hint="eastAsia" w:ascii="仿宋" w:hAnsi="仿宋" w:eastAsia="仿宋" w:cs="宋体"/>
          <w:kern w:val="0"/>
          <w:sz w:val="30"/>
          <w:szCs w:val="30"/>
          <w:lang w:val="en-US" w:eastAsia="zh-CN"/>
        </w:rPr>
        <w:t>23</w:t>
      </w:r>
      <w:r>
        <w:rPr>
          <w:rFonts w:hint="eastAsia" w:ascii="仿宋" w:hAnsi="仿宋" w:eastAsia="仿宋" w:cs="宋体"/>
          <w:kern w:val="0"/>
          <w:sz w:val="30"/>
          <w:szCs w:val="30"/>
        </w:rPr>
        <w:t>年，引进服务业重大项目或知名服务品牌数量占区域新引进数量的</w:t>
      </w:r>
      <w:r>
        <w:rPr>
          <w:rFonts w:hint="eastAsia" w:ascii="仿宋" w:hAnsi="仿宋" w:eastAsia="仿宋" w:cs="宋体"/>
          <w:kern w:val="0"/>
          <w:sz w:val="30"/>
          <w:szCs w:val="30"/>
          <w:lang w:val="en-US" w:eastAsia="zh-CN"/>
        </w:rPr>
        <w:t>40</w:t>
      </w:r>
      <w:r>
        <w:rPr>
          <w:rFonts w:ascii="仿宋" w:hAnsi="仿宋" w:eastAsia="仿宋" w:cs="宋体"/>
          <w:kern w:val="0"/>
          <w:sz w:val="30"/>
          <w:szCs w:val="30"/>
        </w:rPr>
        <w:t>%</w:t>
      </w:r>
      <w:r>
        <w:rPr>
          <w:rFonts w:hint="eastAsia" w:ascii="仿宋" w:hAnsi="仿宋" w:eastAsia="仿宋" w:cs="宋体"/>
          <w:kern w:val="0"/>
          <w:sz w:val="30"/>
          <w:szCs w:val="30"/>
        </w:rPr>
        <w:t>以上，实现服务业增加值</w:t>
      </w:r>
      <w:r>
        <w:rPr>
          <w:rFonts w:hint="eastAsia" w:ascii="仿宋" w:hAnsi="仿宋" w:eastAsia="仿宋" w:cs="宋体"/>
          <w:kern w:val="0"/>
          <w:sz w:val="30"/>
          <w:szCs w:val="30"/>
          <w:lang w:val="en-US" w:eastAsia="zh-CN"/>
        </w:rPr>
        <w:t>15</w:t>
      </w:r>
      <w:r>
        <w:rPr>
          <w:rFonts w:hint="eastAsia" w:ascii="仿宋" w:hAnsi="仿宋" w:eastAsia="仿宋" w:cs="宋体"/>
          <w:kern w:val="0"/>
          <w:sz w:val="30"/>
          <w:szCs w:val="30"/>
        </w:rPr>
        <w:t>亿元以上。</w:t>
      </w:r>
    </w:p>
    <w:p>
      <w:pPr>
        <w:autoSpaceDE w:val="0"/>
        <w:autoSpaceDN w:val="0"/>
        <w:adjustRightInd w:val="0"/>
        <w:spacing w:line="360" w:lineRule="auto"/>
        <w:ind w:firstLine="600" w:firstLineChars="200"/>
        <w:jc w:val="left"/>
        <w:rPr>
          <w:rFonts w:ascii="仿宋" w:hAnsi="仿宋" w:eastAsia="仿宋" w:cs="宋体"/>
          <w:kern w:val="0"/>
          <w:sz w:val="30"/>
          <w:szCs w:val="30"/>
        </w:rPr>
      </w:pPr>
      <w:r>
        <w:rPr>
          <w:rFonts w:ascii="仿宋" w:hAnsi="仿宋" w:eastAsia="仿宋" w:cs="宋体"/>
          <w:kern w:val="0"/>
          <w:sz w:val="30"/>
          <w:szCs w:val="30"/>
        </w:rPr>
        <w:t xml:space="preserve">2. </w:t>
      </w:r>
      <w:r>
        <w:rPr>
          <w:rFonts w:hint="eastAsia" w:ascii="仿宋" w:hAnsi="仿宋" w:eastAsia="仿宋" w:cs="宋体"/>
          <w:kern w:val="0"/>
          <w:sz w:val="30"/>
          <w:szCs w:val="30"/>
        </w:rPr>
        <w:t>远期（</w:t>
      </w:r>
      <w:r>
        <w:rPr>
          <w:rFonts w:ascii="仿宋" w:hAnsi="仿宋" w:eastAsia="仿宋" w:cs="宋体"/>
          <w:kern w:val="0"/>
          <w:sz w:val="30"/>
          <w:szCs w:val="30"/>
        </w:rPr>
        <w:t>20</w:t>
      </w:r>
      <w:r>
        <w:rPr>
          <w:rFonts w:hint="eastAsia" w:ascii="仿宋" w:hAnsi="仿宋" w:eastAsia="仿宋" w:cs="宋体"/>
          <w:kern w:val="0"/>
          <w:sz w:val="30"/>
          <w:szCs w:val="30"/>
        </w:rPr>
        <w:t>2</w:t>
      </w:r>
      <w:r>
        <w:rPr>
          <w:rFonts w:hint="eastAsia" w:ascii="仿宋" w:hAnsi="仿宋" w:eastAsia="仿宋" w:cs="宋体"/>
          <w:kern w:val="0"/>
          <w:sz w:val="30"/>
          <w:szCs w:val="30"/>
          <w:lang w:val="en-US" w:eastAsia="zh-CN"/>
        </w:rPr>
        <w:t>4</w:t>
      </w:r>
      <w:r>
        <w:rPr>
          <w:rFonts w:ascii="仿宋" w:hAnsi="仿宋" w:eastAsia="仿宋" w:cs="宋体"/>
          <w:kern w:val="0"/>
          <w:sz w:val="30"/>
          <w:szCs w:val="30"/>
        </w:rPr>
        <w:t>-202</w:t>
      </w:r>
      <w:r>
        <w:rPr>
          <w:rFonts w:hint="eastAsia" w:ascii="仿宋" w:hAnsi="仿宋" w:eastAsia="仿宋" w:cs="宋体"/>
          <w:kern w:val="0"/>
          <w:sz w:val="30"/>
          <w:szCs w:val="30"/>
          <w:lang w:val="en-US" w:eastAsia="zh-CN"/>
        </w:rPr>
        <w:t>5</w:t>
      </w:r>
      <w:r>
        <w:rPr>
          <w:rFonts w:hint="eastAsia" w:ascii="仿宋" w:hAnsi="仿宋" w:eastAsia="仿宋" w:cs="宋体"/>
          <w:kern w:val="0"/>
          <w:sz w:val="30"/>
          <w:szCs w:val="30"/>
        </w:rPr>
        <w:t>年）：</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增加值年均增长1</w:t>
      </w:r>
      <w:r>
        <w:rPr>
          <w:rFonts w:hint="eastAsia" w:ascii="仿宋" w:hAnsi="仿宋" w:eastAsia="仿宋" w:cs="宋体"/>
          <w:kern w:val="0"/>
          <w:sz w:val="30"/>
          <w:szCs w:val="30"/>
          <w:lang w:val="en-US" w:eastAsia="zh-CN"/>
        </w:rPr>
        <w:t>0</w:t>
      </w:r>
      <w:r>
        <w:rPr>
          <w:rFonts w:ascii="仿宋" w:hAnsi="仿宋" w:eastAsia="仿宋" w:cs="宋体"/>
          <w:kern w:val="0"/>
          <w:sz w:val="30"/>
          <w:szCs w:val="30"/>
        </w:rPr>
        <w:t>%</w:t>
      </w:r>
      <w:r>
        <w:rPr>
          <w:rFonts w:hint="eastAsia" w:ascii="仿宋" w:hAnsi="仿宋" w:eastAsia="仿宋" w:cs="宋体"/>
          <w:kern w:val="0"/>
          <w:sz w:val="30"/>
          <w:szCs w:val="30"/>
        </w:rPr>
        <w:t>以上，到</w:t>
      </w:r>
      <w:r>
        <w:rPr>
          <w:rFonts w:ascii="仿宋" w:hAnsi="仿宋" w:eastAsia="仿宋" w:cs="宋体"/>
          <w:kern w:val="0"/>
          <w:sz w:val="30"/>
          <w:szCs w:val="30"/>
        </w:rPr>
        <w:t>202</w:t>
      </w:r>
      <w:r>
        <w:rPr>
          <w:rFonts w:hint="eastAsia" w:ascii="仿宋" w:hAnsi="仿宋" w:eastAsia="仿宋" w:cs="宋体"/>
          <w:kern w:val="0"/>
          <w:sz w:val="30"/>
          <w:szCs w:val="30"/>
          <w:lang w:val="en-US" w:eastAsia="zh-CN"/>
        </w:rPr>
        <w:t>5</w:t>
      </w:r>
      <w:r>
        <w:rPr>
          <w:rFonts w:hint="eastAsia" w:ascii="仿宋" w:hAnsi="仿宋" w:eastAsia="仿宋" w:cs="宋体"/>
          <w:kern w:val="0"/>
          <w:sz w:val="30"/>
          <w:szCs w:val="30"/>
        </w:rPr>
        <w:t>年，引进服务业重大项目或知名服务品牌数量占区域新引进数量的</w:t>
      </w:r>
      <w:r>
        <w:rPr>
          <w:rFonts w:hint="eastAsia" w:ascii="仿宋" w:hAnsi="仿宋" w:eastAsia="仿宋" w:cs="宋体"/>
          <w:kern w:val="0"/>
          <w:sz w:val="30"/>
          <w:szCs w:val="30"/>
          <w:lang w:val="en-US" w:eastAsia="zh-CN"/>
        </w:rPr>
        <w:t>5</w:t>
      </w:r>
      <w:r>
        <w:rPr>
          <w:rFonts w:ascii="仿宋" w:hAnsi="仿宋" w:eastAsia="仿宋" w:cs="宋体"/>
          <w:kern w:val="0"/>
          <w:sz w:val="30"/>
          <w:szCs w:val="30"/>
        </w:rPr>
        <w:t>0%</w:t>
      </w:r>
      <w:r>
        <w:rPr>
          <w:rFonts w:hint="eastAsia" w:ascii="仿宋" w:hAnsi="仿宋" w:eastAsia="仿宋" w:cs="宋体"/>
          <w:kern w:val="0"/>
          <w:sz w:val="30"/>
          <w:szCs w:val="30"/>
        </w:rPr>
        <w:t>以上，实现服务业增加值</w:t>
      </w:r>
      <w:r>
        <w:rPr>
          <w:rFonts w:hint="eastAsia" w:ascii="仿宋" w:hAnsi="仿宋" w:eastAsia="仿宋" w:cs="宋体"/>
          <w:kern w:val="0"/>
          <w:sz w:val="30"/>
          <w:szCs w:val="30"/>
          <w:lang w:val="en-US" w:eastAsia="zh-CN"/>
        </w:rPr>
        <w:t>20</w:t>
      </w:r>
      <w:r>
        <w:rPr>
          <w:rFonts w:hint="eastAsia" w:ascii="仿宋" w:hAnsi="仿宋" w:eastAsia="仿宋" w:cs="宋体"/>
          <w:kern w:val="0"/>
          <w:sz w:val="30"/>
          <w:szCs w:val="30"/>
        </w:rPr>
        <w:t>亿元以上。</w:t>
      </w:r>
    </w:p>
    <w:p>
      <w:pPr>
        <w:widowControl/>
        <w:spacing w:before="100" w:beforeAutospacing="1" w:after="100" w:afterAutospacing="1" w:line="360" w:lineRule="auto"/>
        <w:ind w:firstLine="640"/>
        <w:jc w:val="left"/>
        <w:rPr>
          <w:rFonts w:ascii="仿宋" w:hAnsi="仿宋" w:eastAsia="仿宋"/>
          <w:kern w:val="0"/>
          <w:sz w:val="30"/>
          <w:szCs w:val="30"/>
        </w:rPr>
      </w:pPr>
      <w:r>
        <w:rPr>
          <w:rFonts w:ascii="仿宋" w:hAnsi="仿宋" w:eastAsia="仿宋" w:cs="宋体"/>
          <w:kern w:val="0"/>
          <w:sz w:val="30"/>
          <w:szCs w:val="30"/>
        </w:rPr>
        <w:t>到</w:t>
      </w:r>
      <w:r>
        <w:rPr>
          <w:rFonts w:hint="eastAsia" w:ascii="仿宋" w:hAnsi="仿宋" w:eastAsia="仿宋"/>
          <w:kern w:val="0"/>
          <w:sz w:val="30"/>
          <w:szCs w:val="30"/>
        </w:rPr>
        <w:t>202</w:t>
      </w:r>
      <w:r>
        <w:rPr>
          <w:rFonts w:hint="eastAsia" w:ascii="仿宋" w:hAnsi="仿宋" w:eastAsia="仿宋"/>
          <w:kern w:val="0"/>
          <w:sz w:val="30"/>
          <w:szCs w:val="30"/>
          <w:lang w:val="en-US" w:eastAsia="zh-CN"/>
        </w:rPr>
        <w:t>5</w:t>
      </w:r>
      <w:r>
        <w:rPr>
          <w:rFonts w:ascii="仿宋" w:hAnsi="仿宋" w:eastAsia="仿宋" w:cs="宋体"/>
          <w:kern w:val="0"/>
          <w:sz w:val="30"/>
          <w:szCs w:val="30"/>
        </w:rPr>
        <w:t>年，服务业实现数量、规模、质量、效益同步提升，择优培育</w:t>
      </w:r>
      <w:r>
        <w:rPr>
          <w:rFonts w:hint="eastAsia" w:ascii="仿宋" w:hAnsi="仿宋" w:eastAsia="仿宋" w:cs="宋体"/>
          <w:kern w:val="0"/>
          <w:sz w:val="30"/>
          <w:szCs w:val="30"/>
          <w:lang w:val="en-US" w:eastAsia="zh-CN"/>
        </w:rPr>
        <w:t>8</w:t>
      </w:r>
      <w:r>
        <w:rPr>
          <w:rFonts w:ascii="仿宋" w:hAnsi="仿宋" w:eastAsia="仿宋" w:cs="宋体"/>
          <w:kern w:val="0"/>
          <w:sz w:val="30"/>
          <w:szCs w:val="30"/>
        </w:rPr>
        <w:t>家</w:t>
      </w:r>
      <w:r>
        <w:rPr>
          <w:rFonts w:hint="eastAsia" w:ascii="仿宋" w:hAnsi="仿宋" w:eastAsia="仿宋" w:cs="宋体"/>
          <w:kern w:val="0"/>
          <w:sz w:val="30"/>
          <w:szCs w:val="30"/>
          <w:lang w:eastAsia="zh-CN"/>
        </w:rPr>
        <w:t>规模以上服务业企业</w:t>
      </w:r>
      <w:r>
        <w:rPr>
          <w:rFonts w:ascii="仿宋" w:hAnsi="仿宋" w:eastAsia="仿宋" w:cs="宋体"/>
          <w:kern w:val="0"/>
          <w:sz w:val="30"/>
          <w:szCs w:val="30"/>
        </w:rPr>
        <w:t>，突破</w:t>
      </w:r>
      <w:r>
        <w:rPr>
          <w:rFonts w:hint="eastAsia" w:ascii="仿宋" w:hAnsi="仿宋" w:eastAsia="仿宋" w:cs="宋体"/>
          <w:kern w:val="0"/>
          <w:sz w:val="30"/>
          <w:szCs w:val="30"/>
          <w:lang w:val="en-US" w:eastAsia="zh-CN"/>
        </w:rPr>
        <w:t>10</w:t>
      </w:r>
      <w:r>
        <w:rPr>
          <w:rFonts w:ascii="仿宋" w:hAnsi="仿宋" w:eastAsia="仿宋" w:cs="宋体"/>
          <w:kern w:val="0"/>
          <w:sz w:val="30"/>
          <w:szCs w:val="30"/>
        </w:rPr>
        <w:t>亿元营业收入</w:t>
      </w:r>
      <w:r>
        <w:rPr>
          <w:rFonts w:hint="eastAsia" w:ascii="仿宋" w:hAnsi="仿宋" w:eastAsia="仿宋" w:cs="宋体"/>
          <w:kern w:val="0"/>
          <w:sz w:val="30"/>
          <w:szCs w:val="30"/>
        </w:rPr>
        <w:t>，</w:t>
      </w:r>
      <w:r>
        <w:rPr>
          <w:rFonts w:ascii="仿宋" w:hAnsi="仿宋" w:eastAsia="仿宋" w:cs="宋体"/>
          <w:kern w:val="0"/>
          <w:sz w:val="30"/>
          <w:szCs w:val="30"/>
        </w:rPr>
        <w:t>基本形成规划布局合理、协同推进有力、产业特色突出、集聚效应明显的发展新格局。</w:t>
      </w:r>
    </w:p>
    <w:p>
      <w:pPr>
        <w:widowControl/>
        <w:spacing w:before="100" w:beforeAutospacing="1" w:after="100" w:afterAutospacing="1" w:line="360" w:lineRule="auto"/>
        <w:ind w:firstLine="640"/>
        <w:jc w:val="left"/>
        <w:rPr>
          <w:rFonts w:ascii="仿宋" w:hAnsi="仿宋" w:eastAsia="仿宋"/>
          <w:kern w:val="0"/>
          <w:sz w:val="30"/>
          <w:szCs w:val="30"/>
        </w:rPr>
      </w:pPr>
      <w:r>
        <w:rPr>
          <w:rFonts w:hint="eastAsia" w:ascii="仿宋" w:hAnsi="仿宋" w:eastAsia="仿宋"/>
          <w:kern w:val="0"/>
          <w:sz w:val="30"/>
          <w:szCs w:val="30"/>
        </w:rPr>
        <w:t>——</w:t>
      </w:r>
      <w:r>
        <w:rPr>
          <w:rFonts w:ascii="仿宋" w:hAnsi="仿宋" w:eastAsia="仿宋" w:cs="宋体"/>
          <w:kern w:val="0"/>
          <w:sz w:val="30"/>
          <w:szCs w:val="30"/>
        </w:rPr>
        <w:t>综合实力不断增强。到</w:t>
      </w:r>
      <w:r>
        <w:rPr>
          <w:rFonts w:hint="eastAsia" w:ascii="仿宋" w:hAnsi="仿宋" w:eastAsia="仿宋"/>
          <w:kern w:val="0"/>
          <w:sz w:val="30"/>
          <w:szCs w:val="30"/>
        </w:rPr>
        <w:t>202</w:t>
      </w:r>
      <w:r>
        <w:rPr>
          <w:rFonts w:hint="eastAsia" w:ascii="仿宋" w:hAnsi="仿宋" w:eastAsia="仿宋"/>
          <w:kern w:val="0"/>
          <w:sz w:val="30"/>
          <w:szCs w:val="30"/>
          <w:lang w:val="en-US" w:eastAsia="zh-CN"/>
        </w:rPr>
        <w:t>5</w:t>
      </w:r>
      <w:r>
        <w:rPr>
          <w:rFonts w:ascii="仿宋" w:hAnsi="仿宋" w:eastAsia="仿宋" w:cs="宋体"/>
          <w:kern w:val="0"/>
          <w:sz w:val="30"/>
          <w:szCs w:val="30"/>
        </w:rPr>
        <w:t>年，省级服务业达到1-</w:t>
      </w:r>
      <w:r>
        <w:rPr>
          <w:rFonts w:hint="eastAsia" w:ascii="仿宋" w:hAnsi="仿宋" w:eastAsia="仿宋" w:cs="宋体"/>
          <w:kern w:val="0"/>
          <w:sz w:val="30"/>
          <w:szCs w:val="30"/>
        </w:rPr>
        <w:t>2</w:t>
      </w:r>
      <w:r>
        <w:rPr>
          <w:rFonts w:ascii="仿宋" w:hAnsi="仿宋" w:eastAsia="仿宋" w:cs="宋体"/>
          <w:kern w:val="0"/>
          <w:sz w:val="30"/>
          <w:szCs w:val="30"/>
        </w:rPr>
        <w:t>家。</w:t>
      </w:r>
      <w:r>
        <w:rPr>
          <w:rFonts w:hint="eastAsia" w:ascii="仿宋" w:hAnsi="仿宋" w:eastAsia="仿宋" w:cs="宋体"/>
          <w:kern w:val="0"/>
          <w:sz w:val="30"/>
          <w:szCs w:val="30"/>
          <w:lang w:eastAsia="zh-CN"/>
        </w:rPr>
        <w:t>服务业</w:t>
      </w:r>
      <w:r>
        <w:rPr>
          <w:rFonts w:ascii="仿宋" w:hAnsi="仿宋" w:eastAsia="仿宋" w:cs="宋体"/>
          <w:kern w:val="0"/>
          <w:sz w:val="30"/>
          <w:szCs w:val="30"/>
        </w:rPr>
        <w:t>总营业收入、吸纳就业、完成税收均较</w:t>
      </w:r>
      <w:r>
        <w:rPr>
          <w:rFonts w:hint="eastAsia" w:ascii="仿宋" w:hAnsi="仿宋" w:eastAsia="仿宋"/>
          <w:kern w:val="0"/>
          <w:sz w:val="30"/>
          <w:szCs w:val="30"/>
        </w:rPr>
        <w:t>20</w:t>
      </w:r>
      <w:r>
        <w:rPr>
          <w:rFonts w:hint="eastAsia" w:ascii="仿宋" w:hAnsi="仿宋" w:eastAsia="仿宋"/>
          <w:kern w:val="0"/>
          <w:sz w:val="30"/>
          <w:szCs w:val="30"/>
          <w:lang w:val="en-US" w:eastAsia="zh-CN"/>
        </w:rPr>
        <w:t>20</w:t>
      </w:r>
      <w:r>
        <w:rPr>
          <w:rFonts w:ascii="仿宋" w:hAnsi="仿宋" w:eastAsia="仿宋" w:cs="宋体"/>
          <w:kern w:val="0"/>
          <w:sz w:val="30"/>
          <w:szCs w:val="30"/>
        </w:rPr>
        <w:t>年翻一番以上。</w:t>
      </w:r>
    </w:p>
    <w:p>
      <w:pPr>
        <w:widowControl/>
        <w:spacing w:before="100" w:beforeAutospacing="1" w:after="100" w:afterAutospacing="1" w:line="360" w:lineRule="auto"/>
        <w:ind w:firstLine="640"/>
        <w:jc w:val="left"/>
        <w:rPr>
          <w:rFonts w:ascii="仿宋" w:hAnsi="仿宋" w:eastAsia="仿宋"/>
          <w:kern w:val="0"/>
          <w:sz w:val="30"/>
          <w:szCs w:val="30"/>
        </w:rPr>
      </w:pPr>
      <w:r>
        <w:rPr>
          <w:rFonts w:hint="eastAsia" w:ascii="仿宋" w:hAnsi="仿宋" w:eastAsia="仿宋"/>
          <w:kern w:val="0"/>
          <w:sz w:val="30"/>
          <w:szCs w:val="30"/>
        </w:rPr>
        <w:t>——</w:t>
      </w:r>
      <w:r>
        <w:rPr>
          <w:rFonts w:ascii="仿宋" w:hAnsi="仿宋" w:eastAsia="仿宋" w:cs="宋体"/>
          <w:kern w:val="0"/>
          <w:sz w:val="30"/>
          <w:szCs w:val="30"/>
        </w:rPr>
        <w:t>质量效益显著改善。生产性服务业占比保持在</w:t>
      </w:r>
      <w:r>
        <w:rPr>
          <w:rFonts w:hint="eastAsia" w:ascii="仿宋" w:hAnsi="仿宋" w:eastAsia="仿宋"/>
          <w:kern w:val="0"/>
          <w:sz w:val="30"/>
          <w:szCs w:val="30"/>
          <w:lang w:val="en-US" w:eastAsia="zh-CN"/>
        </w:rPr>
        <w:t>50</w:t>
      </w:r>
      <w:r>
        <w:rPr>
          <w:rFonts w:hint="eastAsia" w:ascii="仿宋" w:hAnsi="仿宋" w:eastAsia="仿宋"/>
          <w:kern w:val="0"/>
          <w:sz w:val="30"/>
          <w:szCs w:val="30"/>
        </w:rPr>
        <w:t>%</w:t>
      </w:r>
      <w:r>
        <w:rPr>
          <w:rFonts w:ascii="仿宋" w:hAnsi="仿宋" w:eastAsia="仿宋" w:cs="宋体"/>
          <w:kern w:val="0"/>
          <w:sz w:val="30"/>
          <w:szCs w:val="30"/>
        </w:rPr>
        <w:t>以上。培育一批具有较强影响力和竞争力的服务业领军企业，形成一批具有影响力的服务业品牌。土地等资源利用率持续提高，生态环境保持良好。</w:t>
      </w:r>
    </w:p>
    <w:p>
      <w:pPr>
        <w:widowControl/>
        <w:spacing w:before="100" w:beforeAutospacing="1" w:after="100" w:afterAutospacing="1" w:line="360" w:lineRule="auto"/>
        <w:ind w:firstLine="640"/>
        <w:jc w:val="left"/>
        <w:rPr>
          <w:rFonts w:ascii="仿宋" w:hAnsi="仿宋" w:eastAsia="仿宋"/>
          <w:kern w:val="0"/>
          <w:sz w:val="30"/>
          <w:szCs w:val="30"/>
        </w:rPr>
      </w:pPr>
      <w:r>
        <w:rPr>
          <w:rFonts w:hint="eastAsia" w:ascii="仿宋" w:hAnsi="仿宋" w:eastAsia="仿宋"/>
          <w:kern w:val="0"/>
          <w:sz w:val="30"/>
          <w:szCs w:val="30"/>
        </w:rPr>
        <w:t>——</w:t>
      </w:r>
      <w:r>
        <w:rPr>
          <w:rFonts w:ascii="仿宋" w:hAnsi="仿宋" w:eastAsia="仿宋" w:cs="宋体"/>
          <w:kern w:val="0"/>
          <w:sz w:val="30"/>
          <w:szCs w:val="30"/>
        </w:rPr>
        <w:t>综合服务日益健全。政府引导、市场运作、多方共建的公共服务平台加快布局，建成各类公共服务平台</w:t>
      </w:r>
      <w:r>
        <w:rPr>
          <w:rFonts w:hint="eastAsia" w:ascii="仿宋" w:hAnsi="仿宋" w:eastAsia="仿宋" w:cs="宋体"/>
          <w:kern w:val="0"/>
          <w:sz w:val="30"/>
          <w:szCs w:val="30"/>
        </w:rPr>
        <w:t>2</w:t>
      </w:r>
      <w:r>
        <w:rPr>
          <w:rFonts w:ascii="仿宋" w:hAnsi="仿宋" w:eastAsia="仿宋" w:cs="宋体"/>
          <w:kern w:val="0"/>
          <w:sz w:val="30"/>
          <w:szCs w:val="30"/>
        </w:rPr>
        <w:t>个以上。金融、科技、知识产权、服务外包等配套功能日益健全，各项生活服务设施更加完善，产城融合效应逐步显现。</w:t>
      </w:r>
    </w:p>
    <w:p>
      <w:pPr>
        <w:widowControl/>
        <w:spacing w:before="100" w:beforeAutospacing="1" w:after="100" w:afterAutospacing="1" w:line="360" w:lineRule="auto"/>
        <w:ind w:firstLine="640"/>
        <w:jc w:val="left"/>
        <w:rPr>
          <w:rFonts w:ascii="仿宋" w:hAnsi="仿宋" w:eastAsia="仿宋"/>
          <w:kern w:val="0"/>
          <w:sz w:val="30"/>
          <w:szCs w:val="30"/>
        </w:rPr>
      </w:pPr>
      <w:r>
        <w:rPr>
          <w:rFonts w:hint="eastAsia" w:ascii="仿宋" w:hAnsi="仿宋" w:eastAsia="仿宋"/>
          <w:kern w:val="0"/>
          <w:sz w:val="30"/>
          <w:szCs w:val="30"/>
        </w:rPr>
        <w:t>——</w:t>
      </w:r>
      <w:r>
        <w:rPr>
          <w:rFonts w:ascii="仿宋" w:hAnsi="仿宋" w:eastAsia="仿宋" w:cs="宋体"/>
          <w:kern w:val="0"/>
          <w:sz w:val="30"/>
          <w:szCs w:val="30"/>
        </w:rPr>
        <w:t>推进机制更加完善。县</w:t>
      </w:r>
      <w:r>
        <w:rPr>
          <w:rFonts w:hint="eastAsia" w:ascii="仿宋" w:hAnsi="仿宋" w:eastAsia="仿宋" w:cs="宋体"/>
          <w:kern w:val="0"/>
          <w:sz w:val="30"/>
          <w:szCs w:val="30"/>
        </w:rPr>
        <w:t>、镇（乡）</w:t>
      </w:r>
      <w:r>
        <w:rPr>
          <w:rFonts w:ascii="仿宋" w:hAnsi="仿宋" w:eastAsia="仿宋" w:cs="宋体"/>
          <w:kern w:val="0"/>
          <w:sz w:val="30"/>
          <w:szCs w:val="30"/>
        </w:rPr>
        <w:t>服务业</w:t>
      </w:r>
      <w:r>
        <w:rPr>
          <w:rFonts w:hint="eastAsia" w:ascii="仿宋" w:hAnsi="仿宋" w:eastAsia="仿宋" w:cs="宋体"/>
          <w:kern w:val="0"/>
          <w:sz w:val="30"/>
          <w:szCs w:val="30"/>
          <w:lang w:eastAsia="zh-CN"/>
        </w:rPr>
        <w:t>服务业</w:t>
      </w:r>
      <w:r>
        <w:rPr>
          <w:rFonts w:ascii="仿宋" w:hAnsi="仿宋" w:eastAsia="仿宋" w:cs="宋体"/>
          <w:kern w:val="0"/>
          <w:sz w:val="30"/>
          <w:szCs w:val="30"/>
        </w:rPr>
        <w:t>联动管理体制基本确立，规划布局、政策引导、监督考评、协调联动进一步加强。改革示范积极推进，企业主导的</w:t>
      </w:r>
      <w:r>
        <w:rPr>
          <w:rFonts w:hint="eastAsia" w:ascii="仿宋" w:hAnsi="仿宋" w:eastAsia="仿宋" w:cs="宋体"/>
          <w:kern w:val="0"/>
          <w:sz w:val="30"/>
          <w:szCs w:val="30"/>
          <w:lang w:eastAsia="zh-CN"/>
        </w:rPr>
        <w:t>服务业</w:t>
      </w:r>
      <w:r>
        <w:rPr>
          <w:rFonts w:ascii="仿宋" w:hAnsi="仿宋" w:eastAsia="仿宋" w:cs="宋体"/>
          <w:kern w:val="0"/>
          <w:sz w:val="30"/>
          <w:szCs w:val="30"/>
        </w:rPr>
        <w:t>运营模式逐步成熟，要素保障和政策支持更加充分。</w:t>
      </w:r>
    </w:p>
    <w:p>
      <w:pPr>
        <w:widowControl/>
        <w:spacing w:before="100" w:beforeAutospacing="1" w:after="100" w:afterAutospacing="1" w:line="360" w:lineRule="auto"/>
        <w:jc w:val="center"/>
        <w:rPr>
          <w:rFonts w:ascii="仿宋" w:hAnsi="仿宋" w:eastAsia="仿宋" w:cs="宋体"/>
          <w:kern w:val="0"/>
          <w:sz w:val="30"/>
          <w:szCs w:val="30"/>
        </w:rPr>
      </w:pPr>
    </w:p>
    <w:p>
      <w:pPr>
        <w:widowControl/>
        <w:spacing w:before="100" w:beforeAutospacing="1" w:after="100" w:afterAutospacing="1" w:line="360" w:lineRule="auto"/>
        <w:jc w:val="center"/>
        <w:rPr>
          <w:rFonts w:ascii="仿宋" w:hAnsi="仿宋" w:eastAsia="仿宋"/>
          <w:kern w:val="0"/>
          <w:sz w:val="30"/>
          <w:szCs w:val="30"/>
        </w:rPr>
      </w:pPr>
      <w:r>
        <w:rPr>
          <w:rFonts w:ascii="仿宋" w:hAnsi="仿宋" w:eastAsia="仿宋" w:cs="宋体"/>
          <w:kern w:val="0"/>
          <w:sz w:val="30"/>
          <w:szCs w:val="30"/>
        </w:rPr>
        <w:t>服务业发展目标</w:t>
      </w:r>
    </w:p>
    <w:tbl>
      <w:tblPr>
        <w:tblStyle w:val="18"/>
        <w:tblW w:w="8322" w:type="dxa"/>
        <w:jc w:val="center"/>
        <w:tblLayout w:type="fixed"/>
        <w:tblCellMar>
          <w:top w:w="0" w:type="dxa"/>
          <w:left w:w="0" w:type="dxa"/>
          <w:bottom w:w="0" w:type="dxa"/>
          <w:right w:w="0" w:type="dxa"/>
        </w:tblCellMar>
      </w:tblPr>
      <w:tblGrid>
        <w:gridCol w:w="5043"/>
        <w:gridCol w:w="1766"/>
        <w:gridCol w:w="1513"/>
      </w:tblGrid>
      <w:tr>
        <w:tblPrEx>
          <w:tblCellMar>
            <w:top w:w="0" w:type="dxa"/>
            <w:left w:w="0" w:type="dxa"/>
            <w:bottom w:w="0" w:type="dxa"/>
            <w:right w:w="0" w:type="dxa"/>
          </w:tblCellMar>
        </w:tblPrEx>
        <w:trPr>
          <w:jc w:val="center"/>
        </w:trPr>
        <w:tc>
          <w:tcPr>
            <w:tcW w:w="5043" w:type="dxa"/>
            <w:tcBorders>
              <w:top w:val="inset" w:color="auto" w:sz="6" w:space="0"/>
              <w:left w:val="inset" w:color="auto" w:sz="6" w:space="0"/>
              <w:bottom w:val="inset" w:color="auto" w:sz="6" w:space="0"/>
              <w:right w:val="inset" w:color="auto" w:sz="6" w:space="0"/>
            </w:tcBorders>
            <w:vAlign w:val="center"/>
          </w:tcPr>
          <w:p>
            <w:pPr>
              <w:widowControl/>
              <w:spacing w:before="100" w:beforeAutospacing="1" w:after="100" w:afterAutospacing="1"/>
              <w:jc w:val="center"/>
              <w:rPr>
                <w:rFonts w:ascii="楷体" w:hAnsi="楷体" w:eastAsia="楷体" w:cs="楷体"/>
                <w:kern w:val="0"/>
                <w:sz w:val="24"/>
                <w:szCs w:val="24"/>
              </w:rPr>
            </w:pPr>
            <w:r>
              <w:rPr>
                <w:rFonts w:hint="eastAsia" w:ascii="楷体" w:hAnsi="楷体" w:eastAsia="楷体" w:cs="楷体"/>
                <w:kern w:val="0"/>
                <w:sz w:val="24"/>
                <w:szCs w:val="24"/>
              </w:rPr>
              <w:t>指  标 </w:t>
            </w:r>
          </w:p>
        </w:tc>
        <w:tc>
          <w:tcPr>
            <w:tcW w:w="1766" w:type="dxa"/>
            <w:tcBorders>
              <w:top w:val="inset" w:color="auto" w:sz="6" w:space="0"/>
              <w:left w:val="nil"/>
              <w:bottom w:val="inset" w:color="auto" w:sz="6" w:space="0"/>
              <w:right w:val="inset" w:color="auto" w:sz="6" w:space="0"/>
            </w:tcBorders>
            <w:vAlign w:val="center"/>
          </w:tcPr>
          <w:p>
            <w:pPr>
              <w:widowControl/>
              <w:spacing w:before="100" w:beforeAutospacing="1" w:after="100" w:afterAutospacing="1"/>
              <w:jc w:val="center"/>
              <w:rPr>
                <w:rFonts w:ascii="楷体" w:hAnsi="楷体" w:eastAsia="楷体" w:cs="楷体"/>
                <w:kern w:val="0"/>
                <w:sz w:val="24"/>
                <w:szCs w:val="24"/>
              </w:rPr>
            </w:pPr>
            <w:r>
              <w:rPr>
                <w:rFonts w:hint="eastAsia" w:ascii="楷体" w:hAnsi="楷体" w:eastAsia="楷体" w:cs="楷体"/>
                <w:kern w:val="0"/>
                <w:sz w:val="24"/>
                <w:szCs w:val="24"/>
              </w:rPr>
              <w:t>202</w:t>
            </w:r>
            <w:r>
              <w:rPr>
                <w:rFonts w:hint="eastAsia" w:ascii="楷体" w:hAnsi="楷体" w:eastAsia="楷体" w:cs="楷体"/>
                <w:kern w:val="0"/>
                <w:sz w:val="24"/>
                <w:szCs w:val="24"/>
                <w:lang w:val="en-US" w:eastAsia="zh-CN"/>
              </w:rPr>
              <w:t>2</w:t>
            </w:r>
            <w:r>
              <w:rPr>
                <w:rFonts w:hint="eastAsia" w:ascii="楷体" w:hAnsi="楷体" w:eastAsia="楷体" w:cs="楷体"/>
                <w:kern w:val="0"/>
                <w:sz w:val="24"/>
                <w:szCs w:val="24"/>
              </w:rPr>
              <w:t>年 </w:t>
            </w:r>
          </w:p>
        </w:tc>
        <w:tc>
          <w:tcPr>
            <w:tcW w:w="1513" w:type="dxa"/>
            <w:tcBorders>
              <w:top w:val="inset" w:color="auto" w:sz="6" w:space="0"/>
              <w:left w:val="nil"/>
              <w:bottom w:val="inset" w:color="auto" w:sz="6" w:space="0"/>
              <w:right w:val="inset" w:color="auto" w:sz="6" w:space="0"/>
            </w:tcBorders>
            <w:vAlign w:val="center"/>
          </w:tcPr>
          <w:p>
            <w:pPr>
              <w:widowControl/>
              <w:spacing w:before="100" w:beforeAutospacing="1" w:after="100" w:afterAutospacing="1"/>
              <w:jc w:val="center"/>
              <w:rPr>
                <w:rFonts w:ascii="楷体" w:hAnsi="楷体" w:eastAsia="楷体" w:cs="楷体"/>
                <w:kern w:val="0"/>
                <w:sz w:val="24"/>
                <w:szCs w:val="24"/>
              </w:rPr>
            </w:pPr>
            <w:r>
              <w:rPr>
                <w:rFonts w:hint="eastAsia" w:ascii="楷体" w:hAnsi="楷体" w:eastAsia="楷体" w:cs="楷体"/>
                <w:kern w:val="0"/>
                <w:sz w:val="24"/>
                <w:szCs w:val="24"/>
              </w:rPr>
              <w:t>202</w:t>
            </w:r>
            <w:r>
              <w:rPr>
                <w:rFonts w:hint="eastAsia" w:ascii="楷体" w:hAnsi="楷体" w:eastAsia="楷体" w:cs="楷体"/>
                <w:kern w:val="0"/>
                <w:sz w:val="24"/>
                <w:szCs w:val="24"/>
                <w:lang w:val="en-US" w:eastAsia="zh-CN"/>
              </w:rPr>
              <w:t>5</w:t>
            </w:r>
            <w:r>
              <w:rPr>
                <w:rFonts w:hint="eastAsia" w:ascii="楷体" w:hAnsi="楷体" w:eastAsia="楷体" w:cs="楷体"/>
                <w:kern w:val="0"/>
                <w:sz w:val="24"/>
                <w:szCs w:val="24"/>
              </w:rPr>
              <w:t>年 </w:t>
            </w:r>
          </w:p>
        </w:tc>
      </w:tr>
      <w:tr>
        <w:tblPrEx>
          <w:tblCellMar>
            <w:top w:w="0" w:type="dxa"/>
            <w:left w:w="0" w:type="dxa"/>
            <w:bottom w:w="0" w:type="dxa"/>
            <w:right w:w="0" w:type="dxa"/>
          </w:tblCellMar>
        </w:tblPrEx>
        <w:trPr>
          <w:jc w:val="center"/>
        </w:trPr>
        <w:tc>
          <w:tcPr>
            <w:tcW w:w="5043" w:type="dxa"/>
            <w:tcBorders>
              <w:top w:val="inset" w:color="auto" w:sz="6" w:space="0"/>
              <w:left w:val="inset" w:color="auto" w:sz="6" w:space="0"/>
              <w:bottom w:val="inset" w:color="auto" w:sz="6" w:space="0"/>
              <w:right w:val="inset" w:color="auto" w:sz="6" w:space="0"/>
            </w:tcBorders>
            <w:vAlign w:val="center"/>
          </w:tcPr>
          <w:p>
            <w:pPr>
              <w:widowControl/>
              <w:spacing w:before="100" w:beforeAutospacing="1" w:after="100" w:afterAutospacing="1"/>
              <w:jc w:val="left"/>
              <w:rPr>
                <w:rFonts w:ascii="楷体" w:hAnsi="楷体" w:eastAsia="楷体" w:cs="楷体"/>
                <w:kern w:val="0"/>
                <w:sz w:val="24"/>
                <w:szCs w:val="24"/>
              </w:rPr>
            </w:pPr>
            <w:r>
              <w:rPr>
                <w:rFonts w:hint="eastAsia" w:ascii="楷体" w:hAnsi="楷体" w:eastAsia="楷体" w:cs="楷体"/>
                <w:kern w:val="0"/>
                <w:sz w:val="24"/>
                <w:szCs w:val="24"/>
                <w:lang w:eastAsia="zh-CN"/>
              </w:rPr>
              <w:t>规模以上服务业</w:t>
            </w:r>
            <w:r>
              <w:rPr>
                <w:rFonts w:hint="eastAsia" w:ascii="楷体" w:hAnsi="楷体" w:eastAsia="楷体" w:cs="楷体"/>
                <w:kern w:val="0"/>
                <w:sz w:val="24"/>
                <w:szCs w:val="24"/>
              </w:rPr>
              <w:t>个数（家） </w:t>
            </w:r>
          </w:p>
        </w:tc>
        <w:tc>
          <w:tcPr>
            <w:tcW w:w="1766" w:type="dxa"/>
            <w:tcBorders>
              <w:top w:val="inset" w:color="auto" w:sz="6" w:space="0"/>
              <w:left w:val="nil"/>
              <w:bottom w:val="inset" w:color="auto" w:sz="6" w:space="0"/>
              <w:right w:val="inset" w:color="auto" w:sz="6" w:space="0"/>
            </w:tcBorders>
            <w:vAlign w:val="center"/>
          </w:tcPr>
          <w:p>
            <w:pPr>
              <w:widowControl/>
              <w:spacing w:before="100" w:beforeAutospacing="1" w:after="100" w:afterAutospacing="1"/>
              <w:jc w:val="center"/>
              <w:rPr>
                <w:rFonts w:hint="eastAsia" w:ascii="楷体" w:hAnsi="楷体" w:eastAsia="楷体" w:cs="楷体"/>
                <w:kern w:val="0"/>
                <w:sz w:val="24"/>
                <w:szCs w:val="24"/>
                <w:lang w:eastAsia="zh-CN"/>
              </w:rPr>
            </w:pPr>
            <w:r>
              <w:rPr>
                <w:rFonts w:hint="eastAsia" w:ascii="楷体" w:hAnsi="楷体" w:eastAsia="楷体" w:cs="楷体"/>
                <w:kern w:val="0"/>
                <w:sz w:val="24"/>
                <w:szCs w:val="24"/>
                <w:lang w:val="en-US" w:eastAsia="zh-CN"/>
              </w:rPr>
              <w:t>4</w:t>
            </w:r>
          </w:p>
        </w:tc>
        <w:tc>
          <w:tcPr>
            <w:tcW w:w="1513" w:type="dxa"/>
            <w:tcBorders>
              <w:top w:val="inset" w:color="auto" w:sz="6" w:space="0"/>
              <w:left w:val="nil"/>
              <w:bottom w:val="inset" w:color="auto" w:sz="6" w:space="0"/>
              <w:right w:val="inset" w:color="auto" w:sz="6" w:space="0"/>
            </w:tcBorders>
            <w:vAlign w:val="center"/>
          </w:tcPr>
          <w:p>
            <w:pPr>
              <w:widowControl/>
              <w:spacing w:before="100" w:beforeAutospacing="1" w:after="100" w:afterAutospacing="1"/>
              <w:jc w:val="center"/>
              <w:rPr>
                <w:rFonts w:hint="eastAsia" w:ascii="楷体" w:hAnsi="楷体" w:eastAsia="楷体" w:cs="楷体"/>
                <w:kern w:val="0"/>
                <w:sz w:val="24"/>
                <w:szCs w:val="24"/>
                <w:lang w:eastAsia="zh-CN"/>
              </w:rPr>
            </w:pPr>
            <w:r>
              <w:rPr>
                <w:rFonts w:hint="eastAsia" w:ascii="楷体" w:hAnsi="楷体" w:eastAsia="楷体" w:cs="楷体"/>
                <w:kern w:val="0"/>
                <w:sz w:val="24"/>
                <w:szCs w:val="24"/>
                <w:lang w:val="en-US" w:eastAsia="zh-CN"/>
              </w:rPr>
              <w:t>8</w:t>
            </w:r>
          </w:p>
        </w:tc>
      </w:tr>
      <w:tr>
        <w:tblPrEx>
          <w:tblCellMar>
            <w:top w:w="0" w:type="dxa"/>
            <w:left w:w="0" w:type="dxa"/>
            <w:bottom w:w="0" w:type="dxa"/>
            <w:right w:w="0" w:type="dxa"/>
          </w:tblCellMar>
        </w:tblPrEx>
        <w:trPr>
          <w:jc w:val="center"/>
        </w:trPr>
        <w:tc>
          <w:tcPr>
            <w:tcW w:w="5043" w:type="dxa"/>
            <w:tcBorders>
              <w:top w:val="inset" w:color="auto" w:sz="6" w:space="0"/>
              <w:left w:val="inset" w:color="auto" w:sz="6" w:space="0"/>
              <w:bottom w:val="inset" w:color="auto" w:sz="6" w:space="0"/>
              <w:right w:val="inset" w:color="auto" w:sz="6" w:space="0"/>
            </w:tcBorders>
            <w:vAlign w:val="center"/>
          </w:tcPr>
          <w:p>
            <w:pPr>
              <w:widowControl/>
              <w:spacing w:before="100" w:beforeAutospacing="1" w:after="100" w:afterAutospacing="1"/>
              <w:jc w:val="left"/>
              <w:rPr>
                <w:rFonts w:ascii="楷体" w:hAnsi="楷体" w:eastAsia="楷体" w:cs="楷体"/>
                <w:kern w:val="0"/>
                <w:sz w:val="24"/>
                <w:szCs w:val="24"/>
              </w:rPr>
            </w:pPr>
            <w:r>
              <w:rPr>
                <w:rFonts w:hint="eastAsia" w:ascii="楷体" w:hAnsi="楷体" w:eastAsia="楷体" w:cs="楷体"/>
                <w:kern w:val="0"/>
                <w:sz w:val="24"/>
                <w:szCs w:val="24"/>
              </w:rPr>
              <w:t>营业收入（亿元） </w:t>
            </w:r>
          </w:p>
        </w:tc>
        <w:tc>
          <w:tcPr>
            <w:tcW w:w="1766" w:type="dxa"/>
            <w:tcBorders>
              <w:top w:val="inset" w:color="auto" w:sz="6" w:space="0"/>
              <w:left w:val="nil"/>
              <w:bottom w:val="inset" w:color="auto" w:sz="6" w:space="0"/>
              <w:right w:val="inset" w:color="auto" w:sz="6" w:space="0"/>
            </w:tcBorders>
            <w:vAlign w:val="center"/>
          </w:tcPr>
          <w:p>
            <w:pPr>
              <w:widowControl/>
              <w:spacing w:before="100" w:beforeAutospacing="1" w:after="100" w:afterAutospacing="1"/>
              <w:jc w:val="center"/>
              <w:rPr>
                <w:rFonts w:hint="eastAsia" w:ascii="楷体" w:hAnsi="楷体" w:eastAsia="楷体" w:cs="楷体"/>
                <w:kern w:val="0"/>
                <w:sz w:val="24"/>
                <w:szCs w:val="24"/>
                <w:lang w:eastAsia="zh-CN"/>
              </w:rPr>
            </w:pPr>
            <w:r>
              <w:rPr>
                <w:rFonts w:hint="eastAsia" w:ascii="楷体" w:hAnsi="楷体" w:eastAsia="楷体" w:cs="楷体"/>
                <w:kern w:val="0"/>
                <w:sz w:val="24"/>
                <w:szCs w:val="24"/>
                <w:lang w:val="en-US" w:eastAsia="zh-CN"/>
              </w:rPr>
              <w:t>5</w:t>
            </w:r>
          </w:p>
        </w:tc>
        <w:tc>
          <w:tcPr>
            <w:tcW w:w="1513" w:type="dxa"/>
            <w:tcBorders>
              <w:top w:val="inset" w:color="auto" w:sz="6" w:space="0"/>
              <w:left w:val="nil"/>
              <w:bottom w:val="inset" w:color="auto" w:sz="6" w:space="0"/>
              <w:right w:val="inset" w:color="auto" w:sz="6" w:space="0"/>
            </w:tcBorders>
            <w:vAlign w:val="center"/>
          </w:tcPr>
          <w:p>
            <w:pPr>
              <w:widowControl/>
              <w:spacing w:before="100" w:beforeAutospacing="1" w:after="100" w:afterAutospacing="1"/>
              <w:jc w:val="center"/>
              <w:rPr>
                <w:rFonts w:hint="default"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10</w:t>
            </w:r>
          </w:p>
        </w:tc>
      </w:tr>
      <w:tr>
        <w:tblPrEx>
          <w:tblCellMar>
            <w:top w:w="0" w:type="dxa"/>
            <w:left w:w="0" w:type="dxa"/>
            <w:bottom w:w="0" w:type="dxa"/>
            <w:right w:w="0" w:type="dxa"/>
          </w:tblCellMar>
        </w:tblPrEx>
        <w:trPr>
          <w:jc w:val="center"/>
        </w:trPr>
        <w:tc>
          <w:tcPr>
            <w:tcW w:w="5043" w:type="dxa"/>
            <w:tcBorders>
              <w:top w:val="inset" w:color="auto" w:sz="6" w:space="0"/>
              <w:left w:val="inset" w:color="auto" w:sz="6" w:space="0"/>
              <w:bottom w:val="inset" w:color="auto" w:sz="6" w:space="0"/>
              <w:right w:val="inset" w:color="auto" w:sz="6" w:space="0"/>
            </w:tcBorders>
            <w:vAlign w:val="center"/>
          </w:tcPr>
          <w:p>
            <w:pPr>
              <w:widowControl/>
              <w:spacing w:before="100" w:beforeAutospacing="1" w:after="100" w:afterAutospacing="1"/>
              <w:jc w:val="left"/>
              <w:rPr>
                <w:rFonts w:ascii="楷体" w:hAnsi="楷体" w:eastAsia="楷体" w:cs="楷体"/>
                <w:kern w:val="0"/>
                <w:sz w:val="24"/>
                <w:szCs w:val="24"/>
              </w:rPr>
            </w:pPr>
            <w:r>
              <w:rPr>
                <w:rFonts w:hint="eastAsia" w:ascii="楷体" w:hAnsi="楷体" w:eastAsia="楷体" w:cs="楷体"/>
                <w:kern w:val="0"/>
                <w:sz w:val="24"/>
                <w:szCs w:val="24"/>
              </w:rPr>
              <w:t>从业人员数量（万人） </w:t>
            </w:r>
          </w:p>
        </w:tc>
        <w:tc>
          <w:tcPr>
            <w:tcW w:w="1766" w:type="dxa"/>
            <w:tcBorders>
              <w:top w:val="inset" w:color="auto" w:sz="6" w:space="0"/>
              <w:left w:val="nil"/>
              <w:bottom w:val="inset" w:color="auto" w:sz="6" w:space="0"/>
              <w:right w:val="inset" w:color="auto" w:sz="6" w:space="0"/>
            </w:tcBorders>
            <w:vAlign w:val="center"/>
          </w:tcPr>
          <w:p>
            <w:pPr>
              <w:widowControl/>
              <w:spacing w:before="100" w:beforeAutospacing="1" w:after="100" w:afterAutospacing="1"/>
              <w:jc w:val="center"/>
              <w:rPr>
                <w:rFonts w:hint="eastAsia" w:ascii="楷体" w:hAnsi="楷体" w:eastAsia="楷体" w:cs="楷体"/>
                <w:kern w:val="0"/>
                <w:sz w:val="24"/>
                <w:szCs w:val="24"/>
                <w:lang w:eastAsia="zh-CN"/>
              </w:rPr>
            </w:pPr>
            <w:r>
              <w:rPr>
                <w:rFonts w:hint="eastAsia" w:ascii="楷体" w:hAnsi="楷体" w:eastAsia="楷体" w:cs="楷体"/>
                <w:kern w:val="0"/>
                <w:sz w:val="24"/>
                <w:szCs w:val="24"/>
              </w:rPr>
              <w:t>0.</w:t>
            </w:r>
            <w:r>
              <w:rPr>
                <w:rFonts w:hint="eastAsia" w:ascii="楷体" w:hAnsi="楷体" w:eastAsia="楷体" w:cs="楷体"/>
                <w:kern w:val="0"/>
                <w:sz w:val="24"/>
                <w:szCs w:val="24"/>
                <w:lang w:val="en-US" w:eastAsia="zh-CN"/>
              </w:rPr>
              <w:t>4</w:t>
            </w:r>
          </w:p>
        </w:tc>
        <w:tc>
          <w:tcPr>
            <w:tcW w:w="1513" w:type="dxa"/>
            <w:tcBorders>
              <w:top w:val="inset" w:color="auto" w:sz="6" w:space="0"/>
              <w:left w:val="nil"/>
              <w:bottom w:val="inset" w:color="auto" w:sz="6" w:space="0"/>
              <w:right w:val="inset" w:color="auto" w:sz="6" w:space="0"/>
            </w:tcBorders>
            <w:vAlign w:val="center"/>
          </w:tcPr>
          <w:p>
            <w:pPr>
              <w:widowControl/>
              <w:spacing w:before="100" w:beforeAutospacing="1" w:after="100" w:afterAutospacing="1"/>
              <w:jc w:val="center"/>
              <w:rPr>
                <w:rFonts w:hint="default"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0.8</w:t>
            </w:r>
          </w:p>
        </w:tc>
      </w:tr>
      <w:tr>
        <w:tblPrEx>
          <w:tblCellMar>
            <w:top w:w="0" w:type="dxa"/>
            <w:left w:w="0" w:type="dxa"/>
            <w:bottom w:w="0" w:type="dxa"/>
            <w:right w:w="0" w:type="dxa"/>
          </w:tblCellMar>
        </w:tblPrEx>
        <w:trPr>
          <w:jc w:val="center"/>
        </w:trPr>
        <w:tc>
          <w:tcPr>
            <w:tcW w:w="5043" w:type="dxa"/>
            <w:tcBorders>
              <w:top w:val="inset" w:color="auto" w:sz="6" w:space="0"/>
              <w:left w:val="inset" w:color="auto" w:sz="6" w:space="0"/>
              <w:bottom w:val="inset" w:color="auto" w:sz="6" w:space="0"/>
              <w:right w:val="inset" w:color="auto" w:sz="6" w:space="0"/>
            </w:tcBorders>
            <w:vAlign w:val="center"/>
          </w:tcPr>
          <w:p>
            <w:pPr>
              <w:widowControl/>
              <w:spacing w:before="100" w:beforeAutospacing="1" w:after="100" w:afterAutospacing="1"/>
              <w:jc w:val="left"/>
              <w:rPr>
                <w:rFonts w:ascii="楷体" w:hAnsi="楷体" w:eastAsia="楷体" w:cs="楷体"/>
                <w:kern w:val="0"/>
                <w:sz w:val="24"/>
                <w:szCs w:val="24"/>
              </w:rPr>
            </w:pPr>
            <w:r>
              <w:rPr>
                <w:rFonts w:hint="eastAsia" w:ascii="楷体" w:hAnsi="楷体" w:eastAsia="楷体" w:cs="楷体"/>
                <w:kern w:val="0"/>
                <w:sz w:val="24"/>
                <w:szCs w:val="24"/>
              </w:rPr>
              <w:t>税收（亿元） </w:t>
            </w:r>
          </w:p>
        </w:tc>
        <w:tc>
          <w:tcPr>
            <w:tcW w:w="1766" w:type="dxa"/>
            <w:tcBorders>
              <w:top w:val="inset" w:color="auto" w:sz="6" w:space="0"/>
              <w:left w:val="nil"/>
              <w:bottom w:val="inset" w:color="auto" w:sz="6" w:space="0"/>
              <w:right w:val="inset" w:color="auto" w:sz="6" w:space="0"/>
            </w:tcBorders>
            <w:vAlign w:val="center"/>
          </w:tcPr>
          <w:p>
            <w:pPr>
              <w:widowControl/>
              <w:spacing w:before="100" w:beforeAutospacing="1" w:after="100" w:afterAutospacing="1"/>
              <w:jc w:val="center"/>
              <w:rPr>
                <w:rFonts w:ascii="楷体" w:hAnsi="楷体" w:eastAsia="楷体" w:cs="楷体"/>
                <w:kern w:val="0"/>
                <w:sz w:val="24"/>
                <w:szCs w:val="24"/>
              </w:rPr>
            </w:pPr>
            <w:r>
              <w:rPr>
                <w:rFonts w:hint="eastAsia" w:ascii="楷体" w:hAnsi="楷体" w:eastAsia="楷体" w:cs="楷体"/>
                <w:kern w:val="0"/>
                <w:sz w:val="24"/>
                <w:szCs w:val="24"/>
              </w:rPr>
              <w:t>0.2</w:t>
            </w:r>
          </w:p>
        </w:tc>
        <w:tc>
          <w:tcPr>
            <w:tcW w:w="1513" w:type="dxa"/>
            <w:tcBorders>
              <w:top w:val="inset" w:color="auto" w:sz="6" w:space="0"/>
              <w:left w:val="nil"/>
              <w:bottom w:val="inset" w:color="auto" w:sz="6" w:space="0"/>
              <w:right w:val="inset" w:color="auto" w:sz="6" w:space="0"/>
            </w:tcBorders>
            <w:vAlign w:val="center"/>
          </w:tcPr>
          <w:p>
            <w:pPr>
              <w:widowControl/>
              <w:spacing w:before="100" w:beforeAutospacing="1" w:after="100" w:afterAutospacing="1"/>
              <w:rPr>
                <w:rFonts w:hint="eastAsia" w:ascii="楷体" w:hAnsi="楷体" w:eastAsia="楷体" w:cs="楷体"/>
                <w:kern w:val="0"/>
                <w:sz w:val="24"/>
                <w:szCs w:val="24"/>
                <w:lang w:eastAsia="zh-CN"/>
              </w:rPr>
            </w:pPr>
            <w:r>
              <w:rPr>
                <w:rFonts w:hint="eastAsia" w:ascii="楷体" w:hAnsi="楷体" w:eastAsia="楷体" w:cs="楷体"/>
                <w:kern w:val="0"/>
                <w:sz w:val="24"/>
                <w:szCs w:val="24"/>
              </w:rPr>
              <w:t xml:space="preserve">    0.</w:t>
            </w:r>
            <w:r>
              <w:rPr>
                <w:rFonts w:hint="eastAsia" w:ascii="楷体" w:hAnsi="楷体" w:eastAsia="楷体" w:cs="楷体"/>
                <w:kern w:val="0"/>
                <w:sz w:val="24"/>
                <w:szCs w:val="24"/>
                <w:lang w:val="en-US" w:eastAsia="zh-CN"/>
              </w:rPr>
              <w:t>4</w:t>
            </w:r>
          </w:p>
        </w:tc>
      </w:tr>
      <w:tr>
        <w:tblPrEx>
          <w:tblCellMar>
            <w:top w:w="0" w:type="dxa"/>
            <w:left w:w="0" w:type="dxa"/>
            <w:bottom w:w="0" w:type="dxa"/>
            <w:right w:w="0" w:type="dxa"/>
          </w:tblCellMar>
        </w:tblPrEx>
        <w:trPr>
          <w:jc w:val="center"/>
        </w:trPr>
        <w:tc>
          <w:tcPr>
            <w:tcW w:w="5043" w:type="dxa"/>
            <w:tcBorders>
              <w:top w:val="inset" w:color="auto" w:sz="6" w:space="0"/>
              <w:left w:val="inset" w:color="auto" w:sz="6" w:space="0"/>
              <w:bottom w:val="inset" w:color="auto" w:sz="6" w:space="0"/>
              <w:right w:val="inset" w:color="auto" w:sz="6" w:space="0"/>
            </w:tcBorders>
            <w:vAlign w:val="center"/>
          </w:tcPr>
          <w:p>
            <w:pPr>
              <w:widowControl/>
              <w:spacing w:before="100" w:beforeAutospacing="1" w:after="100" w:afterAutospacing="1"/>
              <w:jc w:val="left"/>
              <w:rPr>
                <w:rFonts w:ascii="楷体" w:hAnsi="楷体" w:eastAsia="楷体" w:cs="楷体"/>
                <w:kern w:val="0"/>
                <w:sz w:val="24"/>
                <w:szCs w:val="24"/>
              </w:rPr>
            </w:pPr>
            <w:r>
              <w:rPr>
                <w:rFonts w:hint="eastAsia" w:ascii="楷体" w:hAnsi="楷体" w:eastAsia="楷体" w:cs="楷体"/>
                <w:kern w:val="0"/>
                <w:sz w:val="24"/>
                <w:szCs w:val="24"/>
              </w:rPr>
              <w:t>公共服务平台个数（个） </w:t>
            </w:r>
          </w:p>
        </w:tc>
        <w:tc>
          <w:tcPr>
            <w:tcW w:w="1766" w:type="dxa"/>
            <w:tcBorders>
              <w:top w:val="inset" w:color="auto" w:sz="6" w:space="0"/>
              <w:left w:val="nil"/>
              <w:bottom w:val="inset" w:color="auto" w:sz="6" w:space="0"/>
              <w:right w:val="inset" w:color="auto" w:sz="6" w:space="0"/>
            </w:tcBorders>
            <w:vAlign w:val="center"/>
          </w:tcPr>
          <w:p>
            <w:pPr>
              <w:widowControl/>
              <w:spacing w:before="100" w:beforeAutospacing="1" w:after="100" w:afterAutospacing="1"/>
              <w:jc w:val="center"/>
              <w:rPr>
                <w:rFonts w:ascii="楷体" w:hAnsi="楷体" w:eastAsia="楷体" w:cs="楷体"/>
                <w:kern w:val="0"/>
                <w:sz w:val="24"/>
                <w:szCs w:val="24"/>
              </w:rPr>
            </w:pPr>
            <w:r>
              <w:rPr>
                <w:rFonts w:hint="eastAsia" w:ascii="楷体" w:hAnsi="楷体" w:eastAsia="楷体" w:cs="楷体"/>
                <w:kern w:val="0"/>
                <w:sz w:val="24"/>
                <w:szCs w:val="24"/>
              </w:rPr>
              <w:t>1</w:t>
            </w:r>
          </w:p>
        </w:tc>
        <w:tc>
          <w:tcPr>
            <w:tcW w:w="1513" w:type="dxa"/>
            <w:tcBorders>
              <w:top w:val="inset" w:color="auto" w:sz="6" w:space="0"/>
              <w:left w:val="nil"/>
              <w:bottom w:val="inset" w:color="auto" w:sz="6" w:space="0"/>
              <w:right w:val="inset" w:color="auto" w:sz="6" w:space="0"/>
            </w:tcBorders>
            <w:vAlign w:val="center"/>
          </w:tcPr>
          <w:p>
            <w:pPr>
              <w:widowControl/>
              <w:spacing w:before="100" w:beforeAutospacing="1" w:after="100" w:afterAutospacing="1"/>
              <w:jc w:val="center"/>
              <w:rPr>
                <w:rFonts w:ascii="楷体" w:hAnsi="楷体" w:eastAsia="楷体" w:cs="楷体"/>
                <w:kern w:val="0"/>
                <w:sz w:val="24"/>
                <w:szCs w:val="24"/>
              </w:rPr>
            </w:pPr>
            <w:r>
              <w:rPr>
                <w:rFonts w:hint="eastAsia" w:ascii="楷体" w:hAnsi="楷体" w:eastAsia="楷体" w:cs="楷体"/>
                <w:kern w:val="0"/>
                <w:sz w:val="24"/>
                <w:szCs w:val="24"/>
              </w:rPr>
              <w:t>2 </w:t>
            </w:r>
          </w:p>
        </w:tc>
      </w:tr>
    </w:tbl>
    <w:p>
      <w:pPr>
        <w:pStyle w:val="22"/>
        <w:ind w:firstLine="0" w:firstLineChars="0"/>
        <w:rPr>
          <w:rFonts w:ascii="宋体" w:hAnsi="宋体"/>
          <w:sz w:val="24"/>
          <w:szCs w:val="24"/>
        </w:rPr>
      </w:pPr>
    </w:p>
    <w:p>
      <w:pPr>
        <w:pStyle w:val="5"/>
        <w:jc w:val="center"/>
      </w:pPr>
      <w:bookmarkStart w:id="14" w:name="_Toc13417232"/>
      <w:r>
        <w:t>第五节</w:t>
      </w:r>
      <w:r>
        <w:rPr>
          <w:rFonts w:hint="eastAsia"/>
        </w:rPr>
        <w:t xml:space="preserve"> 空间布局</w:t>
      </w:r>
      <w:bookmarkEnd w:id="14"/>
    </w:p>
    <w:p>
      <w:pPr>
        <w:pStyle w:val="22"/>
        <w:ind w:firstLine="600"/>
        <w:rPr>
          <w:rFonts w:ascii="仿宋" w:hAnsi="仿宋" w:eastAsia="仿宋" w:cs="宋体"/>
          <w:kern w:val="0"/>
          <w:sz w:val="30"/>
          <w:szCs w:val="30"/>
        </w:rPr>
      </w:pPr>
      <w:r>
        <w:rPr>
          <w:rFonts w:hint="eastAsia" w:ascii="仿宋" w:hAnsi="仿宋" w:eastAsia="仿宋" w:cs="宋体"/>
          <w:kern w:val="0"/>
          <w:sz w:val="30"/>
          <w:szCs w:val="30"/>
        </w:rPr>
        <w:t>充分发挥理县区位优势，依托重点乡镇，沿杂谷脑河和孟屯河，形成“两线一核四心多点”服务业发展格局。</w:t>
      </w:r>
    </w:p>
    <w:p>
      <w:pPr>
        <w:pStyle w:val="22"/>
        <w:ind w:firstLine="600"/>
        <w:rPr>
          <w:rFonts w:ascii="仿宋" w:hAnsi="仿宋" w:eastAsia="仿宋" w:cs="宋体"/>
          <w:kern w:val="0"/>
          <w:sz w:val="30"/>
          <w:szCs w:val="30"/>
        </w:rPr>
      </w:pPr>
      <w:r>
        <w:rPr>
          <w:rFonts w:hint="eastAsia" w:ascii="仿宋" w:hAnsi="仿宋" w:eastAsia="仿宋" w:cs="宋体"/>
          <w:kern w:val="0"/>
          <w:sz w:val="30"/>
          <w:szCs w:val="30"/>
        </w:rPr>
        <w:t>两线：杂谷脑河沿线和孟屯河谷沿线。杂谷脑河沿线充分利用国道317的交通优势和丰富的自然资源，发展旅游业、物流业、电子商务、康养业等产业。孟屯河谷沿线突出布局生态观光和户外休闲等旅游、康养产业。</w:t>
      </w:r>
    </w:p>
    <w:p>
      <w:pPr>
        <w:pStyle w:val="22"/>
        <w:ind w:firstLine="600"/>
        <w:rPr>
          <w:rFonts w:ascii="仿宋" w:hAnsi="仿宋" w:eastAsia="仿宋" w:cs="宋体"/>
          <w:kern w:val="0"/>
          <w:sz w:val="30"/>
          <w:szCs w:val="30"/>
        </w:rPr>
      </w:pPr>
      <w:r>
        <w:rPr>
          <w:rFonts w:hint="eastAsia" w:ascii="仿宋" w:hAnsi="仿宋" w:eastAsia="仿宋" w:cs="宋体"/>
          <w:kern w:val="0"/>
          <w:sz w:val="30"/>
          <w:szCs w:val="30"/>
        </w:rPr>
        <w:t>一核：杂谷脑镇充分发挥县政府所在地优势，以打造智慧旅游城市服务旅游、建设电商产业园区为抓手，全面融合商贸、住宿、餐饮、文化、康养、房产等产业，创新与丰富服务业态，打造服务业发展核心。</w:t>
      </w:r>
    </w:p>
    <w:p>
      <w:pPr>
        <w:pStyle w:val="22"/>
        <w:ind w:firstLine="600"/>
        <w:rPr>
          <w:rFonts w:ascii="仿宋" w:hAnsi="仿宋" w:eastAsia="仿宋" w:cs="宋体"/>
          <w:kern w:val="0"/>
          <w:sz w:val="30"/>
          <w:szCs w:val="30"/>
        </w:rPr>
      </w:pPr>
      <w:r>
        <w:rPr>
          <w:rFonts w:hint="eastAsia" w:ascii="仿宋" w:hAnsi="仿宋" w:eastAsia="仿宋" w:cs="宋体"/>
          <w:kern w:val="0"/>
          <w:sz w:val="30"/>
          <w:szCs w:val="30"/>
        </w:rPr>
        <w:t>四心：打造桃坪、朴头、古尔沟、米亚罗四个服务业发展副中心。其中，桃坪乡依托桃坪羌寨，突出发展文化观光休闲旅游，积极发展特色商贸，适度布局物流配送节点、电商服务点；朴头乡依托毕棚沟优势和交通优势，重点布局物流业和康养业，建设物流园区，打造毕棚沟生态康养区，适度布局商贸服务业；古尔沟镇、米亚罗镇突出发展文化旅游和康养服务业，大力发展生态观光、温泉休闲康养，配套发展商贸服务、电子商务等业态。</w:t>
      </w:r>
    </w:p>
    <w:p>
      <w:pPr>
        <w:pStyle w:val="22"/>
        <w:ind w:firstLine="600"/>
        <w:rPr>
          <w:rFonts w:ascii="仿宋" w:hAnsi="仿宋" w:eastAsia="仿宋" w:cs="宋体"/>
          <w:kern w:val="0"/>
          <w:sz w:val="30"/>
          <w:szCs w:val="30"/>
        </w:rPr>
      </w:pPr>
      <w:r>
        <w:rPr>
          <w:rFonts w:hint="eastAsia" w:ascii="仿宋" w:hAnsi="仿宋" w:eastAsia="仿宋" w:cs="宋体"/>
          <w:kern w:val="0"/>
          <w:sz w:val="30"/>
          <w:szCs w:val="30"/>
        </w:rPr>
        <w:t>多点：以薛城、上孟、甘堡寨等乡镇为发展支点，辐射带动周边乡镇服务业发展。其中，薛城以文化创意和特色商贸</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田园休闲观光为主，上孟以生态观光和户外休闲为主，甘堡寨以文化观光为主。</w:t>
      </w:r>
    </w:p>
    <w:p>
      <w:pPr>
        <w:pStyle w:val="22"/>
        <w:ind w:firstLine="0" w:firstLineChars="0"/>
        <w:rPr>
          <w:sz w:val="24"/>
          <w:szCs w:val="24"/>
        </w:rPr>
      </w:pPr>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br w:type="page"/>
      </w:r>
    </w:p>
    <w:p>
      <w:pPr>
        <w:widowControl/>
        <w:spacing w:before="156" w:beforeLines="50" w:after="156" w:afterLines="50" w:line="360" w:lineRule="auto"/>
        <w:jc w:val="center"/>
        <w:rPr>
          <w:rFonts w:ascii="仿宋" w:hAnsi="仿宋" w:eastAsia="仿宋" w:cs="宋体"/>
          <w:b/>
          <w:bCs/>
          <w:kern w:val="0"/>
          <w:sz w:val="36"/>
          <w:szCs w:val="36"/>
        </w:rPr>
      </w:pPr>
    </w:p>
    <w:p>
      <w:pPr>
        <w:pStyle w:val="4"/>
        <w:jc w:val="center"/>
      </w:pPr>
      <w:bookmarkStart w:id="15" w:name="_Toc13417233"/>
      <w:r>
        <w:rPr>
          <w:rFonts w:hint="eastAsia"/>
        </w:rPr>
        <w:t>第三章  发展指引</w:t>
      </w:r>
      <w:bookmarkEnd w:id="15"/>
    </w:p>
    <w:p>
      <w:pPr>
        <w:pStyle w:val="5"/>
        <w:jc w:val="center"/>
        <w:rPr>
          <w:rFonts w:hint="eastAsia" w:eastAsiaTheme="majorEastAsia"/>
          <w:lang w:eastAsia="zh-CN"/>
        </w:rPr>
      </w:pPr>
      <w:bookmarkStart w:id="16" w:name="_Toc13417234"/>
      <w:r>
        <w:rPr>
          <w:rFonts w:hint="eastAsia"/>
        </w:rPr>
        <w:t>第一节　旅游文化休闲</w:t>
      </w:r>
      <w:bookmarkEnd w:id="16"/>
      <w:r>
        <w:rPr>
          <w:rFonts w:hint="eastAsia"/>
          <w:lang w:eastAsia="zh-CN"/>
        </w:rPr>
        <w:t>服务建设</w:t>
      </w:r>
    </w:p>
    <w:p>
      <w:pPr>
        <w:pStyle w:val="6"/>
      </w:pPr>
      <w:bookmarkStart w:id="17" w:name="_Toc13417235"/>
      <w:r>
        <w:rPr>
          <w:rFonts w:hint="eastAsia"/>
        </w:rPr>
        <w:t>一、空间指引</w:t>
      </w:r>
      <w:bookmarkEnd w:id="17"/>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立足理县区位特点和旅游文化业发展基础，因地制宜，实施“旅游+”产业融合发展。以集聚发展要素、融合产业发展、提升服务功能为导向，以旅游全域化、“景镇一体”建设为指导，沿藏羌文化走廊，以杂谷脑智慧旅游城市为核心，规划建设朴头毕棚沟生态度假</w:t>
      </w:r>
      <w:r>
        <w:rPr>
          <w:rFonts w:hint="eastAsia" w:ascii="仿宋" w:hAnsi="仿宋" w:eastAsia="仿宋" w:cs="宋体"/>
          <w:kern w:val="0"/>
          <w:sz w:val="30"/>
          <w:szCs w:val="30"/>
          <w:lang w:eastAsia="zh-CN"/>
        </w:rPr>
        <w:t>戏雪园</w:t>
      </w:r>
      <w:r>
        <w:rPr>
          <w:rFonts w:hint="eastAsia" w:ascii="仿宋" w:hAnsi="仿宋" w:eastAsia="仿宋" w:cs="宋体"/>
          <w:kern w:val="0"/>
          <w:sz w:val="30"/>
          <w:szCs w:val="30"/>
        </w:rPr>
        <w:t>、古尔沟温泉休闲康养区、米亚罗红叶生态观光旅游区、桃坪甘堡藏羌文化观光体验区、孟屯河谷生态观光暨户外休闲区、薛城文化创意区等六大旅游文化休闲</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域。通过理顺体制、整合资源、完善设施、提升品牌，增强</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接待、辐射和集散功能，在空间上不断推进休闲娱乐项目、旅游度假设施、特色餐饮、购物、服务等经营主体相对集中，在产业链上不断促进相关企业配套协作与专业分工，促进旅游文化业与一二产业深度融合，带动区域旅游度假、购物娱乐、文化体验、住宿餐饮等综合功能服务能力大幅提升，不断推进国际民族文化生态旅游目的地建设，打造富有浓郁民族特色的省级旅游文化休闲</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w:t>
      </w:r>
    </w:p>
    <w:p>
      <w:pPr>
        <w:jc w:val="center"/>
        <w:rPr>
          <w:rFonts w:ascii="宋体" w:hAnsi="宋体" w:cs="宋体"/>
          <w:kern w:val="0"/>
          <w:sz w:val="24"/>
          <w:szCs w:val="24"/>
        </w:rPr>
      </w:pPr>
      <w:r>
        <w:rPr>
          <w:szCs w:val="24"/>
        </w:rPr>
        <w:drawing>
          <wp:inline distT="0" distB="0" distL="0" distR="0">
            <wp:extent cx="5273040" cy="4543425"/>
            <wp:effectExtent l="0" t="0" r="381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5"/>
                    <a:srcRect/>
                    <a:stretch>
                      <a:fillRect/>
                    </a:stretch>
                  </pic:blipFill>
                  <pic:spPr>
                    <a:xfrm>
                      <a:off x="0" y="0"/>
                      <a:ext cx="5274310" cy="4544314"/>
                    </a:xfrm>
                    <a:prstGeom prst="rect">
                      <a:avLst/>
                    </a:prstGeom>
                    <a:noFill/>
                    <a:ln w="9525">
                      <a:noFill/>
                      <a:miter lim="800000"/>
                      <a:headEnd/>
                      <a:tailEnd/>
                    </a:ln>
                  </pic:spPr>
                </pic:pic>
              </a:graphicData>
            </a:graphic>
          </wp:inline>
        </w:drawing>
      </w:r>
    </w:p>
    <w:p>
      <w:pPr>
        <w:jc w:val="center"/>
        <w:rPr>
          <w:sz w:val="24"/>
          <w:szCs w:val="24"/>
        </w:rPr>
      </w:pPr>
      <w:r>
        <w:rPr>
          <w:rFonts w:hint="eastAsia"/>
          <w:sz w:val="24"/>
          <w:szCs w:val="24"/>
        </w:rPr>
        <w:t xml:space="preserve">图3-1 </w:t>
      </w:r>
      <w:r>
        <w:rPr>
          <w:rFonts w:hint="eastAsia" w:ascii="宋体" w:hAnsi="宋体" w:cs="宋体"/>
          <w:kern w:val="0"/>
          <w:sz w:val="24"/>
          <w:szCs w:val="24"/>
        </w:rPr>
        <w:t>旅游文化休闲</w:t>
      </w:r>
      <w:r>
        <w:rPr>
          <w:rFonts w:hint="eastAsia" w:ascii="宋体" w:hAnsi="宋体" w:cs="宋体"/>
          <w:kern w:val="0"/>
          <w:sz w:val="24"/>
          <w:szCs w:val="24"/>
          <w:lang w:eastAsia="zh-CN"/>
        </w:rPr>
        <w:t>服务</w:t>
      </w:r>
      <w:r>
        <w:rPr>
          <w:rFonts w:hint="eastAsia" w:ascii="宋体" w:hAnsi="宋体" w:cs="宋体"/>
          <w:kern w:val="0"/>
          <w:sz w:val="24"/>
          <w:szCs w:val="24"/>
        </w:rPr>
        <w:t>建设示意图</w:t>
      </w:r>
    </w:p>
    <w:p>
      <w:pPr>
        <w:pStyle w:val="6"/>
        <w:jc w:val="center"/>
      </w:pPr>
      <w:bookmarkStart w:id="18" w:name="_Toc13417236"/>
      <w:r>
        <w:rPr>
          <w:rFonts w:hint="eastAsia"/>
        </w:rPr>
        <w:t>二、发展重点</w:t>
      </w:r>
      <w:bookmarkEnd w:id="18"/>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优化</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发展布局。以杂谷脑镇为中心，强力推进旅游智慧城市建设，打造旅游支撑中心、居民游客共享的休闲服务中心，成为全县旅游游客集散地；以朴头毕棚沟生态旅游观光体验区为极核，大力发展休闲度假旅游，促进观光旅游向休闲度假旅游转变，形成全县旅游发展极核；加快古尔沟温泉休闲康养区、桃坪甘堡藏羌文化观光体验区、孟屯河谷生态观光暨户外休闲区、薛城文化创意区建设，以特色乡镇建设为依托，整合旅游资源，强化魅力乡镇、精品旅游村寨、幸福美丽家园等建设，形成县城—特色乡镇—精品村寨融合一体、核心景区—小景区—乡村旅游串联协作的旅游发展格局，逐步聚集现代休闲娱乐项目、旅游度假设施、特色餐饮、购物、创意设计、物流服务等发展要素。</w:t>
      </w:r>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大力推进旅游＋文化融合发展。发挥桃坪羌寨、甘堡藏寨、毕棚沟、古尔沟、孟屯河谷等龙头景区的带动作用，以“夬儒节”“花儿纳吉赛歌节”“嘉绒若木纽节”“薛城诗会”“毕棚沟羊角花艺术节”“</w:t>
      </w:r>
      <w:r>
        <w:rPr>
          <w:rFonts w:hint="eastAsia" w:ascii="仿宋" w:hAnsi="仿宋" w:eastAsia="仿宋" w:cs="宋体"/>
          <w:kern w:val="0"/>
          <w:sz w:val="30"/>
          <w:szCs w:val="30"/>
          <w:lang w:eastAsia="zh-CN"/>
        </w:rPr>
        <w:t>鹧鸪山</w:t>
      </w:r>
      <w:r>
        <w:rPr>
          <w:rFonts w:hint="eastAsia" w:ascii="仿宋" w:hAnsi="仿宋" w:eastAsia="仿宋" w:cs="宋体"/>
          <w:kern w:val="0"/>
          <w:sz w:val="30"/>
          <w:szCs w:val="30"/>
        </w:rPr>
        <w:t>冰雪节”“米亚罗红叶温泉节”等特色节庆为载体，以羌戏、羌族原生态歌舞、口弦、羌笛制作、藏羌剪纸等非遗项目为依托，深度挖掘古羌文化、嘉绒藏族文化、边塞文化、屯兵文化、广柔文化、红色文化等文化资源，积极发展具有理县民族特色和地方特色的传统文化，加强藏、羌、汉民族文化资源的产业转化，丰富优质特色文化产品与服务，推动旅游产品由观光型为主向观光、休闲度假、文化体验复合型转型，打造一批文化特色鲜明的文化旅游融合发展品牌，提高传统文化的传承保护水平。</w:t>
      </w:r>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集聚涉旅市场主体。加快组建成立旅游集团有限公司，统筹全县重点旅游基础设施建设和重大旅游项目开发，实施全县旅游项目集团化开发与管理。以</w:t>
      </w:r>
      <w:r>
        <w:rPr>
          <w:rFonts w:hint="eastAsia" w:ascii="仿宋" w:hAnsi="仿宋" w:eastAsia="仿宋" w:cs="宋体"/>
          <w:kern w:val="0"/>
          <w:sz w:val="30"/>
          <w:szCs w:val="30"/>
          <w:lang w:eastAsia="zh-CN"/>
        </w:rPr>
        <w:t>理县</w:t>
      </w:r>
      <w:r>
        <w:rPr>
          <w:rFonts w:hint="eastAsia" w:ascii="仿宋" w:hAnsi="仿宋" w:eastAsia="仿宋" w:cs="宋体"/>
          <w:kern w:val="0"/>
          <w:sz w:val="30"/>
          <w:szCs w:val="30"/>
        </w:rPr>
        <w:t>吉祥文化旅游发展有限公司、阿坝州川西林业局等骨干企业为重点，培育本土旅游龙头企业，大力扶持旅游龙头企业拓展涉旅业务。培育壮大一批具有民族特色的文化演艺企业，产业化开发一批非物质文化遗产、原生态藏羌文化精品节目，打造具有理县特色的演艺娱乐品牌。扶持中小微企业发展，积极推进“旅游+”，延伸旅游产业链，培育旅游商品、旅游康养等领域的市场主体。发布旅游投资项目目录，鼓励各类企业兴办旅游经济实体，投资开发旅游项目。加大招商引资力度，引进一批有实力的旅游开发、住宿、餐饮、休闲、创意设计等市场经营主体，通过新设、收购、兼并、参股等方式参与理县旅游</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建设。</w:t>
      </w:r>
    </w:p>
    <w:p>
      <w:pPr>
        <w:jc w:val="center"/>
        <w:rPr>
          <w:rFonts w:hint="eastAsia" w:ascii="仿宋" w:hAnsi="仿宋" w:eastAsia="仿宋" w:cs="宋体"/>
          <w:kern w:val="0"/>
          <w:sz w:val="30"/>
          <w:szCs w:val="30"/>
        </w:rPr>
      </w:pPr>
      <w:r>
        <w:rPr>
          <w:rFonts w:hint="eastAsia" w:ascii="仿宋" w:hAnsi="仿宋" w:eastAsia="仿宋" w:cs="宋体"/>
          <w:kern w:val="0"/>
          <w:sz w:val="30"/>
          <w:szCs w:val="30"/>
          <w:lang w:val="en-US" w:eastAsia="zh-CN"/>
        </w:rPr>
        <w:t xml:space="preserve">  </w:t>
      </w:r>
      <w:r>
        <w:rPr>
          <w:rFonts w:hint="eastAsia" w:ascii="仿宋" w:hAnsi="仿宋" w:eastAsia="仿宋" w:cs="宋体"/>
          <w:kern w:val="0"/>
          <w:sz w:val="30"/>
          <w:szCs w:val="30"/>
        </w:rPr>
        <w:t>加快</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基础设施和公共服务体系建设。以提升旅游品位和管理服务水平为导向，加大景区旅游基础设施建设投入力度，不断推动景区上档升级。完善旅游交通设施，加强汶马高速和国省干道到重点旅游区的联接线建设，优先支持米亚罗红叶休闲度假区、孟屯河户外体验景区及重点旅游集镇、乡村旅游示范村通景公路建设。加强景区内供电、供水、移动网络、光网宽带、旅游交通引导标识系统、景区停车场、旅游厕所、自驾游营地营房等基础设施建设，确保移动网络、光网宽带景区景点全覆盖、旅游厕所全面达标、景区停车场基本满足需要。完善旅游咨询服务、医疗救援和安全保护等旅游公共服务体系，建设以杂谷脑镇旅游咨询集散中心为核心，以重点景区为节点的旅游咨询集散网络、</w:t>
      </w:r>
    </w:p>
    <w:p>
      <w:pPr>
        <w:jc w:val="both"/>
        <w:rPr>
          <w:rFonts w:ascii="宋体" w:hAnsi="宋体" w:cs="宋体"/>
          <w:kern w:val="0"/>
          <w:sz w:val="24"/>
          <w:szCs w:val="24"/>
        </w:rPr>
      </w:pPr>
      <w:r>
        <w:rPr>
          <w:rFonts w:hint="eastAsia" w:ascii="仿宋" w:hAnsi="仿宋" w:eastAsia="仿宋" w:cs="宋体"/>
          <w:kern w:val="0"/>
          <w:sz w:val="30"/>
          <w:szCs w:val="30"/>
        </w:rPr>
        <w:t>医疗救援网络，推进咨询网点的信息化。</w:t>
      </w:r>
    </w:p>
    <w:p>
      <w:pPr>
        <w:pStyle w:val="5"/>
        <w:jc w:val="center"/>
        <w:rPr>
          <w:rFonts w:hint="eastAsia" w:eastAsiaTheme="majorEastAsia"/>
          <w:lang w:eastAsia="zh-CN"/>
        </w:rPr>
      </w:pPr>
      <w:bookmarkStart w:id="19" w:name="_Toc13417237"/>
      <w:r>
        <w:rPr>
          <w:rFonts w:hint="eastAsia"/>
        </w:rPr>
        <w:t>第二节　康养</w:t>
      </w:r>
      <w:bookmarkEnd w:id="19"/>
      <w:r>
        <w:rPr>
          <w:rFonts w:hint="eastAsia"/>
          <w:lang w:eastAsia="zh-CN"/>
        </w:rPr>
        <w:t>服务建设</w:t>
      </w:r>
    </w:p>
    <w:p>
      <w:pPr>
        <w:pStyle w:val="6"/>
      </w:pPr>
      <w:bookmarkStart w:id="20" w:name="_Toc13417238"/>
      <w:r>
        <w:rPr>
          <w:rFonts w:hint="eastAsia"/>
        </w:rPr>
        <w:t>一、空间指引</w:t>
      </w:r>
      <w:bookmarkEnd w:id="20"/>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依托理县优质的温泉资源和丰富的藏医藏药、羌医羌药资源，以古尔沟镇和杂谷脑镇为中心，整合米亚罗镇、朴头乡、上孟乡</w:t>
      </w:r>
      <w:r>
        <w:rPr>
          <w:rFonts w:hint="eastAsia" w:ascii="仿宋" w:hAnsi="仿宋" w:eastAsia="仿宋" w:cs="宋体"/>
          <w:kern w:val="0"/>
          <w:sz w:val="30"/>
          <w:szCs w:val="30"/>
          <w:lang w:eastAsia="zh-CN"/>
        </w:rPr>
        <w:t>等乡镇</w:t>
      </w:r>
      <w:r>
        <w:rPr>
          <w:rFonts w:hint="eastAsia" w:ascii="仿宋" w:hAnsi="仿宋" w:eastAsia="仿宋" w:cs="宋体"/>
          <w:kern w:val="0"/>
          <w:sz w:val="30"/>
          <w:szCs w:val="30"/>
        </w:rPr>
        <w:t>自然资源，以高端主题养生、高端疗养等产业为发展导向，着力开发温泉疗养、生态避暑、休闲怡养等休闲康养产品，突出发展温泉康养、特色民族旅居医养，重点引进养生养老、医养保健与研发、观光、休闲、度假、体育旅游、研修旅游、中药材种植、绿色有机农业、文化创意、高端度假酒店、精品民宿等产业，打造以森林康养、特色民族医养、山水怡养为核心内容的“医养结合”联合体，努</w:t>
      </w:r>
      <w:r>
        <w:rPr>
          <w:rFonts w:hint="eastAsia" w:ascii="仿宋" w:hAnsi="仿宋" w:eastAsia="仿宋" w:cs="宋体"/>
          <w:kern w:val="0"/>
          <w:sz w:val="30"/>
          <w:szCs w:val="30"/>
          <w:lang w:eastAsia="zh-CN"/>
        </w:rPr>
        <w:t>力打造</w:t>
      </w:r>
      <w:r>
        <w:rPr>
          <w:rFonts w:hint="eastAsia" w:ascii="仿宋" w:hAnsi="仿宋" w:eastAsia="仿宋" w:cs="宋体"/>
          <w:kern w:val="0"/>
          <w:sz w:val="30"/>
          <w:szCs w:val="30"/>
        </w:rPr>
        <w:t>健康养老</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w:t>
      </w:r>
    </w:p>
    <w:p>
      <w:pPr>
        <w:jc w:val="center"/>
        <w:rPr>
          <w:rFonts w:ascii="宋体" w:hAnsi="宋体"/>
          <w:sz w:val="24"/>
          <w:szCs w:val="24"/>
        </w:rPr>
      </w:pPr>
    </w:p>
    <w:p>
      <w:pPr>
        <w:pStyle w:val="6"/>
      </w:pPr>
      <w:bookmarkStart w:id="21" w:name="_Toc13417239"/>
      <w:r>
        <w:rPr>
          <w:rFonts w:hint="eastAsia"/>
        </w:rPr>
        <w:t>二、发展重点</w:t>
      </w:r>
      <w:bookmarkEnd w:id="21"/>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扩大健康养老服务供给。充分发挥理县生态环境、气候条件、民族医药、旅游资源等优势，促进医药医疗与养老养生等融合发展，积极构筑以“医、养、健、管”为支撑的大健康服务产业体系。以高端、优质为方向，依托古尔沟温泉等自然资源，适度引入养老地产、康养机构，建设集养生保健、康复治疗、休养度假、养老护理于一体的国际性大型生态健康养生基地，大力发展山地温泉康养</w:t>
      </w:r>
      <w:r>
        <w:rPr>
          <w:rFonts w:hint="eastAsia" w:ascii="仿宋" w:hAnsi="仿宋" w:eastAsia="仿宋" w:cs="宋体"/>
          <w:kern w:val="0"/>
          <w:sz w:val="30"/>
          <w:szCs w:val="30"/>
          <w:lang w:eastAsia="zh-CN"/>
        </w:rPr>
        <w:t>区</w:t>
      </w:r>
      <w:r>
        <w:rPr>
          <w:rFonts w:hint="eastAsia" w:ascii="仿宋" w:hAnsi="仿宋" w:eastAsia="仿宋" w:cs="宋体"/>
          <w:kern w:val="0"/>
          <w:sz w:val="30"/>
          <w:szCs w:val="30"/>
        </w:rPr>
        <w:t>。</w:t>
      </w:r>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集聚健康养生产业。以温泉养生为重点，促进健康养生产业与金融、信息技术、医疗研发、健康教育、健康医疗、健康旅游等现代服务业联动发展，构建医疗护理、康复、健康管理、美容养生、餐饮、旅游服务链，大力推行医疗+保健+旅游+养老产业模式，发展宜居健康养老产业。鼓励发展个性化健康监测评估、健康咨询服务、营养保健指导、健身美容和养老养生等非医疗性健康管理服务业，加快医疗护理等服务业发展。充分依托理县县医院、县中藏医院的资源优势，大力对接国内外知名医疗医药机构，通过引入、合作等多种模式，大力发展中医药、藏医药、羌医药养生保健服务，拓展针灸、药膳养生、足浴、按摩、美容养颜等养生康复新业态。</w:t>
      </w:r>
    </w:p>
    <w:tbl>
      <w:tblPr>
        <w:tblStyle w:val="18"/>
        <w:tblW w:w="7629" w:type="dxa"/>
        <w:jc w:val="cente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Layout w:type="fixed"/>
        <w:tblCellMar>
          <w:top w:w="0" w:type="dxa"/>
          <w:left w:w="108" w:type="dxa"/>
          <w:bottom w:w="0" w:type="dxa"/>
          <w:right w:w="108" w:type="dxa"/>
        </w:tblCellMar>
      </w:tblPr>
      <w:tblGrid>
        <w:gridCol w:w="7629"/>
      </w:tblGrid>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PrEx>
        <w:trPr>
          <w:trHeight w:val="359" w:hRule="atLeast"/>
          <w:tblCellSpacing w:w="20" w:type="dxa"/>
          <w:jc w:val="center"/>
        </w:trPr>
        <w:tc>
          <w:tcPr>
            <w:tcW w:w="7549" w:type="dxa"/>
            <w:vAlign w:val="center"/>
          </w:tcPr>
          <w:p>
            <w:pPr>
              <w:ind w:firstLine="472" w:firstLineChars="196"/>
              <w:rPr>
                <w:rFonts w:ascii="楷体" w:hAnsi="楷体" w:eastAsia="楷体"/>
                <w:b/>
                <w:sz w:val="24"/>
                <w:szCs w:val="24"/>
              </w:rPr>
            </w:pPr>
            <w:r>
              <w:rPr>
                <w:rFonts w:hint="eastAsia" w:ascii="楷体" w:hAnsi="楷体" w:eastAsia="楷体" w:cs="楷体_GB2312"/>
                <w:b/>
                <w:sz w:val="24"/>
                <w:szCs w:val="24"/>
              </w:rPr>
              <w:t>专栏：建设</w:t>
            </w:r>
            <w:r>
              <w:rPr>
                <w:rFonts w:ascii="楷体" w:hAnsi="楷体" w:eastAsia="楷体" w:cs="楷体_GB2312"/>
                <w:b/>
                <w:sz w:val="24"/>
                <w:szCs w:val="24"/>
              </w:rPr>
              <w:t>特色康养服务</w:t>
            </w:r>
            <w:r>
              <w:rPr>
                <w:rFonts w:hint="eastAsia" w:ascii="楷体" w:hAnsi="楷体" w:eastAsia="楷体" w:cs="楷体_GB2312"/>
                <w:b/>
                <w:sz w:val="24"/>
                <w:szCs w:val="24"/>
              </w:rPr>
              <w:t>地</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trHeight w:val="6208" w:hRule="atLeast"/>
          <w:tblCellSpacing w:w="20" w:type="dxa"/>
          <w:jc w:val="center"/>
        </w:trPr>
        <w:tc>
          <w:tcPr>
            <w:tcW w:w="7549" w:type="dxa"/>
          </w:tcPr>
          <w:p>
            <w:pPr>
              <w:spacing w:line="360" w:lineRule="auto"/>
              <w:ind w:firstLine="525" w:firstLineChars="218"/>
              <w:rPr>
                <w:rFonts w:ascii="楷体" w:hAnsi="楷体" w:eastAsia="楷体"/>
                <w:sz w:val="24"/>
                <w:szCs w:val="24"/>
              </w:rPr>
            </w:pPr>
            <w:r>
              <w:rPr>
                <w:rFonts w:hint="eastAsia" w:ascii="楷体" w:hAnsi="楷体" w:eastAsia="楷体"/>
                <w:b/>
                <w:sz w:val="24"/>
                <w:szCs w:val="24"/>
              </w:rPr>
              <w:t>生态健康养生基地打造：</w:t>
            </w:r>
            <w:r>
              <w:rPr>
                <w:rFonts w:hint="eastAsia" w:ascii="楷体" w:hAnsi="楷体" w:eastAsia="楷体"/>
                <w:sz w:val="24"/>
                <w:szCs w:val="24"/>
              </w:rPr>
              <w:t>打造集养生保健、康复治疗、休养度假于一体的温泉康养小镇、特色民族旅居医养小镇。大力推进温泉医养中心、神奇饮泉谷、民俗文化村、花田温泉、温泉天堂、源泉探秘、河谷温泉等康体养生项目建设，提档升级温泉小镇风情商业街。</w:t>
            </w:r>
          </w:p>
          <w:p>
            <w:pPr>
              <w:spacing w:line="360" w:lineRule="auto"/>
              <w:ind w:firstLine="525" w:firstLineChars="218"/>
              <w:rPr>
                <w:rFonts w:ascii="楷体" w:hAnsi="楷体" w:eastAsia="楷体"/>
                <w:sz w:val="24"/>
                <w:szCs w:val="24"/>
              </w:rPr>
            </w:pPr>
            <w:r>
              <w:rPr>
                <w:rFonts w:hint="eastAsia" w:ascii="楷体" w:hAnsi="楷体" w:eastAsia="楷体"/>
                <w:b/>
                <w:sz w:val="24"/>
                <w:szCs w:val="24"/>
              </w:rPr>
              <w:t>布局特色康养服务</w:t>
            </w:r>
            <w:r>
              <w:rPr>
                <w:rFonts w:hint="eastAsia" w:ascii="楷体" w:hAnsi="楷体" w:eastAsia="楷体"/>
                <w:sz w:val="24"/>
                <w:szCs w:val="24"/>
              </w:rPr>
              <w:t>：因地制宜发展特色康养，形成杂谷脑藏羌医养、毕棚沟生态康养、米亚罗森林康养、古尔沟温泉康养、木卡田园颐养、孟屯河谷山水怡养康养差异化发展格局。</w:t>
            </w:r>
          </w:p>
          <w:p>
            <w:pPr>
              <w:spacing w:line="360" w:lineRule="auto"/>
              <w:ind w:firstLine="525" w:firstLineChars="218"/>
              <w:rPr>
                <w:rFonts w:ascii="楷体" w:hAnsi="楷体" w:eastAsia="楷体"/>
                <w:sz w:val="24"/>
                <w:szCs w:val="24"/>
              </w:rPr>
            </w:pPr>
            <w:r>
              <w:rPr>
                <w:rFonts w:hint="eastAsia" w:ascii="楷体" w:hAnsi="楷体" w:eastAsia="楷体"/>
                <w:b/>
                <w:sz w:val="24"/>
                <w:szCs w:val="24"/>
              </w:rPr>
              <w:t>康养度假基础设施完善：</w:t>
            </w:r>
            <w:r>
              <w:rPr>
                <w:rFonts w:hint="eastAsia" w:ascii="楷体" w:hAnsi="楷体" w:eastAsia="楷体"/>
                <w:sz w:val="24"/>
                <w:szCs w:val="24"/>
              </w:rPr>
              <w:t>建设满足不同层次需求的高端度假酒店、精品民宿和养老机构；围绕特色民族医养发展，加大中、藏、羌医疗机构引进与建设；建设山地户外运动、水上户外运动等健康运动基地；规划建设社区多功能运动场、休闲体育服务综合体。</w:t>
            </w:r>
          </w:p>
        </w:tc>
      </w:tr>
    </w:tbl>
    <w:p>
      <w:pPr>
        <w:pStyle w:val="5"/>
        <w:jc w:val="center"/>
        <w:rPr>
          <w:rFonts w:hint="eastAsia" w:eastAsiaTheme="majorEastAsia"/>
          <w:lang w:eastAsia="zh-CN"/>
        </w:rPr>
      </w:pPr>
      <w:bookmarkStart w:id="22" w:name="_Toc13417240"/>
      <w:r>
        <w:rPr>
          <w:rFonts w:hint="eastAsia"/>
        </w:rPr>
        <w:t>第三节　电子商务</w:t>
      </w:r>
      <w:bookmarkEnd w:id="22"/>
      <w:r>
        <w:rPr>
          <w:rFonts w:hint="eastAsia"/>
          <w:lang w:eastAsia="zh-CN"/>
        </w:rPr>
        <w:t>服务建设</w:t>
      </w:r>
    </w:p>
    <w:p>
      <w:pPr>
        <w:pStyle w:val="6"/>
      </w:pPr>
      <w:bookmarkStart w:id="23" w:name="_Toc13417241"/>
      <w:r>
        <w:rPr>
          <w:rFonts w:hint="eastAsia"/>
        </w:rPr>
        <w:t>一、空间指引</w:t>
      </w:r>
      <w:bookmarkEnd w:id="23"/>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以巩固“</w:t>
      </w:r>
      <w:r>
        <w:rPr>
          <w:rFonts w:hint="eastAsia" w:ascii="仿宋" w:hAnsi="仿宋" w:eastAsia="仿宋" w:cs="宋体"/>
          <w:kern w:val="0"/>
          <w:sz w:val="30"/>
          <w:szCs w:val="30"/>
          <w:lang w:val="en-US" w:eastAsia="zh-CN"/>
        </w:rPr>
        <w:t>2015</w:t>
      </w:r>
      <w:r>
        <w:rPr>
          <w:rFonts w:hint="eastAsia" w:ascii="仿宋" w:hAnsi="仿宋" w:eastAsia="仿宋" w:cs="宋体"/>
          <w:kern w:val="0"/>
          <w:sz w:val="30"/>
          <w:szCs w:val="30"/>
        </w:rPr>
        <w:t>电子商务进农村综合示范县”建设成果</w:t>
      </w:r>
      <w:r>
        <w:rPr>
          <w:rFonts w:hint="eastAsia" w:ascii="仿宋" w:hAnsi="仿宋" w:eastAsia="仿宋" w:cs="宋体"/>
          <w:kern w:val="0"/>
          <w:sz w:val="30"/>
          <w:szCs w:val="30"/>
          <w:lang w:eastAsia="zh-CN"/>
        </w:rPr>
        <w:t>及</w:t>
      </w:r>
      <w:r>
        <w:rPr>
          <w:rFonts w:hint="eastAsia" w:ascii="仿宋" w:hAnsi="仿宋" w:eastAsia="仿宋" w:cs="宋体"/>
          <w:kern w:val="0"/>
          <w:sz w:val="30"/>
          <w:szCs w:val="30"/>
        </w:rPr>
        <w:t>“</w:t>
      </w:r>
      <w:r>
        <w:rPr>
          <w:rFonts w:hint="eastAsia" w:ascii="仿宋" w:hAnsi="仿宋" w:eastAsia="仿宋" w:cs="宋体"/>
          <w:kern w:val="0"/>
          <w:sz w:val="30"/>
          <w:szCs w:val="30"/>
          <w:lang w:val="en-US" w:eastAsia="zh-CN"/>
        </w:rPr>
        <w:t>2020年</w:t>
      </w:r>
      <w:r>
        <w:rPr>
          <w:rFonts w:hint="eastAsia" w:ascii="仿宋" w:hAnsi="仿宋" w:eastAsia="仿宋" w:cs="宋体"/>
          <w:kern w:val="0"/>
          <w:sz w:val="30"/>
          <w:szCs w:val="30"/>
        </w:rPr>
        <w:t>电子商务进农村综合示范县”</w:t>
      </w:r>
      <w:r>
        <w:rPr>
          <w:rFonts w:hint="eastAsia" w:ascii="仿宋" w:hAnsi="仿宋" w:eastAsia="仿宋" w:cs="宋体"/>
          <w:kern w:val="0"/>
          <w:sz w:val="30"/>
          <w:szCs w:val="30"/>
          <w:lang w:eastAsia="zh-CN"/>
        </w:rPr>
        <w:t>建设</w:t>
      </w:r>
      <w:r>
        <w:rPr>
          <w:rFonts w:hint="eastAsia" w:ascii="仿宋" w:hAnsi="仿宋" w:eastAsia="仿宋" w:cs="宋体"/>
          <w:kern w:val="0"/>
          <w:sz w:val="30"/>
          <w:szCs w:val="30"/>
        </w:rPr>
        <w:t>为契机，大力强化电商平台建设，打造以理县电子商务公共服务中心为核心，古尔沟镇、桃坪镇、薛城镇、上孟乡、米亚罗镇等多个通吃小站站点为骨架的电商网络平台体系，集聚电商企业、配送服务及辅助企业，形成电商产业链，打造市级电子商务</w:t>
      </w:r>
      <w:r>
        <w:rPr>
          <w:rFonts w:hint="eastAsia" w:ascii="仿宋" w:hAnsi="仿宋" w:eastAsia="仿宋" w:cs="宋体"/>
          <w:kern w:val="0"/>
          <w:sz w:val="30"/>
          <w:szCs w:val="30"/>
          <w:lang w:eastAsia="zh-CN"/>
        </w:rPr>
        <w:t>服务建设</w:t>
      </w:r>
      <w:r>
        <w:rPr>
          <w:rFonts w:hint="eastAsia" w:ascii="仿宋" w:hAnsi="仿宋" w:eastAsia="仿宋" w:cs="宋体"/>
          <w:kern w:val="0"/>
          <w:sz w:val="30"/>
          <w:szCs w:val="30"/>
        </w:rPr>
        <w:t>。</w:t>
      </w:r>
    </w:p>
    <w:p>
      <w:pPr>
        <w:jc w:val="center"/>
        <w:rPr>
          <w:rFonts w:cs="仿宋_GB2312" w:asciiTheme="minorEastAsia" w:hAnsiTheme="minorEastAsia" w:eastAsiaTheme="minorEastAsia"/>
          <w:sz w:val="24"/>
          <w:szCs w:val="24"/>
        </w:rPr>
      </w:pPr>
      <w:r>
        <w:rPr>
          <w:szCs w:val="24"/>
        </w:rPr>
        <w:drawing>
          <wp:inline distT="0" distB="0" distL="0" distR="0">
            <wp:extent cx="5274310" cy="5200650"/>
            <wp:effectExtent l="0" t="0" r="2540" b="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noChangeArrowheads="1"/>
                    </pic:cNvPicPr>
                  </pic:nvPicPr>
                  <pic:blipFill>
                    <a:blip r:embed="rId6"/>
                    <a:srcRect/>
                    <a:stretch>
                      <a:fillRect/>
                    </a:stretch>
                  </pic:blipFill>
                  <pic:spPr>
                    <a:xfrm>
                      <a:off x="0" y="0"/>
                      <a:ext cx="5274310" cy="5200650"/>
                    </a:xfrm>
                    <a:prstGeom prst="rect">
                      <a:avLst/>
                    </a:prstGeom>
                    <a:noFill/>
                    <a:ln w="9525">
                      <a:noFill/>
                      <a:miter lim="800000"/>
                      <a:headEnd/>
                      <a:tailEnd/>
                    </a:ln>
                  </pic:spPr>
                </pic:pic>
              </a:graphicData>
            </a:graphic>
          </wp:inline>
        </w:drawing>
      </w:r>
    </w:p>
    <w:p>
      <w:pPr>
        <w:jc w:val="center"/>
        <w:rPr>
          <w:sz w:val="24"/>
          <w:szCs w:val="24"/>
        </w:rPr>
      </w:pPr>
      <w:r>
        <w:rPr>
          <w:rFonts w:hint="eastAsia"/>
          <w:sz w:val="24"/>
          <w:szCs w:val="24"/>
        </w:rPr>
        <w:t xml:space="preserve">图3-3 </w:t>
      </w:r>
      <w:r>
        <w:rPr>
          <w:rFonts w:hint="eastAsia" w:ascii="宋体" w:hAnsi="宋体" w:cs="宋体"/>
          <w:kern w:val="0"/>
          <w:sz w:val="24"/>
          <w:szCs w:val="24"/>
        </w:rPr>
        <w:t>电子商务</w:t>
      </w:r>
      <w:r>
        <w:rPr>
          <w:rFonts w:hint="eastAsia" w:ascii="宋体" w:hAnsi="宋体" w:cs="宋体"/>
          <w:kern w:val="0"/>
          <w:sz w:val="24"/>
          <w:szCs w:val="24"/>
          <w:lang w:eastAsia="zh-CN"/>
        </w:rPr>
        <w:t>服务</w:t>
      </w:r>
      <w:r>
        <w:rPr>
          <w:rFonts w:hint="eastAsia" w:ascii="宋体" w:hAnsi="宋体" w:cs="宋体"/>
          <w:kern w:val="0"/>
          <w:sz w:val="24"/>
          <w:szCs w:val="24"/>
        </w:rPr>
        <w:t>建设示意图</w:t>
      </w:r>
    </w:p>
    <w:p>
      <w:pPr>
        <w:ind w:firstLine="480" w:firstLineChars="200"/>
        <w:rPr>
          <w:rFonts w:ascii="宋体" w:hAnsi="宋体" w:cs="宋体"/>
          <w:kern w:val="0"/>
          <w:sz w:val="24"/>
          <w:szCs w:val="24"/>
        </w:rPr>
      </w:pPr>
    </w:p>
    <w:p>
      <w:pPr>
        <w:pStyle w:val="6"/>
      </w:pPr>
      <w:bookmarkStart w:id="24" w:name="_Toc13417242"/>
      <w:r>
        <w:rPr>
          <w:rFonts w:hint="eastAsia"/>
        </w:rPr>
        <w:t>二、发展重点</w:t>
      </w:r>
      <w:bookmarkEnd w:id="24"/>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实施“互联网+”电子商务专项行动计划。按照“政府推动、企业主体、特色突出、效果持久”的发展思路，依托州“互联网+全产业”与全域电子商务工程建设，强力推进电商+旅游、电商+农业、电商+文化等产业的融合发展，促进电子商务深度融入理县特色优势产业。加快发展基于互联网构建的具有购物、交易、支付及相关商务功能的综合信息服务，支持物流配送、快递业和网络购物协同发展，促进消费。加强信用服务、安全认证、标准规范、在线支付、现代物流、快递业等支撑体系建设。</w:t>
      </w:r>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积极培育壮大电子商务经营主体。以四川阳光绿源公司为依托，积极引入当当网、淘宝网等域外知名电子商务企业以及成都鲜果电商联盟等平台落户理县开展业务，重点围绕理县甜樱桃、糖心苹果、青红脆李、松茸、羊肚菌、核桃、蜂蜜、腌腊制品、农家土鸡蛋、虫草等绿色生态产品，大力发展农特产品电商，加快与旅游电商、文创设计相结合，着力打造理县电商品牌，培育和带动一批各具地域特色的电子商务市场经营主体。</w:t>
      </w:r>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加快电商示范基地和电商平台建设。巩固“电子商务进农村综合示范县”建设成果，深入开展电子商务试点推广示范，着力推进电子商务集聚发展。强力推进阿坝州电子商务公共服务平台建设，积极建设理县电商产业园区，规划布局建设产品展示展销中心、农村电子商务建设项目县级运营中心、大学生电子商务创业孵化基地、电商企业办公区等，为电子商务创业人员提供场地支持和创业孵化服务，打造电商人才孵化、网商创业孵化平台。鼓励行业、企业建设第三方电子商务平台，强化与域外知名电子商务企业合作，突出打造一号店阿坝馆、苏宁易购阿坝地方馆专营店等电商窗口；依托亚马逊等知名跨境第三方平台，引导电商、外贸企业开展跨境电商活动。积极构建移动电子商务服务平台，加强与政府、银行、电子商务网站合作，积极推动电子交易、电子认证、电子结算、电子金融、电子展会的发展，打造阿坝网络商城。积极发展农村电子商务，培育打造一批电子商务特色小镇和“电商村”。</w:t>
      </w:r>
    </w:p>
    <w:tbl>
      <w:tblPr>
        <w:tblStyle w:val="18"/>
        <w:tblW w:w="7629" w:type="dxa"/>
        <w:jc w:val="cente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Layout w:type="fixed"/>
        <w:tblCellMar>
          <w:top w:w="0" w:type="dxa"/>
          <w:left w:w="108" w:type="dxa"/>
          <w:bottom w:w="0" w:type="dxa"/>
          <w:right w:w="108" w:type="dxa"/>
        </w:tblCellMar>
      </w:tblPr>
      <w:tblGrid>
        <w:gridCol w:w="7629"/>
      </w:tblGrid>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trHeight w:val="359" w:hRule="atLeast"/>
          <w:tblCellSpacing w:w="20" w:type="dxa"/>
          <w:jc w:val="center"/>
        </w:trPr>
        <w:tc>
          <w:tcPr>
            <w:tcW w:w="7549" w:type="dxa"/>
            <w:vAlign w:val="center"/>
          </w:tcPr>
          <w:p>
            <w:pPr>
              <w:ind w:firstLine="472" w:firstLineChars="196"/>
              <w:rPr>
                <w:rFonts w:ascii="楷体" w:hAnsi="楷体" w:eastAsia="楷体"/>
                <w:b/>
                <w:sz w:val="24"/>
                <w:szCs w:val="24"/>
              </w:rPr>
            </w:pPr>
            <w:r>
              <w:rPr>
                <w:rFonts w:hint="eastAsia" w:ascii="楷体" w:hAnsi="楷体" w:eastAsia="楷体" w:cs="楷体_GB2312"/>
                <w:b/>
                <w:sz w:val="24"/>
                <w:szCs w:val="24"/>
              </w:rPr>
              <w:t>专栏：打造阿坝州电子商务桥头堡</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trHeight w:val="539" w:hRule="atLeast"/>
          <w:tblCellSpacing w:w="20" w:type="dxa"/>
          <w:jc w:val="center"/>
        </w:trPr>
        <w:tc>
          <w:tcPr>
            <w:tcW w:w="7549" w:type="dxa"/>
          </w:tcPr>
          <w:p>
            <w:pPr>
              <w:pStyle w:val="9"/>
              <w:spacing w:line="360" w:lineRule="auto"/>
              <w:ind w:firstLine="482"/>
              <w:rPr>
                <w:rFonts w:ascii="楷体" w:hAnsi="楷体" w:eastAsia="楷体"/>
                <w:sz w:val="24"/>
                <w:szCs w:val="24"/>
              </w:rPr>
            </w:pPr>
            <w:r>
              <w:rPr>
                <w:rFonts w:hint="eastAsia" w:ascii="楷体" w:hAnsi="楷体" w:eastAsia="楷体"/>
                <w:b/>
                <w:sz w:val="24"/>
                <w:szCs w:val="24"/>
              </w:rPr>
              <w:t>电商示范基地建设：</w:t>
            </w:r>
            <w:r>
              <w:rPr>
                <w:rFonts w:hint="eastAsia" w:ascii="楷体" w:hAnsi="楷体" w:eastAsia="楷体"/>
                <w:sz w:val="24"/>
                <w:szCs w:val="24"/>
              </w:rPr>
              <w:t>强化阿坝州电子商务公共服务平台建设；推进理县电商产业园区打造，布局产品展示展销中心、农村电子商务建设项目县级运营中心、大学生电子商务创业孵化基地；全县1</w:t>
            </w:r>
            <w:r>
              <w:rPr>
                <w:rFonts w:hint="eastAsia" w:ascii="楷体" w:hAnsi="楷体" w:eastAsia="楷体"/>
                <w:sz w:val="24"/>
                <w:szCs w:val="24"/>
                <w:lang w:val="en-US" w:eastAsia="zh-CN"/>
              </w:rPr>
              <w:t>1</w:t>
            </w:r>
            <w:r>
              <w:rPr>
                <w:rFonts w:hint="eastAsia" w:ascii="楷体" w:hAnsi="楷体" w:eastAsia="楷体"/>
                <w:sz w:val="24"/>
                <w:szCs w:val="24"/>
              </w:rPr>
              <w:t>个乡镇通吃小站建设；电子商务特色小镇、电商村打造等。</w:t>
            </w:r>
          </w:p>
          <w:p>
            <w:pPr>
              <w:pStyle w:val="9"/>
              <w:spacing w:line="360" w:lineRule="auto"/>
              <w:ind w:firstLine="482"/>
              <w:rPr>
                <w:rFonts w:ascii="楷体" w:hAnsi="楷体" w:eastAsia="楷体"/>
                <w:b/>
                <w:sz w:val="24"/>
                <w:szCs w:val="24"/>
              </w:rPr>
            </w:pPr>
            <w:r>
              <w:rPr>
                <w:rFonts w:hint="eastAsia" w:ascii="楷体" w:hAnsi="楷体" w:eastAsia="楷体"/>
                <w:b/>
                <w:sz w:val="24"/>
                <w:szCs w:val="24"/>
              </w:rPr>
              <w:t>净土理县网销品牌打造：</w:t>
            </w:r>
            <w:r>
              <w:rPr>
                <w:rFonts w:hint="eastAsia" w:ascii="楷体" w:hAnsi="楷体" w:eastAsia="楷体"/>
                <w:sz w:val="24"/>
                <w:szCs w:val="24"/>
              </w:rPr>
              <w:t>依托一号店阿坝馆、苏宁易购阿坝地方馆等电商窗口，销售推广理县绿色生态农产品，不断提高理县网销品牌的知名度和美誉度。</w:t>
            </w:r>
          </w:p>
        </w:tc>
      </w:tr>
    </w:tbl>
    <w:p>
      <w:pPr>
        <w:jc w:val="center"/>
        <w:rPr>
          <w:rFonts w:ascii="宋体" w:hAnsi="宋体" w:cs="宋体"/>
          <w:kern w:val="0"/>
          <w:sz w:val="24"/>
          <w:szCs w:val="24"/>
        </w:rPr>
      </w:pPr>
    </w:p>
    <w:p>
      <w:pPr>
        <w:pStyle w:val="5"/>
        <w:jc w:val="center"/>
        <w:rPr>
          <w:rFonts w:hint="eastAsia" w:eastAsiaTheme="majorEastAsia"/>
          <w:lang w:eastAsia="zh-CN"/>
        </w:rPr>
      </w:pPr>
      <w:bookmarkStart w:id="25" w:name="_Toc13417243"/>
      <w:r>
        <w:rPr>
          <w:rFonts w:hint="eastAsia"/>
        </w:rPr>
        <w:t>第四节　现代物流</w:t>
      </w:r>
      <w:bookmarkEnd w:id="25"/>
      <w:r>
        <w:rPr>
          <w:rFonts w:hint="eastAsia"/>
          <w:lang w:eastAsia="zh-CN"/>
        </w:rPr>
        <w:t>服务建设</w:t>
      </w:r>
    </w:p>
    <w:p>
      <w:pPr>
        <w:pStyle w:val="6"/>
      </w:pPr>
      <w:bookmarkStart w:id="26" w:name="_Toc13417244"/>
      <w:r>
        <w:rPr>
          <w:rFonts w:hint="eastAsia"/>
        </w:rPr>
        <w:t>一、空间指引</w:t>
      </w:r>
      <w:bookmarkEnd w:id="26"/>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依托国道317线，以杂谷脑镇为中心，以下孟乡、古尔沟镇、米亚罗镇、薛城镇、桃坪镇、朴头乡等重点乡镇为节点，构筑外接成都、康定乃至西藏、青海、甘肃、重庆，内通全县村镇的现代物流体系。</w:t>
      </w:r>
    </w:p>
    <w:p>
      <w:pPr>
        <w:jc w:val="center"/>
        <w:rPr>
          <w:rFonts w:ascii="宋体" w:hAnsi="宋体"/>
          <w:sz w:val="24"/>
          <w:szCs w:val="24"/>
        </w:rPr>
      </w:pPr>
      <w:r>
        <w:rPr>
          <w:szCs w:val="24"/>
        </w:rPr>
        <w:drawing>
          <wp:inline distT="0" distB="0" distL="0" distR="0">
            <wp:extent cx="5274310" cy="4712335"/>
            <wp:effectExtent l="0" t="0" r="2540" b="0"/>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noChangeArrowheads="1"/>
                    </pic:cNvPicPr>
                  </pic:nvPicPr>
                  <pic:blipFill>
                    <a:blip r:embed="rId7"/>
                    <a:srcRect/>
                    <a:stretch>
                      <a:fillRect/>
                    </a:stretch>
                  </pic:blipFill>
                  <pic:spPr>
                    <a:xfrm>
                      <a:off x="0" y="0"/>
                      <a:ext cx="5274310" cy="4712442"/>
                    </a:xfrm>
                    <a:prstGeom prst="rect">
                      <a:avLst/>
                    </a:prstGeom>
                    <a:noFill/>
                    <a:ln w="9525">
                      <a:noFill/>
                      <a:miter lim="800000"/>
                      <a:headEnd/>
                      <a:tailEnd/>
                    </a:ln>
                  </pic:spPr>
                </pic:pic>
              </a:graphicData>
            </a:graphic>
          </wp:inline>
        </w:drawing>
      </w:r>
    </w:p>
    <w:p>
      <w:pPr>
        <w:jc w:val="center"/>
        <w:rPr>
          <w:sz w:val="24"/>
          <w:szCs w:val="24"/>
        </w:rPr>
      </w:pPr>
      <w:r>
        <w:rPr>
          <w:rFonts w:hint="eastAsia"/>
          <w:sz w:val="24"/>
          <w:szCs w:val="24"/>
        </w:rPr>
        <w:t xml:space="preserve">图3-4 </w:t>
      </w:r>
      <w:r>
        <w:rPr>
          <w:rFonts w:hint="eastAsia" w:ascii="宋体" w:hAnsi="宋体" w:cs="宋体"/>
          <w:kern w:val="0"/>
          <w:sz w:val="24"/>
          <w:szCs w:val="24"/>
        </w:rPr>
        <w:t>现代物流</w:t>
      </w:r>
      <w:r>
        <w:rPr>
          <w:rFonts w:hint="eastAsia" w:ascii="宋体" w:hAnsi="宋体" w:cs="宋体"/>
          <w:kern w:val="0"/>
          <w:sz w:val="24"/>
          <w:szCs w:val="24"/>
          <w:lang w:eastAsia="zh-CN"/>
        </w:rPr>
        <w:t>服务</w:t>
      </w:r>
      <w:r>
        <w:rPr>
          <w:rFonts w:hint="eastAsia" w:ascii="宋体" w:hAnsi="宋体" w:cs="宋体"/>
          <w:kern w:val="0"/>
          <w:sz w:val="24"/>
          <w:szCs w:val="24"/>
        </w:rPr>
        <w:t>建设示意图</w:t>
      </w:r>
    </w:p>
    <w:p>
      <w:pPr>
        <w:pStyle w:val="6"/>
      </w:pPr>
      <w:bookmarkStart w:id="27" w:name="_Toc13417245"/>
      <w:r>
        <w:rPr>
          <w:rFonts w:hint="eastAsia"/>
        </w:rPr>
        <w:t>二、发展重点</w:t>
      </w:r>
      <w:bookmarkEnd w:id="27"/>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大力布局物流集聚功能区。推进物流体系化与物流信息化规划建设工程，结合理县工业发展布局和城镇总体规划布局，以建设驿站型公路港主动融入国家公路港网络工程为目标，以提高流通效率、降低物流成本为核心，以重要集镇、汶马高速连接口以及重要产业</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为重点，推动现代物流</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建设。依托国道317线、汶马高速以及川青高速（马尔康至久治段）、汶川至九寨沟县(川甘界)高速，主动承接全州物流服务，对接成渝、西藏、青海、甘肃等物流需求；优化配置物流资源，完善以杂谷脑镇为物流配送中心，下孟乡、古尔沟镇、米亚罗镇、薛城镇、桃坪镇、朴头乡等重点乡镇为物流配送网点，农牧区聚居点为物流末梢的物流服务体系，构建对接成渝甘青藏、承接全州、辐射周边、服务全县的物流大通道，进一步提升物流集疏能力。</w:t>
      </w:r>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积极推动重点领域物流业发展。大力支持农产品冷链物流、制造业物流、城市配送物流、电商物流、快递物流等重点物流领域，积极促进物流业与特色农牧业、制造业、现代商贸业融合发展。大力发展“互联网+农业”新业态，以理县无公害蔬菜贮藏保鲜库和冷链物流项目为支撑，加快建设集收储、包装、运输、销售于一体的农副产品冷链物流体系，完善冷链物流网络，形成重点品种农产品物流集散中心。搭建城市配送公共服务平台，延伸城乡物流配送网络，加快城乡客货运输、农副产品对接、农资配送和生活用品流通。大力发展电子商务物流，建设电商集散物流基地，增强现有物流配送企业服务能力，有效拓展电商覆盖面积，提高电商物流的配送效率。推动快递末端投送模式变革创新，引导企业通过智能自提柜等方式实现快件投递，在重点集镇、学校、医院、旅游景区游客服务中心等地设立快递服务代理点。</w:t>
      </w:r>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培育、集聚物流服务市场主体。推进物流服务社会化、专业化，积极引导工业企业和商贸企业改造物流流程，逐步将运输、仓储、配送等物流业务从主业中分离，推进物流服务外包。培育壮大、集聚发展以运输、仓储、联运、快递为重点的第三方、第四方物流企业，加快发展特色水果、农副产品等第三方物流业务。整合现有物流企业资源，鼓励本土运输、仓储、货代等传统物流企业整合功能、延伸服务，向专业化现代物流企业转型，做强做大。鼓励有条件的企业通过资产联合、兼并等方式组建现代物流企业，进行集团化发展、连锁化经营。吸引有实力的省内外知名现代物流企业进入理县市场，不断提升物流企业综合服务能力，形成1-2个主业突出、有品牌、有先进经营理念的第三方物流企业，不断提升物流发展层次和水平。</w:t>
      </w:r>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积极推进物流链功能整合。积极对接引入国内外知名物流企业开展连锁经营，在提供仓储、运输、配送、转运、货运代理、加工等基本物流服务以及物业、停车、维修、加油等配套服务的基础上，进一步集聚工商、税务、报检等政务服务和供应链设计、管理咨询、保险、贸易会展、法律等商务服务功能，打造集货物集散、中转换装、往返接驳、物流服务等多功能一体的现代物流</w:t>
      </w:r>
      <w:r>
        <w:rPr>
          <w:rFonts w:hint="eastAsia" w:ascii="仿宋" w:hAnsi="仿宋" w:eastAsia="仿宋" w:cs="宋体"/>
          <w:kern w:val="0"/>
          <w:sz w:val="30"/>
          <w:szCs w:val="30"/>
          <w:lang w:eastAsia="zh-CN"/>
        </w:rPr>
        <w:t>服务</w:t>
      </w:r>
      <w:r>
        <w:rPr>
          <w:rFonts w:hint="eastAsia" w:ascii="仿宋" w:hAnsi="仿宋" w:eastAsia="仿宋" w:cs="宋体"/>
          <w:kern w:val="0"/>
          <w:sz w:val="30"/>
          <w:szCs w:val="30"/>
        </w:rPr>
        <w:t>。</w:t>
      </w:r>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加快建设基础设施网络平台。构建衔接企业、消费者与政府部门的物流信息数据库、物流公共信息平台等物流信息综合平台，促进物流环节和行业区域物流信息共建共享。加快对物流企业仓储、转运设施、装载单元的标准化改造，支持标准装载单元器具在物流企业之间循环使用。引导物流企业积极发展无车承运、甩挂运输、共同配送等运输组织方式，加强大数据、物联网、云计算等先进信息技术的应用。</w:t>
      </w:r>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推动区域物流联动。利用理县区位优势，完善区域物流合作机制，深化与成都、重庆两地物流企业区域合作，发展物流配送联盟，开展物流通道和枢纽建设，加快理县与成都、重庆、甘肃、青海、西藏的物流对接。依托国道317线、汶马高速以及川青高速（马尔康至久治段）、汶川至九寨沟县(川甘界)高速、理小路、理黑路的交通线路，加大与周边各县的合作力度，积极开展市场拓展和货源组织等方面合作，强化发展州内外物流中转服务。</w:t>
      </w:r>
    </w:p>
    <w:tbl>
      <w:tblPr>
        <w:tblStyle w:val="18"/>
        <w:tblW w:w="7629" w:type="dxa"/>
        <w:jc w:val="cente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Layout w:type="fixed"/>
        <w:tblCellMar>
          <w:top w:w="0" w:type="dxa"/>
          <w:left w:w="108" w:type="dxa"/>
          <w:bottom w:w="0" w:type="dxa"/>
          <w:right w:w="108" w:type="dxa"/>
        </w:tblCellMar>
      </w:tblPr>
      <w:tblGrid>
        <w:gridCol w:w="7629"/>
      </w:tblGrid>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trHeight w:val="374" w:hRule="atLeast"/>
          <w:tblCellSpacing w:w="20" w:type="dxa"/>
          <w:jc w:val="center"/>
        </w:trPr>
        <w:tc>
          <w:tcPr>
            <w:tcW w:w="7549" w:type="dxa"/>
            <w:vAlign w:val="center"/>
          </w:tcPr>
          <w:p>
            <w:pPr>
              <w:ind w:firstLine="472" w:firstLineChars="196"/>
              <w:rPr>
                <w:rFonts w:ascii="楷体" w:hAnsi="楷体" w:eastAsia="楷体"/>
                <w:b/>
                <w:sz w:val="24"/>
                <w:szCs w:val="24"/>
              </w:rPr>
            </w:pPr>
            <w:r>
              <w:rPr>
                <w:rFonts w:hint="eastAsia" w:ascii="楷体" w:hAnsi="楷体" w:eastAsia="楷体" w:cs="楷体_GB2312"/>
                <w:b/>
                <w:sz w:val="24"/>
                <w:szCs w:val="24"/>
              </w:rPr>
              <w:t>专栏：建设区域性物流枢纽</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PrEx>
        <w:trPr>
          <w:trHeight w:val="538" w:hRule="atLeast"/>
          <w:tblCellSpacing w:w="20" w:type="dxa"/>
          <w:jc w:val="center"/>
        </w:trPr>
        <w:tc>
          <w:tcPr>
            <w:tcW w:w="7549" w:type="dxa"/>
          </w:tcPr>
          <w:p>
            <w:pPr>
              <w:pStyle w:val="9"/>
              <w:spacing w:line="360" w:lineRule="auto"/>
              <w:ind w:firstLine="482"/>
              <w:rPr>
                <w:rFonts w:ascii="楷体" w:hAnsi="楷体" w:eastAsia="楷体"/>
                <w:sz w:val="24"/>
                <w:szCs w:val="24"/>
              </w:rPr>
            </w:pPr>
            <w:r>
              <w:rPr>
                <w:rFonts w:hint="eastAsia" w:ascii="楷体" w:hAnsi="楷体" w:eastAsia="楷体"/>
                <w:b/>
                <w:sz w:val="24"/>
                <w:szCs w:val="24"/>
              </w:rPr>
              <w:t>驿站型公路港建设：</w:t>
            </w:r>
            <w:r>
              <w:rPr>
                <w:rFonts w:hint="eastAsia" w:ascii="楷体" w:hAnsi="楷体" w:eastAsia="楷体"/>
                <w:sz w:val="24"/>
                <w:szCs w:val="24"/>
              </w:rPr>
              <w:t>完善</w:t>
            </w:r>
            <w:r>
              <w:rPr>
                <w:rFonts w:ascii="楷体" w:hAnsi="楷体" w:eastAsia="楷体"/>
                <w:sz w:val="24"/>
                <w:szCs w:val="24"/>
              </w:rPr>
              <w:t>货物集散、中转换装、往返接驳</w:t>
            </w:r>
            <w:r>
              <w:rPr>
                <w:rFonts w:hint="eastAsia" w:ascii="楷体" w:hAnsi="楷体" w:eastAsia="楷体"/>
                <w:sz w:val="24"/>
                <w:szCs w:val="24"/>
              </w:rPr>
              <w:t>、</w:t>
            </w:r>
            <w:r>
              <w:rPr>
                <w:rFonts w:ascii="楷体" w:hAnsi="楷体" w:eastAsia="楷体"/>
                <w:sz w:val="24"/>
                <w:szCs w:val="24"/>
              </w:rPr>
              <w:t>物流服务等功能</w:t>
            </w:r>
            <w:r>
              <w:rPr>
                <w:rFonts w:hint="eastAsia" w:ascii="楷体" w:hAnsi="楷体" w:eastAsia="楷体"/>
                <w:sz w:val="24"/>
                <w:szCs w:val="24"/>
              </w:rPr>
              <w:t>，建设</w:t>
            </w:r>
            <w:r>
              <w:rPr>
                <w:rFonts w:ascii="楷体" w:hAnsi="楷体" w:eastAsia="楷体"/>
                <w:sz w:val="24"/>
                <w:szCs w:val="24"/>
              </w:rPr>
              <w:t>基础设施网络平台</w:t>
            </w:r>
            <w:r>
              <w:rPr>
                <w:rFonts w:hint="eastAsia" w:ascii="楷体" w:hAnsi="楷体" w:eastAsia="楷体"/>
                <w:sz w:val="24"/>
                <w:szCs w:val="24"/>
              </w:rPr>
              <w:t>，实施物流企业仓储、转运设施、装载单元的标准化改造。</w:t>
            </w:r>
          </w:p>
          <w:p>
            <w:pPr>
              <w:pStyle w:val="9"/>
              <w:spacing w:line="360" w:lineRule="auto"/>
              <w:ind w:firstLine="482"/>
              <w:rPr>
                <w:rFonts w:ascii="楷体" w:hAnsi="楷体" w:eastAsia="楷体"/>
                <w:sz w:val="24"/>
                <w:szCs w:val="24"/>
              </w:rPr>
            </w:pPr>
            <w:r>
              <w:rPr>
                <w:rFonts w:hint="eastAsia" w:ascii="楷体" w:hAnsi="楷体" w:eastAsia="楷体"/>
                <w:b/>
                <w:sz w:val="24"/>
                <w:szCs w:val="24"/>
              </w:rPr>
              <w:t>无公害蔬菜贮藏保鲜库和冷链物流建设：</w:t>
            </w:r>
            <w:r>
              <w:rPr>
                <w:rFonts w:hint="eastAsia" w:ascii="楷体" w:hAnsi="楷体" w:eastAsia="楷体"/>
                <w:sz w:val="24"/>
                <w:szCs w:val="24"/>
              </w:rPr>
              <w:t>在农牧产品集散中心、专业交易市场和重要物流节点，配套完善农牧产品仓储、冷链物流设施。重点发展以肉禽蛋、特色水果、有机蔬菜、畜禽食品为主的农产品冷链物流，提升冷链设施水平。</w:t>
            </w:r>
          </w:p>
          <w:p>
            <w:pPr>
              <w:pStyle w:val="9"/>
              <w:spacing w:line="360" w:lineRule="auto"/>
              <w:ind w:firstLine="482"/>
              <w:rPr>
                <w:rFonts w:ascii="楷体" w:hAnsi="楷体" w:eastAsia="楷体"/>
                <w:sz w:val="24"/>
                <w:szCs w:val="24"/>
              </w:rPr>
            </w:pPr>
            <w:r>
              <w:rPr>
                <w:rFonts w:hint="eastAsia" w:ascii="楷体" w:hAnsi="楷体" w:eastAsia="楷体"/>
                <w:b/>
                <w:sz w:val="24"/>
                <w:szCs w:val="24"/>
              </w:rPr>
              <w:t>电商物流和快递物流发展：</w:t>
            </w:r>
            <w:r>
              <w:rPr>
                <w:rFonts w:hint="eastAsia" w:ascii="楷体" w:hAnsi="楷体" w:eastAsia="楷体"/>
                <w:sz w:val="24"/>
                <w:szCs w:val="24"/>
              </w:rPr>
              <w:t>合理布局区域性电商、快递物流集配中心，建立仓储中心和分拨配送中心，加快电商物流、快递物流体系建设。</w:t>
            </w:r>
          </w:p>
          <w:p>
            <w:pPr>
              <w:pStyle w:val="9"/>
              <w:spacing w:line="360" w:lineRule="auto"/>
              <w:ind w:firstLine="482"/>
              <w:rPr>
                <w:rFonts w:ascii="楷体" w:hAnsi="楷体" w:eastAsia="楷体"/>
                <w:sz w:val="24"/>
                <w:szCs w:val="24"/>
              </w:rPr>
            </w:pPr>
            <w:r>
              <w:rPr>
                <w:rFonts w:hint="eastAsia" w:ascii="楷体" w:hAnsi="楷体" w:eastAsia="楷体"/>
                <w:b/>
                <w:sz w:val="24"/>
                <w:szCs w:val="24"/>
              </w:rPr>
              <w:t>城乡物流配送：</w:t>
            </w:r>
            <w:r>
              <w:rPr>
                <w:rFonts w:hint="eastAsia" w:ascii="楷体" w:hAnsi="楷体" w:eastAsia="楷体"/>
                <w:sz w:val="24"/>
                <w:szCs w:val="24"/>
              </w:rPr>
              <w:t>完善城乡物流配送网络，发展农产品从特色产业基地到销地的直销和配送，建立城乡直达配送体系，探索城乡物流对接新模式。</w:t>
            </w:r>
          </w:p>
          <w:p>
            <w:pPr>
              <w:pStyle w:val="9"/>
              <w:spacing w:line="360" w:lineRule="auto"/>
              <w:ind w:firstLine="482"/>
              <w:rPr>
                <w:rFonts w:ascii="楷体" w:hAnsi="楷体" w:eastAsia="楷体"/>
                <w:sz w:val="24"/>
                <w:szCs w:val="24"/>
              </w:rPr>
            </w:pPr>
            <w:r>
              <w:rPr>
                <w:rFonts w:hint="eastAsia" w:ascii="楷体" w:hAnsi="楷体" w:eastAsia="楷体"/>
                <w:b/>
                <w:sz w:val="24"/>
                <w:szCs w:val="24"/>
              </w:rPr>
              <w:t>公共物流信息平台建设：</w:t>
            </w:r>
            <w:r>
              <w:rPr>
                <w:rFonts w:hint="eastAsia" w:ascii="楷体" w:hAnsi="楷体" w:eastAsia="楷体"/>
                <w:sz w:val="24"/>
                <w:szCs w:val="24"/>
              </w:rPr>
              <w:t>推动</w:t>
            </w:r>
            <w:r>
              <w:rPr>
                <w:rFonts w:ascii="楷体" w:hAnsi="楷体" w:eastAsia="楷体"/>
                <w:sz w:val="24"/>
                <w:szCs w:val="24"/>
              </w:rPr>
              <w:t>互联网、大数据、物联网等</w:t>
            </w:r>
            <w:r>
              <w:rPr>
                <w:rFonts w:hint="eastAsia" w:ascii="楷体" w:hAnsi="楷体" w:eastAsia="楷体"/>
                <w:sz w:val="24"/>
                <w:szCs w:val="24"/>
              </w:rPr>
              <w:t>技术运用，加快智能物流信息综合平台建设，促进</w:t>
            </w:r>
            <w:r>
              <w:rPr>
                <w:rFonts w:ascii="楷体" w:hAnsi="楷体" w:eastAsia="楷体"/>
                <w:sz w:val="24"/>
                <w:szCs w:val="24"/>
              </w:rPr>
              <w:t>物流企业上下游和横向的信息互联互通</w:t>
            </w:r>
            <w:r>
              <w:rPr>
                <w:rFonts w:hint="eastAsia" w:ascii="楷体" w:hAnsi="楷体" w:eastAsia="楷体"/>
                <w:sz w:val="24"/>
                <w:szCs w:val="24"/>
              </w:rPr>
              <w:t>，逐步完善平台功能，提高市场化服务水平。</w:t>
            </w:r>
          </w:p>
        </w:tc>
      </w:tr>
    </w:tbl>
    <w:p>
      <w:pPr>
        <w:pStyle w:val="5"/>
        <w:jc w:val="center"/>
        <w:rPr>
          <w:rFonts w:hint="eastAsia" w:eastAsiaTheme="majorEastAsia"/>
          <w:lang w:eastAsia="zh-CN"/>
        </w:rPr>
      </w:pPr>
      <w:bookmarkStart w:id="28" w:name="_Toc13417246"/>
      <w:r>
        <w:rPr>
          <w:rFonts w:hint="eastAsia"/>
        </w:rPr>
        <w:t>第五节　特色商贸</w:t>
      </w:r>
      <w:bookmarkEnd w:id="28"/>
      <w:r>
        <w:rPr>
          <w:rFonts w:hint="eastAsia"/>
          <w:lang w:eastAsia="zh-CN"/>
        </w:rPr>
        <w:t>服务建设</w:t>
      </w:r>
    </w:p>
    <w:p>
      <w:pPr>
        <w:pStyle w:val="6"/>
      </w:pPr>
      <w:bookmarkStart w:id="29" w:name="_Toc13417247"/>
      <w:r>
        <w:rPr>
          <w:rFonts w:hint="eastAsia"/>
        </w:rPr>
        <w:t>一、空间指引</w:t>
      </w:r>
      <w:bookmarkEnd w:id="29"/>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以大商贸、大市场、大流通为导向，以构建便利化消费为核心，以县城和重要产业</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为依托，打造城市综合体和杂谷脑城镇、桃坪羌寨·甘堡藏寨、毕棚沟、古尔沟、米亚罗等特色商业街区；依托汶马高速桃坪、薛城、理县东、朴头、古尔沟、米亚罗连接口，打造特色商品集散中心，形成服务旅游、康养、现代都市生活需要的现代商贸</w:t>
      </w:r>
      <w:r>
        <w:rPr>
          <w:rFonts w:hint="eastAsia" w:ascii="仿宋" w:hAnsi="仿宋" w:eastAsia="仿宋" w:cs="宋体"/>
          <w:kern w:val="0"/>
          <w:sz w:val="30"/>
          <w:szCs w:val="30"/>
          <w:lang w:eastAsia="zh-CN"/>
        </w:rPr>
        <w:t>服务</w:t>
      </w:r>
      <w:r>
        <w:rPr>
          <w:rFonts w:hint="eastAsia" w:ascii="仿宋" w:hAnsi="仿宋" w:eastAsia="仿宋" w:cs="宋体"/>
          <w:kern w:val="0"/>
          <w:sz w:val="30"/>
          <w:szCs w:val="30"/>
        </w:rPr>
        <w:t>。</w:t>
      </w:r>
    </w:p>
    <w:p>
      <w:pPr>
        <w:jc w:val="center"/>
        <w:rPr>
          <w:rFonts w:ascii="宋体" w:hAnsi="宋体" w:cs="宋体"/>
          <w:kern w:val="0"/>
          <w:sz w:val="24"/>
          <w:szCs w:val="24"/>
        </w:rPr>
      </w:pPr>
      <w:r>
        <w:rPr>
          <w:szCs w:val="24"/>
        </w:rPr>
        <w:drawing>
          <wp:inline distT="0" distB="0" distL="0" distR="0">
            <wp:extent cx="5274310" cy="4705350"/>
            <wp:effectExtent l="0" t="0" r="2540" b="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noChangeArrowheads="1"/>
                    </pic:cNvPicPr>
                  </pic:nvPicPr>
                  <pic:blipFill>
                    <a:blip r:embed="rId8"/>
                    <a:srcRect/>
                    <a:stretch>
                      <a:fillRect/>
                    </a:stretch>
                  </pic:blipFill>
                  <pic:spPr>
                    <a:xfrm>
                      <a:off x="0" y="0"/>
                      <a:ext cx="5274310" cy="4705350"/>
                    </a:xfrm>
                    <a:prstGeom prst="rect">
                      <a:avLst/>
                    </a:prstGeom>
                    <a:noFill/>
                    <a:ln w="9525">
                      <a:noFill/>
                      <a:miter lim="800000"/>
                      <a:headEnd/>
                      <a:tailEnd/>
                    </a:ln>
                  </pic:spPr>
                </pic:pic>
              </a:graphicData>
            </a:graphic>
          </wp:inline>
        </w:drawing>
      </w:r>
    </w:p>
    <w:p>
      <w:pPr>
        <w:jc w:val="center"/>
        <w:rPr>
          <w:sz w:val="24"/>
          <w:szCs w:val="24"/>
        </w:rPr>
      </w:pPr>
      <w:r>
        <w:rPr>
          <w:rFonts w:hint="eastAsia"/>
          <w:sz w:val="24"/>
          <w:szCs w:val="24"/>
        </w:rPr>
        <w:t xml:space="preserve">图3-5 </w:t>
      </w:r>
      <w:r>
        <w:rPr>
          <w:rFonts w:hint="eastAsia" w:ascii="宋体" w:hAnsi="宋体" w:cs="宋体"/>
          <w:kern w:val="0"/>
          <w:sz w:val="24"/>
          <w:szCs w:val="24"/>
        </w:rPr>
        <w:t>特色商贸</w:t>
      </w:r>
      <w:r>
        <w:rPr>
          <w:rFonts w:hint="eastAsia" w:ascii="宋体" w:hAnsi="宋体" w:cs="宋体"/>
          <w:kern w:val="0"/>
          <w:sz w:val="24"/>
          <w:szCs w:val="24"/>
          <w:lang w:eastAsia="zh-CN"/>
        </w:rPr>
        <w:t>服务</w:t>
      </w:r>
      <w:r>
        <w:rPr>
          <w:rFonts w:hint="eastAsia" w:ascii="宋体" w:hAnsi="宋体" w:cs="宋体"/>
          <w:kern w:val="0"/>
          <w:sz w:val="24"/>
          <w:szCs w:val="24"/>
        </w:rPr>
        <w:t>建设示意图</w:t>
      </w:r>
    </w:p>
    <w:p>
      <w:pPr>
        <w:widowControl/>
        <w:spacing w:line="360" w:lineRule="auto"/>
        <w:ind w:firstLine="600" w:firstLineChars="200"/>
        <w:jc w:val="left"/>
        <w:rPr>
          <w:rFonts w:ascii="仿宋" w:hAnsi="仿宋" w:eastAsia="仿宋" w:cs="宋体"/>
          <w:kern w:val="0"/>
          <w:sz w:val="30"/>
          <w:szCs w:val="30"/>
        </w:rPr>
      </w:pPr>
    </w:p>
    <w:p>
      <w:pPr>
        <w:pStyle w:val="6"/>
      </w:pPr>
      <w:bookmarkStart w:id="30" w:name="_Toc13417248"/>
      <w:r>
        <w:rPr>
          <w:rFonts w:hint="eastAsia"/>
        </w:rPr>
        <w:t>二、发展重点</w:t>
      </w:r>
      <w:bookmarkEnd w:id="30"/>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强化商贸</w:t>
      </w:r>
      <w:r>
        <w:rPr>
          <w:rFonts w:hint="eastAsia" w:ascii="仿宋" w:hAnsi="仿宋" w:eastAsia="仿宋" w:cs="宋体"/>
          <w:kern w:val="0"/>
          <w:sz w:val="30"/>
          <w:szCs w:val="30"/>
          <w:lang w:eastAsia="zh-CN"/>
        </w:rPr>
        <w:t>服务</w:t>
      </w:r>
      <w:r>
        <w:rPr>
          <w:rFonts w:hint="eastAsia" w:ascii="仿宋" w:hAnsi="仿宋" w:eastAsia="仿宋" w:cs="宋体"/>
          <w:kern w:val="0"/>
          <w:sz w:val="30"/>
          <w:szCs w:val="30"/>
        </w:rPr>
        <w:t>建设。适度调整完善县城及重点城镇商业网点规划，结合理县民族文化、生态旅游、休闲观光等特色优势，大力发展新型商贸流通业态和连锁经营与统一配送，优化大型商场、综合超市、购物中心等商业网点结构和布局，加快内外市场、城乡区域、线上线下融合，推动流通渠道、流通业态、流通主体、流通设施、流通平台和流通治理全面升级，改善消费环境，推进集商品集散、批发零售、交易展销、价格形成、信息发布、储运配送等功能为一体的商贸</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建设，打造一批小商品批发、民族手工制品、山地旅游产品、民族特色食品等多形态商贸基地。</w:t>
      </w:r>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大力打造特色商贸载体。强力推进致和时代休闲广场城市综合体建设，强化商旅文联动开发，加强城市特色空间塑造和特色街区界面设计，提升县城杂谷脑镇和桃坪、甘堡、毕棚沟、古尔沟、米亚罗等重点旅游乡镇的商业中心层次，打造形成风格鲜明、设施完备、管理规范、拉动消费能力强，融合特色商品购物、民族特色展示和娱乐消费休闲等功能的特色商业街。加强商品交易市场建设，以生产资料、旅游产品、农畜产品、中藏药等商品为重点，依托汶马高速桃坪、薛城、理县东、朴头、古尔沟、米亚罗连接口，打造特色商品集散中心，重点建设县城配送中心和乡镇商贸服务中心；扩大全县“放心粮油”覆盖面，创建放心粮油示范店，形成以配送中心为龙头、以示范店为骨干、以经销点为基础的放心粮油经销网络。推进城乡农贸市场改造升级，探索市场化改造建设运行模式，积极引导社会资金参与农贸市场建设；合理布局农贸市场点位，推动县城农贸市场标准化改造、重点城镇农贸市场升级提质建设，便民化的中小型社区商业中心遍布全县所有乡镇，市场内部及周边市容环境进一步优化，不断满足居民日益增长的日常生活消费需求。合理布局再生资源回收分拣中心、加工中心、集散中心，进一步完善再生资源回收网点，加强桃坪镇、朴头乡、下孟乡等重点乡镇再生资源回收利用站建设，向社区延伸回收站（亭）网点。</w:t>
      </w:r>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大力引培商贸主体。加强限额以上商贸企业培育，发挥聚百汇购物中心的龙头引领作用，积极支持本土商贸企业做大、做强、做优，向规模化、集约化、专业化方向发展。支持中小企业积极与知名企业开展加盟合作，发展特色化、专业化、品牌化经营。在支持新一佳超市等企业发展的同时，着力引进德惠超市、永辉超市</w:t>
      </w:r>
      <w:r>
        <w:rPr>
          <w:rFonts w:hint="eastAsia" w:ascii="仿宋" w:hAnsi="仿宋" w:eastAsia="仿宋" w:cs="宋体"/>
          <w:kern w:val="0"/>
          <w:sz w:val="30"/>
          <w:szCs w:val="30"/>
          <w:lang w:eastAsia="zh-CN"/>
        </w:rPr>
        <w:t>、邻你超市</w:t>
      </w:r>
      <w:r>
        <w:rPr>
          <w:rFonts w:hint="eastAsia" w:ascii="仿宋" w:hAnsi="仿宋" w:eastAsia="仿宋" w:cs="宋体"/>
          <w:kern w:val="0"/>
          <w:sz w:val="30"/>
          <w:szCs w:val="30"/>
        </w:rPr>
        <w:t>等一批大中型品牌连锁经营企业，加快连锁经营网络向社区及高半山农牧区乡村延伸。不断激发实体商业发展活力，鼓励传统批发、零售企业转变经营方式，丰富消费体验，增加餐饮、休闲、娱乐、文化等设施，由商品销售为主向“商品+服务”并重转变，完善快餐、缴费、网订店取、社区配送等附加便民服务功能；实施“互联网+商贸流通”行动计划，与电子商务企业建立发展联盟，推动线上线下营销互动融合发展。</w:t>
      </w:r>
    </w:p>
    <w:tbl>
      <w:tblPr>
        <w:tblStyle w:val="18"/>
        <w:tblW w:w="7629" w:type="dxa"/>
        <w:jc w:val="cente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Layout w:type="fixed"/>
        <w:tblCellMar>
          <w:top w:w="0" w:type="dxa"/>
          <w:left w:w="108" w:type="dxa"/>
          <w:bottom w:w="0" w:type="dxa"/>
          <w:right w:w="108" w:type="dxa"/>
        </w:tblCellMar>
      </w:tblPr>
      <w:tblGrid>
        <w:gridCol w:w="7629"/>
      </w:tblGrid>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trHeight w:val="359" w:hRule="atLeast"/>
          <w:tblCellSpacing w:w="20" w:type="dxa"/>
          <w:jc w:val="center"/>
        </w:trPr>
        <w:tc>
          <w:tcPr>
            <w:tcW w:w="7549" w:type="dxa"/>
            <w:vAlign w:val="center"/>
          </w:tcPr>
          <w:p>
            <w:pPr>
              <w:ind w:firstLine="602"/>
              <w:rPr>
                <w:rFonts w:hint="eastAsia" w:ascii="楷体" w:hAnsi="楷体" w:eastAsia="楷体"/>
                <w:sz w:val="24"/>
                <w:szCs w:val="24"/>
                <w:lang w:eastAsia="zh-CN"/>
              </w:rPr>
            </w:pPr>
            <w:r>
              <w:rPr>
                <w:rFonts w:hint="eastAsia" w:ascii="楷体" w:hAnsi="楷体" w:eastAsia="楷体" w:cs="楷体_GB2312"/>
                <w:b/>
                <w:sz w:val="24"/>
                <w:szCs w:val="24"/>
              </w:rPr>
              <w:t>专栏：特色商贸</w:t>
            </w:r>
            <w:r>
              <w:rPr>
                <w:rFonts w:hint="eastAsia" w:ascii="楷体" w:hAnsi="楷体" w:eastAsia="楷体" w:cs="楷体_GB2312"/>
                <w:b/>
                <w:sz w:val="24"/>
                <w:szCs w:val="24"/>
                <w:lang w:eastAsia="zh-CN"/>
              </w:rPr>
              <w:t>服务业</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trHeight w:val="746" w:hRule="atLeast"/>
          <w:tblCellSpacing w:w="20" w:type="dxa"/>
          <w:jc w:val="center"/>
        </w:trPr>
        <w:tc>
          <w:tcPr>
            <w:tcW w:w="7549" w:type="dxa"/>
          </w:tcPr>
          <w:p>
            <w:pPr>
              <w:pStyle w:val="9"/>
              <w:spacing w:line="360" w:lineRule="auto"/>
              <w:ind w:firstLine="482"/>
              <w:rPr>
                <w:rFonts w:ascii="楷体" w:hAnsi="楷体" w:eastAsia="楷体"/>
                <w:b/>
                <w:sz w:val="24"/>
                <w:szCs w:val="24"/>
              </w:rPr>
            </w:pPr>
            <w:r>
              <w:rPr>
                <w:rFonts w:hint="eastAsia" w:ascii="楷体" w:hAnsi="楷体" w:eastAsia="楷体"/>
                <w:b/>
                <w:sz w:val="24"/>
                <w:szCs w:val="24"/>
              </w:rPr>
              <w:t>城市综合体打造：</w:t>
            </w:r>
            <w:r>
              <w:rPr>
                <w:rFonts w:hint="eastAsia" w:ascii="楷体" w:hAnsi="楷体" w:eastAsia="楷体"/>
                <w:sz w:val="24"/>
                <w:szCs w:val="24"/>
              </w:rPr>
              <w:t>优化</w:t>
            </w:r>
            <w:r>
              <w:rPr>
                <w:rFonts w:ascii="楷体" w:hAnsi="楷体" w:eastAsia="楷体"/>
                <w:sz w:val="24"/>
                <w:szCs w:val="24"/>
              </w:rPr>
              <w:t>致和时代休闲广场商贸服务功能</w:t>
            </w:r>
            <w:r>
              <w:rPr>
                <w:rFonts w:hint="eastAsia" w:ascii="楷体" w:hAnsi="楷体" w:eastAsia="楷体"/>
                <w:sz w:val="24"/>
                <w:szCs w:val="24"/>
              </w:rPr>
              <w:t>。</w:t>
            </w:r>
          </w:p>
          <w:p>
            <w:pPr>
              <w:pStyle w:val="9"/>
              <w:spacing w:line="360" w:lineRule="auto"/>
              <w:ind w:firstLine="482"/>
              <w:rPr>
                <w:rFonts w:ascii="楷体" w:hAnsi="楷体" w:eastAsia="楷体"/>
                <w:sz w:val="24"/>
                <w:szCs w:val="24"/>
              </w:rPr>
            </w:pPr>
            <w:r>
              <w:rPr>
                <w:rFonts w:hint="eastAsia" w:ascii="楷体" w:hAnsi="楷体" w:eastAsia="楷体"/>
                <w:b/>
                <w:sz w:val="24"/>
                <w:szCs w:val="24"/>
              </w:rPr>
              <w:t>特色商业街区打造：</w:t>
            </w:r>
            <w:r>
              <w:rPr>
                <w:rFonts w:hint="eastAsia" w:ascii="楷体" w:hAnsi="楷体" w:eastAsia="楷体"/>
                <w:sz w:val="24"/>
                <w:szCs w:val="24"/>
              </w:rPr>
              <w:t>培育、打造县城杂谷脑镇和桃坪羌寨·甘堡藏寨、毕棚沟、古尔沟、米亚罗等主要景区的特色街区，完善周边环境及</w:t>
            </w:r>
            <w:r>
              <w:rPr>
                <w:rFonts w:ascii="楷体" w:hAnsi="楷体" w:eastAsia="楷体"/>
                <w:sz w:val="24"/>
                <w:szCs w:val="24"/>
              </w:rPr>
              <w:t>临街配套服务设施</w:t>
            </w:r>
            <w:r>
              <w:rPr>
                <w:rFonts w:hint="eastAsia" w:ascii="楷体" w:hAnsi="楷体" w:eastAsia="楷体"/>
                <w:sz w:val="24"/>
                <w:szCs w:val="24"/>
              </w:rPr>
              <w:t>。</w:t>
            </w:r>
          </w:p>
          <w:p>
            <w:pPr>
              <w:pStyle w:val="9"/>
              <w:spacing w:line="360" w:lineRule="auto"/>
              <w:ind w:firstLine="482"/>
              <w:rPr>
                <w:rFonts w:ascii="楷体" w:hAnsi="楷体" w:eastAsia="楷体"/>
                <w:sz w:val="24"/>
                <w:szCs w:val="24"/>
              </w:rPr>
            </w:pPr>
            <w:r>
              <w:rPr>
                <w:rFonts w:hint="eastAsia" w:ascii="楷体" w:hAnsi="楷体" w:eastAsia="楷体"/>
                <w:b/>
                <w:sz w:val="24"/>
                <w:szCs w:val="24"/>
              </w:rPr>
              <w:t>商品集散中心打造：</w:t>
            </w:r>
            <w:r>
              <w:rPr>
                <w:rFonts w:hint="eastAsia" w:ascii="楷体" w:hAnsi="楷体" w:eastAsia="楷体"/>
                <w:sz w:val="24"/>
                <w:szCs w:val="24"/>
              </w:rPr>
              <w:t>打造桃坪、薛城、理县东、朴头、古尔沟、米亚罗等6个特色商品集散中心。</w:t>
            </w:r>
          </w:p>
          <w:p>
            <w:pPr>
              <w:pStyle w:val="9"/>
              <w:spacing w:line="360" w:lineRule="auto"/>
              <w:ind w:firstLine="482"/>
              <w:rPr>
                <w:rFonts w:ascii="楷体" w:hAnsi="楷体" w:eastAsia="楷体"/>
                <w:sz w:val="24"/>
                <w:szCs w:val="24"/>
              </w:rPr>
            </w:pPr>
            <w:r>
              <w:rPr>
                <w:rFonts w:hint="eastAsia" w:ascii="楷体" w:hAnsi="楷体" w:eastAsia="楷体"/>
                <w:b/>
                <w:sz w:val="24"/>
                <w:szCs w:val="24"/>
              </w:rPr>
              <w:t>商品交易市场建设：</w:t>
            </w:r>
            <w:r>
              <w:rPr>
                <w:rFonts w:hint="eastAsia" w:ascii="楷体" w:hAnsi="楷体" w:eastAsia="楷体"/>
                <w:sz w:val="24"/>
                <w:szCs w:val="24"/>
              </w:rPr>
              <w:t>建设生产资料、旅游产品、农畜产品、中藏药等专业市场，完善再生资源回收网点。</w:t>
            </w:r>
          </w:p>
        </w:tc>
      </w:tr>
    </w:tbl>
    <w:p>
      <w:pPr>
        <w:spacing w:before="156" w:beforeLines="50"/>
        <w:jc w:val="center"/>
        <w:rPr>
          <w:rFonts w:ascii="宋体" w:hAnsi="宋体" w:cs="宋体"/>
          <w:kern w:val="0"/>
          <w:sz w:val="24"/>
          <w:szCs w:val="24"/>
        </w:rPr>
      </w:pPr>
    </w:p>
    <w:p>
      <w:pPr>
        <w:widowControl/>
        <w:jc w:val="left"/>
        <w:rPr>
          <w:rFonts w:ascii="宋体" w:hAnsi="宋体" w:cs="宋体"/>
          <w:kern w:val="0"/>
          <w:sz w:val="24"/>
          <w:szCs w:val="24"/>
        </w:rPr>
      </w:pPr>
      <w:r>
        <w:rPr>
          <w:rFonts w:ascii="宋体" w:hAnsi="宋体" w:cs="宋体"/>
          <w:kern w:val="0"/>
          <w:sz w:val="24"/>
          <w:szCs w:val="24"/>
        </w:rPr>
        <w:br w:type="page"/>
      </w:r>
    </w:p>
    <w:p>
      <w:pPr>
        <w:widowControl/>
        <w:spacing w:before="156" w:beforeLines="50" w:after="156" w:afterLines="50" w:line="360" w:lineRule="auto"/>
        <w:jc w:val="center"/>
        <w:rPr>
          <w:rFonts w:ascii="仿宋" w:hAnsi="仿宋" w:eastAsia="仿宋" w:cs="宋体"/>
          <w:b/>
          <w:bCs/>
          <w:kern w:val="0"/>
          <w:sz w:val="36"/>
          <w:szCs w:val="36"/>
        </w:rPr>
      </w:pPr>
    </w:p>
    <w:p>
      <w:pPr>
        <w:pStyle w:val="5"/>
        <w:jc w:val="center"/>
        <w:rPr>
          <w:rFonts w:ascii="Calibri" w:hAnsi="Calibri" w:eastAsia="宋体" w:cs="Times New Roman"/>
          <w:kern w:val="44"/>
          <w:sz w:val="44"/>
          <w:szCs w:val="44"/>
        </w:rPr>
      </w:pPr>
      <w:bookmarkStart w:id="31" w:name="_Toc13417249"/>
      <w:r>
        <w:rPr>
          <w:rFonts w:hint="eastAsia" w:ascii="Calibri" w:hAnsi="Calibri" w:eastAsia="宋体" w:cs="Times New Roman"/>
          <w:kern w:val="44"/>
          <w:sz w:val="44"/>
          <w:szCs w:val="44"/>
        </w:rPr>
        <w:t>第四章  重点工程</w:t>
      </w:r>
      <w:bookmarkEnd w:id="31"/>
    </w:p>
    <w:p>
      <w:pPr>
        <w:pStyle w:val="5"/>
        <w:jc w:val="center"/>
      </w:pPr>
      <w:bookmarkStart w:id="32" w:name="_Toc13417250"/>
      <w:r>
        <w:rPr>
          <w:rFonts w:hint="eastAsia"/>
        </w:rPr>
        <w:t>第一节　规划体系引领工程</w:t>
      </w:r>
      <w:bookmarkEnd w:id="32"/>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建立服务业发展规划体系。建立以现代服务业总体规划为统领，以旅游文化休闲、健康养老、电子商务、现代物流、特色商贸</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专项规划为支撑的规划体系。发挥规划的引领作用，高起点、高标准编制每个</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发展规划，细化功能定位、空间布局、产业政策导向、工作措施、支撑项目和目标任务，以规划带动项目，以项目集聚功能，以功能整合资源，形成</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联动、产业互动、空间一体的服务业发展格局。</w:t>
      </w:r>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推进多规合一。强化部门联动，加强分类指导，注意做好与国民经济和社会发展总体规划、重点产业发展规划、土地利用规划、城市总体规划、环境保护规划等衔接协调，预留发展空间；在制定年度计划中，把服务业的重点产业、重点项目放在优先位置，优先给予资金扶持，优先给予用地指标，引导各类资源投入服务业。</w:t>
      </w:r>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定期评估修订。建立规划实施的动态评估机制，根据</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规划的实施情况，定期开展规划评估和修订。强化实施监督，发现和解决规划实施过程中的突出问题，适时对规划内容进行调整，确保达到预期目标。</w:t>
      </w:r>
    </w:p>
    <w:p>
      <w:pPr>
        <w:widowControl/>
        <w:spacing w:line="360" w:lineRule="auto"/>
        <w:ind w:firstLine="600" w:firstLineChars="200"/>
        <w:jc w:val="left"/>
        <w:rPr>
          <w:rFonts w:ascii="仿宋" w:hAnsi="仿宋" w:eastAsia="仿宋" w:cs="宋体"/>
          <w:kern w:val="0"/>
          <w:sz w:val="30"/>
          <w:szCs w:val="30"/>
        </w:rPr>
      </w:pPr>
    </w:p>
    <w:p>
      <w:pPr>
        <w:pStyle w:val="5"/>
        <w:jc w:val="center"/>
      </w:pPr>
      <w:bookmarkStart w:id="33" w:name="_Toc13417251"/>
      <w:r>
        <w:rPr>
          <w:rFonts w:hint="eastAsia"/>
        </w:rPr>
        <w:t>第二节　公共平台升级工程</w:t>
      </w:r>
      <w:bookmarkEnd w:id="33"/>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建设</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专业化公共服务平台。充分发挥平台经济对服务业发展的积极作用，为畅通人流、物流、资金流和信息流提供支撑，支持和鼓励企业搭建区域性特色产业公共服务平台。积极创新公共服务平台公司化运作机制，鼓励采取“民建公助”模式，吸引社会资本、行业协会、高校、科研院所等参与共建，健全管理机构，强化人员、场地和经费保障，提升公共服务平台专业化水平。积极推进中小微企业公共服务平台建设，引导中小微服务企业通过联合采购、共同配送、平台集聚、设立联盟等方式，提高组织化程度，实现协作协同发展。</w:t>
      </w:r>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拓展公共平台服务功能。利用互联网、云计算、大数据等技术，围绕科技研发、创业孵化、信息服务、投融资、会计、审计、法律、会展、人才、培训、产权交易、检验检测等领域，搭建满足</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企业共性需求的</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发展虚拟化网络公共服务平台，推动信息互通、联动发展。积极融入政府公共服务功能，开展网上审批、报税、查询等服务。</w:t>
      </w:r>
    </w:p>
    <w:p>
      <w:pPr>
        <w:pStyle w:val="5"/>
        <w:jc w:val="center"/>
      </w:pPr>
      <w:bookmarkStart w:id="34" w:name="_Toc13417252"/>
      <w:r>
        <w:rPr>
          <w:rFonts w:hint="eastAsia"/>
        </w:rPr>
        <w:t>第三节　市场主体壮大工程</w:t>
      </w:r>
      <w:bookmarkEnd w:id="34"/>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实施现代服务业市场主体培育行动计划。坚持本土培育与外部引进并重，积极引进一批在国内有较强影响力的服务企业总部和优秀服务企业，形成龙头带动效应，努力推动本土企业壮大发展。</w:t>
      </w:r>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实施大中型服务企业培育行动计划。健全大中型服务企业培育发展机制，突出加强对特色突出、潜力较大、成长性好的服务企业的培育扶持。实施品牌培育计划，引导鼓励企业创建地方服务品牌。适时开展服务业“</w:t>
      </w:r>
      <w:r>
        <w:rPr>
          <w:rFonts w:hint="eastAsia" w:ascii="仿宋" w:hAnsi="仿宋" w:eastAsia="仿宋" w:cs="宋体"/>
          <w:kern w:val="0"/>
          <w:sz w:val="30"/>
          <w:szCs w:val="30"/>
          <w:lang w:eastAsia="zh-CN"/>
        </w:rPr>
        <w:t>优秀</w:t>
      </w:r>
      <w:r>
        <w:rPr>
          <w:rFonts w:hint="eastAsia" w:ascii="仿宋" w:hAnsi="仿宋" w:eastAsia="仿宋" w:cs="宋体"/>
          <w:kern w:val="0"/>
          <w:sz w:val="30"/>
          <w:szCs w:val="30"/>
        </w:rPr>
        <w:t>企业”评选，在旅游文化休闲、健康养老、电子商务、现代物流、特色商贸集聚领域，遴选</w:t>
      </w:r>
      <w:r>
        <w:rPr>
          <w:rFonts w:hint="eastAsia" w:ascii="仿宋" w:hAnsi="仿宋" w:eastAsia="仿宋" w:cs="宋体"/>
          <w:kern w:val="0"/>
          <w:sz w:val="30"/>
          <w:szCs w:val="30"/>
          <w:lang w:val="en-US" w:eastAsia="zh-CN"/>
        </w:rPr>
        <w:t>2</w:t>
      </w:r>
      <w:r>
        <w:rPr>
          <w:rFonts w:hint="eastAsia" w:ascii="仿宋" w:hAnsi="仿宋" w:eastAsia="仿宋" w:cs="宋体"/>
          <w:kern w:val="0"/>
          <w:sz w:val="30"/>
          <w:szCs w:val="30"/>
        </w:rPr>
        <w:t>家左右重点企业，鼓励引导企业做大做强，带动相关产业加速集聚。</w:t>
      </w:r>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实施小微服务企业培育行动计划。深入贯彻“非禁即入”等政策措施，全面推动小微服务企业培育发展；鼓励和支持工业、农业企业分离发展物流、科研、商贸、电商、培训和其它专业配套服务；畅通小微企业与优质资源对接渠道，引导社会优质服务资源以专题培训辅导、培训讲座、热线咨询等多种方式，为小微企业提供创业辅导、管理咨询、培训服务以及发展问题解决方案。</w:t>
      </w:r>
    </w:p>
    <w:p>
      <w:pPr>
        <w:pStyle w:val="5"/>
        <w:jc w:val="center"/>
      </w:pPr>
      <w:bookmarkStart w:id="35" w:name="_Toc13417253"/>
      <w:r>
        <w:rPr>
          <w:rFonts w:hint="eastAsia"/>
        </w:rPr>
        <w:t>第四节　重点项目推进工程</w:t>
      </w:r>
      <w:bookmarkEnd w:id="35"/>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建立完善</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重点项目库。加大项目谋划和招商力度，围绕</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主导产业链拓展延伸、创新现代服务业态，规划一批、引进一批、承接一批、开工一批、完成一批技术领先、业态新、引领作用大、示范功能强的服务业重大项目，并引导向旅游文化休闲、健康养老、电子商务、现代物流、特色商贸</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集中布局。强化项目储备，实施重大项目滚动计划，进行重大项目动态管理。</w:t>
      </w:r>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建立重大项目分级推进机制。制定服务业重点项目年度计划，对列入计划的项目，集中资源要素，强化帮扶联动，定期调度推进。完善重大项目管理机制，切实把项目建设与推进放在更加突出的位置，坚持实物化、项目化推进，突出抓好重点服务业项目建设跟踪指导与服务，进一步加快重点项目推进速度，夯实产业发展基础。</w:t>
      </w:r>
    </w:p>
    <w:p>
      <w:pPr>
        <w:pStyle w:val="5"/>
        <w:jc w:val="center"/>
      </w:pPr>
      <w:bookmarkStart w:id="36" w:name="_Toc13417254"/>
      <w:r>
        <w:rPr>
          <w:rFonts w:hint="eastAsia"/>
        </w:rPr>
        <w:t>第五节　体制机制创新工程</w:t>
      </w:r>
      <w:bookmarkEnd w:id="36"/>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大力实施</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创新引领行动计划。适应经济发展新常态需要，增强创新发展动能，大力实施理念创新、制度创新、技术创新、业态创新、平台创新、模式创新，围绕物流、人流、商品流、现代信息流、商人流、人力资源流、资金流、技术流，鼓励支持</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龙头企业引进、创新管理理念，先行先试，完善创新资源的制度体系，加快发展平台经济、分享经济、体验经济等新业态。积极开展</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示范区和品牌创建。建立相应标准，培育</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品牌，支持品牌输出管理，不断拓展</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的品牌效应。</w:t>
      </w:r>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创新建管模式。积极探索市场化运作、公司化运营的</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建设管理方式，规范管理机构，明确专职人员，统一负责</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规划编制实施、招商引资、公共服务平台建设、重点项目谋划推进以及为入驻企业提供“一站式”服务等建设管理。鼓励国内外有实力、有经验的专业机构参与</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的投资运营。支持服务业</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开展合作共建，探索多种形式的</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共建模式。</w:t>
      </w:r>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推进效能建设。着力推进简政放权、行政审批改革、集中审批、综合执法改革，全面推行服务业精细化管理和个性化服务，将工商注册、税务登记等政务服务功能延伸至</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实施“帮办”“包办”，提高一站式服务效率和水平。适应“互联网+”、平台经济、分享经济等新经济、新业态发展需求，探索审慎包容的监管模式。发挥社会诚信体系对监管的支撑作用，创新“条件管理+事中事后监管”模式。推动行业协会、商会建立健全行业经营自律规范、自律公约和职业道德准则，规范会员行为，推进行业诚信建设，自觉维护市场秩序。</w:t>
      </w:r>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公平开放市场准入。依法依规对规范性文件进行公平竞争审查，清理有损公平竞争的制度障碍，培育各类市场主体依法平等进入、公平竞争的营商环境。放宽社会资本市场准入领域，扩大服务领域开放度，推进非基本公共服务市场化产业化、基本公共服务供给模式多元化。实施市场准入负面清单制度，以市场准入负面清单为核心，建立服务领域平等规范、公开透明的准入标准，并适时动态调整。清理规范各类前置审批和事中事后管理事项，明确确需保留事项的审批主体、审批程序和审批时限，并向社会公开。</w:t>
      </w:r>
      <w:r>
        <w:rPr>
          <w:rFonts w:hint="eastAsia" w:ascii="仿宋" w:hAnsi="仿宋" w:eastAsia="仿宋" w:cs="宋体"/>
          <w:kern w:val="0"/>
          <w:sz w:val="30"/>
          <w:szCs w:val="30"/>
        </w:rPr>
        <w:br w:type="page"/>
      </w:r>
    </w:p>
    <w:p>
      <w:pPr>
        <w:pStyle w:val="4"/>
        <w:jc w:val="center"/>
      </w:pPr>
      <w:bookmarkStart w:id="37" w:name="_Toc13417255"/>
      <w:r>
        <w:rPr>
          <w:rFonts w:hint="eastAsia"/>
        </w:rPr>
        <w:t>第五章  政策体系</w:t>
      </w:r>
      <w:bookmarkEnd w:id="37"/>
    </w:p>
    <w:p>
      <w:pPr>
        <w:pStyle w:val="5"/>
        <w:jc w:val="center"/>
      </w:pPr>
      <w:bookmarkStart w:id="38" w:name="_Toc13417256"/>
      <w:r>
        <w:rPr>
          <w:rFonts w:hint="eastAsia"/>
        </w:rPr>
        <w:t>第一节　财政政策</w:t>
      </w:r>
      <w:bookmarkEnd w:id="38"/>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制定出台支持</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发展扶持政策，加大财政扶持服务业</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建设力度，完善政府对现代服务业发展的支持方式，优化服务业发展引导资金以及文化、旅游、流通、金融、科技创新、信息化等专项资金使用结构，探索以奖代补、股权投资、债券投资、融资增信、政府采购等方式，形成“专项资金+引导基金+购买服务”的财政综合支持体系。</w:t>
      </w:r>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设立县级服务业发展引导资金，加大对</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基础设施、公共服务平台、重点产业项目及商业模式创新等扶持力度，引导各类生产性服务企业向</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集中，加快服务业发展。</w:t>
      </w:r>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加大对</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关键领域、薄弱环节和创新发展的支持，对重大服务业项目的引进，实行专题研究的方式给予资金支持。对按规划入驻</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的企业，在税收、用水用电用气价格等方面享受政策优惠。</w:t>
      </w:r>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建立健全政府购买社会服务机制，加大政府向社会力量购买服务的力度，逐步增加政府采购范围、类别和数量，凡适合社会力量承担的，可以通过委托、承包、采购等方式交给社会力量承担。研究制定政府向社会力量购买服务的指导性目录，明确政府购买的服务种类、性质和内容。</w:t>
      </w:r>
    </w:p>
    <w:p>
      <w:pPr>
        <w:pStyle w:val="5"/>
        <w:jc w:val="center"/>
      </w:pPr>
      <w:bookmarkStart w:id="39" w:name="_Toc13417257"/>
      <w:r>
        <w:rPr>
          <w:rFonts w:hint="eastAsia"/>
        </w:rPr>
        <w:t>第二节　投融资政策</w:t>
      </w:r>
      <w:bookmarkEnd w:id="39"/>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改善</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融资环境。深化与股权投资机构的战略合作，积极推荐</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龙头骨干企业。建立服务业企业储备库，搭建</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企业与券商的对接平台。支持担保机构为</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内的企业提供知识产权质押、股权质押、无形资产抵押、应收账款质押、租金收入质押等贷款担保业务。</w:t>
      </w:r>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健全金融服务体系。建立现代服务业投融资信息服务平台，促进银企对接，拓宽服务业企业发展融资渠道。积极推进项目融资、知识产权质押、信用保险保单质押、供应链融资、科技保险、商业保理等市场化方式融资。健全完善小微企业信贷风险补偿机制，引导投融资机构扩大对中小服务业企业的业务规模。</w:t>
      </w:r>
    </w:p>
    <w:p>
      <w:pPr>
        <w:pStyle w:val="5"/>
        <w:jc w:val="center"/>
      </w:pPr>
      <w:bookmarkStart w:id="40" w:name="_Toc13417258"/>
      <w:r>
        <w:rPr>
          <w:rFonts w:hint="eastAsia"/>
        </w:rPr>
        <w:t>第三节　土地政策</w:t>
      </w:r>
      <w:bookmarkEnd w:id="40"/>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保障重大项目用地需求。统筹做好服务业</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发展规划与城市总体规划、土地利用规划的有效衔接，统筹安排服务业</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项目布局、用地规模，预留服务业发展空间。依据不同服务门类特性及产业政策导向，有针对性地制定土地政策，科学安排服务业用地，将</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用地纳入土地利用总体规划、年度用地计划和年度供地计划，在年度新增建设用地计划指标中保持服务业用地合理比例，对</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重大服务业项目优先安排用地。创新</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用地方式。把握服务业轻资产运营的特征，优化企业用地门槛标准，支持通过代建厂房等方式吸引企业入驻，大力发展创客空间、极客空间、创业训练营、虚拟孵化器、创业社区等新型孵化器及科技创业苗圃、科技企业孵化器、科技企业加速器、小企业创业基地。</w:t>
      </w:r>
    </w:p>
    <w:p>
      <w:pPr>
        <w:pStyle w:val="5"/>
        <w:jc w:val="center"/>
      </w:pPr>
      <w:bookmarkStart w:id="41" w:name="_Toc13417259"/>
      <w:r>
        <w:rPr>
          <w:rFonts w:hint="eastAsia"/>
        </w:rPr>
        <w:t>第四节　人才政策</w:t>
      </w:r>
      <w:bookmarkEnd w:id="41"/>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加大人才引进和培育力度。吸引更多</w:t>
      </w:r>
      <w:r>
        <w:rPr>
          <w:rFonts w:hint="eastAsia" w:ascii="仿宋" w:hAnsi="仿宋" w:eastAsia="仿宋" w:cs="宋体"/>
          <w:kern w:val="0"/>
          <w:sz w:val="30"/>
          <w:szCs w:val="30"/>
          <w:lang w:eastAsia="zh-CN"/>
        </w:rPr>
        <w:t>内地</w:t>
      </w:r>
      <w:r>
        <w:rPr>
          <w:rFonts w:hint="eastAsia" w:ascii="仿宋" w:hAnsi="仿宋" w:eastAsia="仿宋" w:cs="宋体"/>
          <w:kern w:val="0"/>
          <w:sz w:val="30"/>
          <w:szCs w:val="30"/>
        </w:rPr>
        <w:t>人才带项目、带技术、带团队入驻</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建立高端服务人力资源储备库和专业人才服务平台，引进、柔性使用一批国内外现代服务业高技能人才、领军人才、高端人才和综合性人才。实施返乡创业推动计划，有效搭建理县籍在外经商创业人士沟通、交流、服务平台，不断吸引在外成功人士返乡投资参与服务业</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建设。实施现代服务业人才技能提升计划，深化产教融合、校企合作、工学结合的人才培养模式，鼓励</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依托重大项目和重大工程，与高校联合建设服务业技能人才培训基地。</w:t>
      </w:r>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进一步创新人才政策。在</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设置理县特聘专家岗位，选聘理县特聘专家，带动培养一批中青年人才。建立高层次人才创新资助制度、高层次人才创业扶持制度和重大决策专家咨询制度，大力扶持高层次人才创新创业。出台理县服务业人才引进办法，对</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的领军型高层次人才、急需紧缺创新创业人才按规定给予奖励，并在项目申报、职称评定、配偶安置、社会保障、医疗卫生、子女就学就业、住房补贴等方面提供支持和便捷服务。</w:t>
      </w:r>
    </w:p>
    <w:p>
      <w:pPr>
        <w:widowControl/>
        <w:jc w:val="left"/>
        <w:rPr>
          <w:rFonts w:ascii="宋体" w:hAnsi="宋体" w:cs="宋体"/>
          <w:kern w:val="0"/>
          <w:sz w:val="24"/>
          <w:szCs w:val="24"/>
        </w:rPr>
      </w:pPr>
      <w:r>
        <w:rPr>
          <w:rFonts w:ascii="宋体" w:hAnsi="宋体" w:cs="宋体"/>
          <w:kern w:val="0"/>
          <w:sz w:val="24"/>
          <w:szCs w:val="24"/>
        </w:rPr>
        <w:br w:type="page"/>
      </w:r>
    </w:p>
    <w:p>
      <w:pPr>
        <w:pStyle w:val="4"/>
        <w:jc w:val="center"/>
      </w:pPr>
      <w:bookmarkStart w:id="42" w:name="_Toc13417260"/>
      <w:r>
        <w:rPr>
          <w:rFonts w:hint="eastAsia"/>
        </w:rPr>
        <w:t>第六章  规划实施</w:t>
      </w:r>
      <w:bookmarkEnd w:id="42"/>
    </w:p>
    <w:p>
      <w:pPr>
        <w:pStyle w:val="5"/>
        <w:jc w:val="center"/>
      </w:pPr>
      <w:bookmarkStart w:id="43" w:name="_Toc13417261"/>
      <w:r>
        <w:rPr>
          <w:rFonts w:hint="eastAsia"/>
        </w:rPr>
        <w:t>第一节　强化组织领导</w:t>
      </w:r>
      <w:bookmarkEnd w:id="43"/>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成立理县现代服务业发展领导小组，建立完善统筹协调机制和部门联席会议制度，统筹规划实施，研究出台加快现代服务业发展的具体政策措施，协调解决</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发展进程中的现实问题和制约瓶颈，督促检查规划目标任务落实到位情况。</w:t>
      </w:r>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创新现代服务业发展的工作体制机制，明确相关部门和单位职责任务，提升相关部门和单位参谋筹划、统筹协调能力，健全规划实施绩效评价体系，确保各项任务措施落到实处。</w:t>
      </w:r>
    </w:p>
    <w:p>
      <w:pPr>
        <w:pStyle w:val="5"/>
        <w:jc w:val="center"/>
      </w:pPr>
      <w:bookmarkStart w:id="44" w:name="_Toc13417262"/>
      <w:r>
        <w:rPr>
          <w:rFonts w:hint="eastAsia"/>
        </w:rPr>
        <w:t>第二节　加强统计分析</w:t>
      </w:r>
      <w:bookmarkEnd w:id="44"/>
    </w:p>
    <w:p>
      <w:pPr>
        <w:widowControl/>
        <w:spacing w:line="360" w:lineRule="auto"/>
        <w:ind w:firstLine="600" w:firstLineChars="200"/>
        <w:jc w:val="left"/>
        <w:rPr>
          <w:rFonts w:hint="eastAsia" w:ascii="仿宋" w:hAnsi="仿宋" w:eastAsia="仿宋" w:cs="宋体"/>
          <w:kern w:val="0"/>
          <w:sz w:val="30"/>
          <w:szCs w:val="30"/>
        </w:rPr>
      </w:pPr>
      <w:r>
        <w:rPr>
          <w:rFonts w:hint="eastAsia" w:ascii="仿宋" w:hAnsi="仿宋" w:eastAsia="仿宋" w:cs="宋体"/>
          <w:kern w:val="0"/>
          <w:sz w:val="30"/>
          <w:szCs w:val="30"/>
        </w:rPr>
        <w:t>完善统计制度。建立健全全面、真实反映</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发展水平的统计指标体系，建立</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的数据统计、信息收集报送系统和重大信息沟通制度，完善对服务业重点产业、新兴产业的统计。</w:t>
      </w:r>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开展分析研究。依托职能部门及专业研究机构，加快制定反映服务业发展的考评指标体系，制定考核方法，完善评价机制。建立完善服务业监测系统，开展重点行业质量监测与测评，以规范服务行为、提高服务质量和提升服务水平为核心，推动旅游文化休闲、健康养老、电子商务、现代物流、特色商贸等重点领域的标准化建设，形成与国内国际接轨的服务业标准体系；建立行业统计和运行监测分析季报制度，及时收集分析</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建设发展信息，组织编写</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年度发展报告。整合各种不同类型的信息资源数据，加快建设聚集区发展信息共享型大数据库，运用大数据、云计算等技术，深化基础信息数据利用、挖掘，促进统计信息交流与资源共享。</w:t>
      </w:r>
    </w:p>
    <w:p>
      <w:pPr>
        <w:pStyle w:val="5"/>
        <w:jc w:val="center"/>
      </w:pPr>
      <w:bookmarkStart w:id="45" w:name="_Toc13417263"/>
      <w:r>
        <w:rPr>
          <w:rFonts w:hint="eastAsia"/>
        </w:rPr>
        <w:t>第三节　加强目标考核</w:t>
      </w:r>
      <w:bookmarkEnd w:id="45"/>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制定服务业管理办法。分类制定旅游文化休闲、健康养老、电子商务、现代物流、特色商贸</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管理办法，确定差异化的</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考核体系。</w:t>
      </w:r>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建立服务业评价体系。制定服务业评价管理办法，定期开展绩效评价和年度总结。针对各</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 xml:space="preserve">的具体情况制定年度工作计划，分解目标任务，提出年度发展目标、重点工作任务及相关要求，明确责任分工，将服务业建设管理落实情况纳入相关部门的绩效考评。 </w:t>
      </w:r>
    </w:p>
    <w:p>
      <w:pPr>
        <w:pStyle w:val="5"/>
        <w:jc w:val="center"/>
      </w:pPr>
      <w:bookmarkStart w:id="46" w:name="_Toc13417264"/>
      <w:r>
        <w:rPr>
          <w:rFonts w:hint="eastAsia"/>
        </w:rPr>
        <w:t>第四节　加大宣传力度</w:t>
      </w:r>
      <w:bookmarkEnd w:id="46"/>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加大</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招商宣传。制定发布服务业招商引资指导目录，明确招商重点领域、准入条件和支持政策。宣传各</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发展规划、产业定位、引资重点项目，大力引进国内外社会资本参与理县服务业建设。</w:t>
      </w:r>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打造</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特色名片。将服务业的建设与理县地域民俗风情、历史文化、自然风光等有机结合，积极探索打造服务业名片，通过各类媒体向外推介，提高</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建设的知名度和影响力。</w:t>
      </w:r>
    </w:p>
    <w:p>
      <w:pPr>
        <w:widowControl/>
        <w:spacing w:line="360" w:lineRule="auto"/>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积极营造全社会重视</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发展的良好氛围。充分利用各类媒体，加强对服务业集聚发展理念、工作经验、建设与研究成果、先进典型的宣传和推介。加强公众参与和监督，对先进典型作好宣传，对</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建设不力的单位进行鞭策，形成全社会关注、共同推进的良好氛围，为</w:t>
      </w:r>
      <w:r>
        <w:rPr>
          <w:rFonts w:hint="eastAsia" w:ascii="仿宋" w:hAnsi="仿宋" w:eastAsia="仿宋" w:cs="宋体"/>
          <w:kern w:val="0"/>
          <w:sz w:val="30"/>
          <w:szCs w:val="30"/>
          <w:lang w:eastAsia="zh-CN"/>
        </w:rPr>
        <w:t>服务业</w:t>
      </w:r>
      <w:r>
        <w:rPr>
          <w:rFonts w:hint="eastAsia" w:ascii="仿宋" w:hAnsi="仿宋" w:eastAsia="仿宋" w:cs="宋体"/>
          <w:kern w:val="0"/>
          <w:sz w:val="30"/>
          <w:szCs w:val="30"/>
        </w:rPr>
        <w:t>各项工作顺利开展奠定坚实基础。</w:t>
      </w:r>
    </w:p>
    <w:p>
      <w:pPr>
        <w:widowControl/>
        <w:spacing w:line="360" w:lineRule="auto"/>
        <w:ind w:firstLine="600" w:firstLineChars="200"/>
        <w:jc w:val="left"/>
        <w:rPr>
          <w:rFonts w:ascii="仿宋" w:hAnsi="仿宋" w:eastAsia="仿宋" w:cs="宋体"/>
          <w:kern w:val="0"/>
          <w:sz w:val="30"/>
          <w:szCs w:val="30"/>
        </w:rPr>
      </w:pPr>
    </w:p>
    <w:p>
      <w:pPr>
        <w:widowControl/>
        <w:spacing w:line="360" w:lineRule="auto"/>
        <w:rPr>
          <w:rFonts w:ascii="仿宋" w:hAnsi="仿宋" w:eastAsia="仿宋" w:cs="宋体"/>
          <w:kern w:val="0"/>
          <w:sz w:val="30"/>
          <w:szCs w:val="30"/>
        </w:rPr>
      </w:pPr>
    </w:p>
    <w:p/>
    <w:p/>
    <w:p>
      <w:pPr>
        <w:spacing w:line="576" w:lineRule="exact"/>
        <w:ind w:firstLine="0"/>
        <w:jc w:val="left"/>
        <w:rPr>
          <w:rFonts w:ascii="仿宋" w:hAnsi="仿宋" w:eastAsia="仿宋" w:cs="宋体"/>
          <w:kern w:val="0"/>
          <w:sz w:val="30"/>
          <w:szCs w:val="30"/>
        </w:rPr>
      </w:pPr>
    </w:p>
    <w:p>
      <w:pPr>
        <w:pStyle w:val="17"/>
        <w:jc w:val="left"/>
        <w:rPr>
          <w:rFonts w:hint="default"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 w:hAnsi="仿宋" w:eastAsia="仿宋" w:cs="仿宋"/>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4ZjlhMzdhZjczNzE4MTk2MGQ5ZmE5YjE2YWZmYjMifQ=="/>
  </w:docVars>
  <w:rsids>
    <w:rsidRoot w:val="13640A3B"/>
    <w:rsid w:val="13640A3B"/>
    <w:rsid w:val="266A414D"/>
    <w:rsid w:val="3B924484"/>
    <w:rsid w:val="541303D5"/>
    <w:rsid w:val="6AAC3C13"/>
    <w:rsid w:val="74C701A5"/>
    <w:rsid w:val="74E344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customStyle="1" w:styleId="2">
    <w:name w:val="Heading1"/>
    <w:basedOn w:val="1"/>
    <w:next w:val="3"/>
    <w:qFormat/>
    <w:uiPriority w:val="0"/>
    <w:pPr>
      <w:widowControl/>
      <w:autoSpaceDE/>
      <w:autoSpaceDN/>
      <w:spacing w:before="0" w:after="160" w:line="240" w:lineRule="auto"/>
      <w:ind w:left="0" w:firstLine="0"/>
      <w:jc w:val="both"/>
      <w:textAlignment w:val="baseline"/>
    </w:pPr>
    <w:rPr>
      <w:rFonts w:ascii="Calibri" w:hAnsi="Calibri" w:eastAsia="宋体"/>
      <w:kern w:val="2"/>
      <w:sz w:val="28"/>
      <w:szCs w:val="24"/>
      <w:lang w:val="en-US" w:eastAsia="zh-CN" w:bidi="ar-SA"/>
    </w:rPr>
  </w:style>
  <w:style w:type="paragraph" w:customStyle="1" w:styleId="3">
    <w:name w:val="Heading3"/>
    <w:basedOn w:val="1"/>
    <w:next w:val="1"/>
    <w:qFormat/>
    <w:uiPriority w:val="0"/>
    <w:pPr>
      <w:widowControl/>
      <w:autoSpaceDE/>
      <w:autoSpaceDN/>
      <w:spacing w:before="0" w:after="160" w:line="240" w:lineRule="auto"/>
      <w:ind w:left="1400" w:hanging="400"/>
      <w:jc w:val="both"/>
      <w:textAlignment w:val="baseline"/>
    </w:pPr>
    <w:rPr>
      <w:kern w:val="2"/>
      <w:sz w:val="21"/>
      <w:szCs w:val="24"/>
      <w:lang w:val="en-US" w:eastAsia="zh-CN" w:bidi="ar-SA"/>
    </w:rPr>
  </w:style>
  <w:style w:type="paragraph" w:styleId="7">
    <w:name w:val="index 8"/>
    <w:basedOn w:val="1"/>
    <w:next w:val="1"/>
    <w:qFormat/>
    <w:uiPriority w:val="0"/>
    <w:pPr>
      <w:jc w:val="center"/>
    </w:pPr>
    <w:rPr>
      <w:rFonts w:ascii="黑体" w:hAnsi="Times New Roman" w:eastAsia="黑体" w:cs="Times New Roman"/>
      <w:sz w:val="24"/>
      <w:szCs w:val="21"/>
      <w:lang w:val="zh-CN" w:eastAsia="zh-CN" w:bidi="zh-CN"/>
    </w:rPr>
  </w:style>
  <w:style w:type="paragraph" w:styleId="8">
    <w:name w:val="Salutation"/>
    <w:basedOn w:val="1"/>
    <w:next w:val="1"/>
    <w:qFormat/>
    <w:uiPriority w:val="0"/>
    <w:pPr>
      <w:spacing w:after="0"/>
      <w:jc w:val="both"/>
    </w:pPr>
    <w:rPr>
      <w:rFonts w:ascii="Calibri" w:hAnsi="Calibri" w:eastAsia="宋体" w:cs="Times New Roman"/>
      <w:kern w:val="2"/>
      <w:sz w:val="21"/>
      <w:szCs w:val="24"/>
      <w:lang w:val="en-US" w:eastAsia="zh-CN" w:bidi="ar-SA"/>
    </w:rPr>
  </w:style>
  <w:style w:type="paragraph" w:styleId="9">
    <w:name w:val="Body Text"/>
    <w:basedOn w:val="1"/>
    <w:qFormat/>
    <w:uiPriority w:val="0"/>
    <w:rPr>
      <w:rFonts w:ascii="Times New Roman" w:hAnsi="Times New Roman" w:eastAsia="Times New Roman" w:cs="Times New Roman"/>
      <w:sz w:val="20"/>
      <w:szCs w:val="20"/>
    </w:rPr>
  </w:style>
  <w:style w:type="paragraph" w:styleId="10">
    <w:name w:val="Body Text Indent"/>
    <w:basedOn w:val="1"/>
    <w:next w:val="11"/>
    <w:qFormat/>
    <w:uiPriority w:val="0"/>
    <w:pPr>
      <w:spacing w:after="120"/>
      <w:ind w:left="200" w:leftChars="200"/>
    </w:pPr>
    <w:rPr>
      <w:rFonts w:eastAsia="华文仿宋"/>
      <w:kern w:val="10"/>
      <w:sz w:val="18"/>
      <w:szCs w:val="18"/>
    </w:rPr>
  </w:style>
  <w:style w:type="paragraph" w:styleId="11">
    <w:name w:val="Body Text First Indent 2"/>
    <w:basedOn w:val="10"/>
    <w:next w:val="1"/>
    <w:qFormat/>
    <w:uiPriority w:val="0"/>
    <w:pPr>
      <w:widowControl w:val="0"/>
      <w:ind w:left="200" w:leftChars="200" w:firstLine="200" w:firstLineChars="200"/>
      <w:jc w:val="both"/>
    </w:pPr>
    <w:rPr>
      <w:rFonts w:ascii="Calibri" w:hAnsi="Calibri" w:eastAsia="宋体" w:cs="Times New Roman"/>
      <w:kern w:val="2"/>
      <w:sz w:val="21"/>
      <w:szCs w:val="24"/>
      <w:lang w:val="en-US" w:eastAsia="zh-CN" w:bidi="ar-SA"/>
    </w:rPr>
  </w:style>
  <w:style w:type="paragraph" w:styleId="12">
    <w:name w:val="toc 3"/>
    <w:basedOn w:val="1"/>
    <w:next w:val="1"/>
    <w:qFormat/>
    <w:uiPriority w:val="39"/>
    <w:pPr>
      <w:ind w:left="840" w:leftChars="400"/>
    </w:p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1"/>
    <w:basedOn w:val="1"/>
    <w:next w:val="1"/>
    <w:qFormat/>
    <w:uiPriority w:val="39"/>
  </w:style>
  <w:style w:type="paragraph" w:styleId="16">
    <w:name w:val="toc 2"/>
    <w:basedOn w:val="1"/>
    <w:next w:val="1"/>
    <w:qFormat/>
    <w:uiPriority w:val="39"/>
    <w:pPr>
      <w:ind w:left="420" w:leftChars="200"/>
    </w:pPr>
  </w:style>
  <w:style w:type="paragraph" w:styleId="17">
    <w:name w:val="Body Text First Indent"/>
    <w:basedOn w:val="9"/>
    <w:qFormat/>
    <w:uiPriority w:val="0"/>
    <w:pPr>
      <w:ind w:firstLine="100" w:firstLineChars="100"/>
    </w:pPr>
    <w:rPr>
      <w:rFonts w:ascii="Times New Roman" w:hAnsi="Times New Roman" w:eastAsia="宋体" w:cs="Times New Roman"/>
    </w:rPr>
  </w:style>
  <w:style w:type="character" w:styleId="20">
    <w:name w:val="Hyperlink"/>
    <w:basedOn w:val="19"/>
    <w:qFormat/>
    <w:uiPriority w:val="99"/>
    <w:rPr>
      <w:color w:val="323232"/>
      <w:u w:val="none"/>
    </w:rPr>
  </w:style>
  <w:style w:type="paragraph" w:customStyle="1" w:styleId="21">
    <w:name w:val="TOC Heading"/>
    <w:basedOn w:val="4"/>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2E54A1" w:themeColor="accent1" w:themeShade="BF"/>
      <w:kern w:val="0"/>
      <w:sz w:val="28"/>
      <w:szCs w:val="28"/>
    </w:rPr>
  </w:style>
  <w:style w:type="paragraph" w:customStyle="1" w:styleId="22">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emf"/><Relationship Id="rId7" Type="http://schemas.openxmlformats.org/officeDocument/2006/relationships/image" Target="media/image3.emf"/><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2023-11-27T01:25:00Z</dcterms:created>
  <dc:creator>此生伴你</dc:creator>
  <cp:lastModifiedBy>HP</cp:lastModifiedBy>
  <cp:lastPrinted>2023-11-27T02:16:00Z</cp:lastPrinted>
  <dcterms:modified xsi:type="dcterms:W3CDTF">2023-12-04T07:23:01Z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0FD1BBA80C7341ECB03B0DAB7A477793_13</vt:lpwstr>
  </property>
</Properties>
</file>