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E92AF0">
      <w:pPr>
        <w:keepNext w:val="0"/>
        <w:keepLines w:val="0"/>
        <w:pageBreakBefore w:val="0"/>
        <w:widowControl w:val="0"/>
        <w:tabs>
          <w:tab w:val="left" w:pos="851"/>
        </w:tabs>
        <w:kinsoku/>
        <w:wordWrap/>
        <w:overflowPunct/>
        <w:topLinePunct w:val="0"/>
        <w:autoSpaceDE/>
        <w:autoSpaceDN/>
        <w:bidi w:val="0"/>
        <w:adjustRightInd/>
        <w:snapToGrid w:val="0"/>
        <w:spacing w:line="360" w:lineRule="auto"/>
        <w:ind w:firstLine="0" w:firstLineChars="0"/>
        <w:jc w:val="both"/>
        <w:textAlignment w:val="auto"/>
        <w:rPr>
          <w:rFonts w:hint="default" w:ascii="Times New Roman" w:hAnsi="Times New Roman" w:eastAsia="方正楷体_GBK" w:cs="Times New Roman"/>
          <w:spacing w:val="28"/>
          <w:kern w:val="0"/>
          <w:sz w:val="30"/>
          <w:szCs w:val="30"/>
          <w:lang w:val="en-US" w:eastAsia="zh-CN"/>
        </w:rPr>
      </w:pPr>
    </w:p>
    <w:p w14:paraId="6D8A1518">
      <w:pPr>
        <w:keepNext w:val="0"/>
        <w:keepLines w:val="0"/>
        <w:pageBreakBefore w:val="0"/>
        <w:widowControl w:val="0"/>
        <w:tabs>
          <w:tab w:val="left" w:pos="851"/>
        </w:tabs>
        <w:kinsoku/>
        <w:wordWrap/>
        <w:overflowPunct/>
        <w:topLinePunct w:val="0"/>
        <w:autoSpaceDE/>
        <w:autoSpaceDN/>
        <w:bidi w:val="0"/>
        <w:adjustRightInd/>
        <w:snapToGrid w:val="0"/>
        <w:spacing w:line="360" w:lineRule="auto"/>
        <w:ind w:firstLine="0" w:firstLineChars="0"/>
        <w:jc w:val="both"/>
        <w:textAlignment w:val="auto"/>
        <w:rPr>
          <w:rFonts w:hint="default" w:ascii="Times New Roman" w:hAnsi="Times New Roman" w:eastAsia="方正楷体_GBK" w:cs="Times New Roman"/>
          <w:spacing w:val="28"/>
          <w:kern w:val="0"/>
          <w:sz w:val="30"/>
          <w:szCs w:val="30"/>
          <w:lang w:val="en-US" w:eastAsia="zh-CN"/>
        </w:rPr>
      </w:pPr>
    </w:p>
    <w:p w14:paraId="48CA5398">
      <w:pPr>
        <w:keepNext w:val="0"/>
        <w:keepLines w:val="0"/>
        <w:pageBreakBefore w:val="0"/>
        <w:widowControl w:val="0"/>
        <w:tabs>
          <w:tab w:val="left" w:pos="851"/>
        </w:tabs>
        <w:kinsoku/>
        <w:wordWrap/>
        <w:overflowPunct/>
        <w:topLinePunct w:val="0"/>
        <w:autoSpaceDE/>
        <w:autoSpaceDN/>
        <w:bidi w:val="0"/>
        <w:adjustRightInd/>
        <w:snapToGrid w:val="0"/>
        <w:spacing w:line="360" w:lineRule="auto"/>
        <w:ind w:firstLine="0" w:firstLineChars="0"/>
        <w:jc w:val="center"/>
        <w:textAlignment w:val="auto"/>
        <w:rPr>
          <w:rFonts w:hint="default" w:ascii="Times New Roman" w:hAnsi="Times New Roman" w:eastAsia="方正小标宋简体" w:cs="Times New Roman"/>
          <w:b/>
          <w:bCs/>
          <w:color w:val="auto"/>
          <w:sz w:val="44"/>
          <w:szCs w:val="44"/>
          <w:highlight w:val="none"/>
          <w:lang w:val="en-US" w:eastAsia="zh-CN"/>
        </w:rPr>
      </w:pPr>
      <w:r>
        <w:rPr>
          <w:rFonts w:hint="default" w:ascii="Times New Roman" w:hAnsi="Times New Roman" w:eastAsia="方正小标宋简体" w:cs="Times New Roman"/>
          <w:b/>
          <w:bCs/>
          <w:color w:val="auto"/>
          <w:sz w:val="44"/>
          <w:szCs w:val="44"/>
          <w:highlight w:val="none"/>
          <w:lang w:val="en-US" w:eastAsia="zh-CN"/>
        </w:rPr>
        <w:t>理县国民经济和社会发展第十五个五年</w:t>
      </w:r>
    </w:p>
    <w:p w14:paraId="5C0D8DBB">
      <w:pPr>
        <w:keepNext w:val="0"/>
        <w:keepLines w:val="0"/>
        <w:pageBreakBefore w:val="0"/>
        <w:widowControl w:val="0"/>
        <w:tabs>
          <w:tab w:val="left" w:pos="851"/>
        </w:tabs>
        <w:kinsoku/>
        <w:wordWrap/>
        <w:overflowPunct/>
        <w:topLinePunct w:val="0"/>
        <w:autoSpaceDE/>
        <w:autoSpaceDN/>
        <w:bidi w:val="0"/>
        <w:adjustRightInd/>
        <w:snapToGrid w:val="0"/>
        <w:spacing w:line="360" w:lineRule="auto"/>
        <w:ind w:firstLine="0" w:firstLineChars="0"/>
        <w:jc w:val="center"/>
        <w:textAlignment w:val="auto"/>
        <w:rPr>
          <w:rFonts w:hint="default" w:ascii="Times New Roman" w:hAnsi="Times New Roman" w:eastAsia="方正小标宋简体" w:cs="Times New Roman"/>
          <w:b/>
          <w:bCs/>
          <w:color w:val="auto"/>
          <w:sz w:val="44"/>
          <w:szCs w:val="44"/>
          <w:highlight w:val="none"/>
          <w:lang w:val="en-US" w:eastAsia="zh-CN"/>
        </w:rPr>
      </w:pPr>
      <w:r>
        <w:rPr>
          <w:rFonts w:hint="default" w:ascii="Times New Roman" w:hAnsi="Times New Roman" w:eastAsia="方正小标宋简体" w:cs="Times New Roman"/>
          <w:b/>
          <w:bCs/>
          <w:color w:val="auto"/>
          <w:sz w:val="44"/>
          <w:szCs w:val="44"/>
          <w:highlight w:val="none"/>
          <w:lang w:val="en-US" w:eastAsia="zh-CN"/>
        </w:rPr>
        <w:t>规划纲要</w:t>
      </w:r>
    </w:p>
    <w:p w14:paraId="005108AD">
      <w:pPr>
        <w:pageBreakBefore w:val="0"/>
        <w:tabs>
          <w:tab w:val="left" w:pos="851"/>
        </w:tabs>
        <w:kinsoku/>
        <w:wordWrap/>
        <w:topLinePunct w:val="0"/>
        <w:autoSpaceDE/>
        <w:autoSpaceDN/>
        <w:bidi w:val="0"/>
        <w:adjustRightInd/>
        <w:snapToGrid w:val="0"/>
        <w:spacing w:line="576" w:lineRule="exact"/>
        <w:ind w:firstLine="0" w:firstLineChars="0"/>
        <w:jc w:val="center"/>
        <w:textAlignment w:val="auto"/>
        <w:rPr>
          <w:rFonts w:hint="default" w:ascii="Times New Roman" w:hAnsi="Times New Roman" w:eastAsia="楷体_GB2312" w:cs="Times New Roman"/>
          <w:b/>
          <w:bCs/>
          <w:color w:val="auto"/>
          <w:sz w:val="32"/>
          <w:szCs w:val="32"/>
          <w:highlight w:val="none"/>
          <w:lang w:val="en-US" w:eastAsia="zh-CN"/>
        </w:rPr>
      </w:pPr>
    </w:p>
    <w:p w14:paraId="4B4217BD">
      <w:pPr>
        <w:pageBreakBefore w:val="0"/>
        <w:tabs>
          <w:tab w:val="left" w:pos="851"/>
        </w:tabs>
        <w:kinsoku/>
        <w:wordWrap/>
        <w:topLinePunct w:val="0"/>
        <w:autoSpaceDE/>
        <w:autoSpaceDN/>
        <w:bidi w:val="0"/>
        <w:adjustRightInd/>
        <w:snapToGrid w:val="0"/>
        <w:spacing w:line="576" w:lineRule="exact"/>
        <w:ind w:firstLine="0" w:firstLineChars="0"/>
        <w:jc w:val="center"/>
        <w:textAlignment w:val="auto"/>
        <w:rPr>
          <w:rFonts w:hint="default" w:ascii="Times New Roman" w:hAnsi="Times New Roman" w:eastAsia="楷体_GB2312" w:cs="Times New Roman"/>
          <w:b/>
          <w:bCs/>
          <w:color w:val="auto"/>
          <w:sz w:val="32"/>
          <w:szCs w:val="32"/>
          <w:highlight w:val="none"/>
          <w:lang w:val="en-US" w:eastAsia="zh-CN"/>
        </w:rPr>
      </w:pPr>
    </w:p>
    <w:p w14:paraId="6A613A92">
      <w:pPr>
        <w:pageBreakBefore w:val="0"/>
        <w:tabs>
          <w:tab w:val="left" w:pos="851"/>
        </w:tabs>
        <w:kinsoku/>
        <w:wordWrap/>
        <w:topLinePunct w:val="0"/>
        <w:autoSpaceDE/>
        <w:autoSpaceDN/>
        <w:bidi w:val="0"/>
        <w:adjustRightInd/>
        <w:snapToGrid w:val="0"/>
        <w:spacing w:line="576" w:lineRule="exact"/>
        <w:ind w:firstLine="0" w:firstLineChars="0"/>
        <w:jc w:val="center"/>
        <w:textAlignment w:val="auto"/>
        <w:rPr>
          <w:rFonts w:hint="default" w:ascii="Times New Roman" w:hAnsi="Times New Roman" w:eastAsia="楷体_GB2312" w:cs="Times New Roman"/>
          <w:b/>
          <w:bCs/>
          <w:color w:val="auto"/>
          <w:sz w:val="32"/>
          <w:szCs w:val="32"/>
          <w:highlight w:val="none"/>
          <w:lang w:val="en-US" w:eastAsia="zh-CN"/>
        </w:rPr>
      </w:pPr>
    </w:p>
    <w:p w14:paraId="16CD5D1B">
      <w:pPr>
        <w:pageBreakBefore w:val="0"/>
        <w:tabs>
          <w:tab w:val="left" w:pos="851"/>
        </w:tabs>
        <w:kinsoku/>
        <w:wordWrap/>
        <w:topLinePunct w:val="0"/>
        <w:autoSpaceDE/>
        <w:autoSpaceDN/>
        <w:bidi w:val="0"/>
        <w:adjustRightInd/>
        <w:snapToGrid w:val="0"/>
        <w:spacing w:line="576" w:lineRule="exact"/>
        <w:ind w:firstLine="0" w:firstLineChars="0"/>
        <w:jc w:val="center"/>
        <w:textAlignment w:val="auto"/>
        <w:rPr>
          <w:rFonts w:hint="default" w:ascii="Times New Roman" w:hAnsi="Times New Roman" w:eastAsia="楷体_GB2312" w:cs="Times New Roman"/>
          <w:b/>
          <w:bCs/>
          <w:color w:val="auto"/>
          <w:sz w:val="32"/>
          <w:szCs w:val="32"/>
          <w:highlight w:val="none"/>
          <w:lang w:val="en-US" w:eastAsia="zh-CN"/>
        </w:rPr>
      </w:pPr>
    </w:p>
    <w:p w14:paraId="6C217321">
      <w:pPr>
        <w:pageBreakBefore w:val="0"/>
        <w:tabs>
          <w:tab w:val="left" w:pos="851"/>
        </w:tabs>
        <w:kinsoku/>
        <w:wordWrap/>
        <w:topLinePunct w:val="0"/>
        <w:autoSpaceDE/>
        <w:autoSpaceDN/>
        <w:bidi w:val="0"/>
        <w:adjustRightInd/>
        <w:snapToGrid w:val="0"/>
        <w:spacing w:line="576" w:lineRule="exact"/>
        <w:ind w:firstLine="0" w:firstLineChars="0"/>
        <w:jc w:val="center"/>
        <w:textAlignment w:val="auto"/>
        <w:rPr>
          <w:rFonts w:hint="default" w:ascii="Times New Roman" w:hAnsi="Times New Roman" w:eastAsia="楷体_GB2312" w:cs="Times New Roman"/>
          <w:b/>
          <w:bCs/>
          <w:color w:val="auto"/>
          <w:sz w:val="32"/>
          <w:szCs w:val="32"/>
          <w:highlight w:val="none"/>
          <w:lang w:val="en-US" w:eastAsia="zh-CN"/>
        </w:rPr>
      </w:pPr>
    </w:p>
    <w:p w14:paraId="369CE01A">
      <w:pPr>
        <w:pageBreakBefore w:val="0"/>
        <w:tabs>
          <w:tab w:val="left" w:pos="851"/>
        </w:tabs>
        <w:kinsoku/>
        <w:wordWrap/>
        <w:topLinePunct w:val="0"/>
        <w:autoSpaceDE/>
        <w:autoSpaceDN/>
        <w:bidi w:val="0"/>
        <w:adjustRightInd/>
        <w:snapToGrid w:val="0"/>
        <w:spacing w:line="576" w:lineRule="exact"/>
        <w:ind w:firstLine="0" w:firstLineChars="0"/>
        <w:jc w:val="center"/>
        <w:textAlignment w:val="auto"/>
        <w:rPr>
          <w:rFonts w:hint="default" w:ascii="Times New Roman" w:hAnsi="Times New Roman" w:eastAsia="楷体_GB2312" w:cs="Times New Roman"/>
          <w:b/>
          <w:bCs/>
          <w:color w:val="auto"/>
          <w:sz w:val="32"/>
          <w:szCs w:val="32"/>
          <w:highlight w:val="none"/>
          <w:lang w:val="en-US" w:eastAsia="zh-CN"/>
        </w:rPr>
      </w:pPr>
    </w:p>
    <w:p w14:paraId="30D8CA7F">
      <w:pPr>
        <w:pageBreakBefore w:val="0"/>
        <w:tabs>
          <w:tab w:val="left" w:pos="851"/>
        </w:tabs>
        <w:kinsoku/>
        <w:wordWrap/>
        <w:topLinePunct w:val="0"/>
        <w:autoSpaceDE/>
        <w:autoSpaceDN/>
        <w:bidi w:val="0"/>
        <w:adjustRightInd/>
        <w:snapToGrid w:val="0"/>
        <w:spacing w:line="576" w:lineRule="exact"/>
        <w:ind w:firstLine="0" w:firstLineChars="0"/>
        <w:jc w:val="center"/>
        <w:textAlignment w:val="auto"/>
        <w:rPr>
          <w:rFonts w:hint="default" w:ascii="Times New Roman" w:hAnsi="Times New Roman" w:eastAsia="楷体_GB2312" w:cs="Times New Roman"/>
          <w:b/>
          <w:bCs/>
          <w:color w:val="auto"/>
          <w:sz w:val="32"/>
          <w:szCs w:val="32"/>
          <w:highlight w:val="none"/>
          <w:lang w:val="en-US" w:eastAsia="zh-CN"/>
        </w:rPr>
      </w:pPr>
    </w:p>
    <w:p w14:paraId="660B481E">
      <w:pPr>
        <w:pageBreakBefore w:val="0"/>
        <w:tabs>
          <w:tab w:val="left" w:pos="851"/>
        </w:tabs>
        <w:kinsoku/>
        <w:wordWrap/>
        <w:topLinePunct w:val="0"/>
        <w:autoSpaceDE/>
        <w:autoSpaceDN/>
        <w:bidi w:val="0"/>
        <w:adjustRightInd/>
        <w:snapToGrid w:val="0"/>
        <w:spacing w:line="576" w:lineRule="exact"/>
        <w:ind w:firstLine="0" w:firstLineChars="0"/>
        <w:jc w:val="center"/>
        <w:textAlignment w:val="auto"/>
        <w:rPr>
          <w:rFonts w:hint="default" w:ascii="Times New Roman" w:hAnsi="Times New Roman" w:eastAsia="楷体_GB2312" w:cs="Times New Roman"/>
          <w:b/>
          <w:bCs/>
          <w:color w:val="auto"/>
          <w:sz w:val="32"/>
          <w:szCs w:val="32"/>
          <w:highlight w:val="none"/>
          <w:lang w:val="en-US" w:eastAsia="zh-CN"/>
        </w:rPr>
      </w:pPr>
    </w:p>
    <w:p w14:paraId="1CEA8347">
      <w:pPr>
        <w:pageBreakBefore w:val="0"/>
        <w:tabs>
          <w:tab w:val="left" w:pos="851"/>
        </w:tabs>
        <w:kinsoku/>
        <w:wordWrap/>
        <w:topLinePunct w:val="0"/>
        <w:autoSpaceDE/>
        <w:autoSpaceDN/>
        <w:bidi w:val="0"/>
        <w:adjustRightInd/>
        <w:snapToGrid w:val="0"/>
        <w:spacing w:line="576" w:lineRule="exact"/>
        <w:ind w:firstLine="0" w:firstLineChars="0"/>
        <w:jc w:val="center"/>
        <w:textAlignment w:val="auto"/>
        <w:rPr>
          <w:rFonts w:hint="default" w:ascii="Times New Roman" w:hAnsi="Times New Roman" w:eastAsia="楷体_GB2312" w:cs="Times New Roman"/>
          <w:b/>
          <w:bCs/>
          <w:color w:val="auto"/>
          <w:sz w:val="32"/>
          <w:szCs w:val="32"/>
          <w:highlight w:val="none"/>
          <w:lang w:val="en-US" w:eastAsia="zh-CN"/>
        </w:rPr>
      </w:pPr>
    </w:p>
    <w:p w14:paraId="4FDD2E9C">
      <w:pPr>
        <w:pageBreakBefore w:val="0"/>
        <w:tabs>
          <w:tab w:val="left" w:pos="851"/>
        </w:tabs>
        <w:kinsoku/>
        <w:wordWrap/>
        <w:topLinePunct w:val="0"/>
        <w:autoSpaceDE/>
        <w:autoSpaceDN/>
        <w:bidi w:val="0"/>
        <w:adjustRightInd/>
        <w:snapToGrid w:val="0"/>
        <w:spacing w:line="576" w:lineRule="exact"/>
        <w:ind w:firstLine="0" w:firstLineChars="0"/>
        <w:jc w:val="center"/>
        <w:textAlignment w:val="auto"/>
        <w:rPr>
          <w:rFonts w:hint="default" w:ascii="Times New Roman" w:hAnsi="Times New Roman" w:eastAsia="楷体_GB2312" w:cs="Times New Roman"/>
          <w:b/>
          <w:bCs/>
          <w:color w:val="auto"/>
          <w:sz w:val="32"/>
          <w:szCs w:val="32"/>
          <w:highlight w:val="none"/>
          <w:lang w:val="en-US" w:eastAsia="zh-CN"/>
        </w:rPr>
      </w:pPr>
    </w:p>
    <w:p w14:paraId="19296D17">
      <w:pPr>
        <w:pageBreakBefore w:val="0"/>
        <w:tabs>
          <w:tab w:val="left" w:pos="851"/>
        </w:tabs>
        <w:kinsoku/>
        <w:wordWrap/>
        <w:topLinePunct w:val="0"/>
        <w:autoSpaceDE/>
        <w:autoSpaceDN/>
        <w:bidi w:val="0"/>
        <w:adjustRightInd/>
        <w:snapToGrid w:val="0"/>
        <w:spacing w:line="576" w:lineRule="exact"/>
        <w:ind w:firstLine="0" w:firstLineChars="0"/>
        <w:jc w:val="center"/>
        <w:textAlignment w:val="auto"/>
        <w:rPr>
          <w:rFonts w:hint="default" w:ascii="Times New Roman" w:hAnsi="Times New Roman" w:eastAsia="楷体_GB2312" w:cs="Times New Roman"/>
          <w:b/>
          <w:bCs/>
          <w:color w:val="auto"/>
          <w:sz w:val="32"/>
          <w:szCs w:val="32"/>
          <w:highlight w:val="none"/>
          <w:lang w:val="en-US" w:eastAsia="zh-CN"/>
        </w:rPr>
      </w:pPr>
    </w:p>
    <w:p w14:paraId="614A1863">
      <w:pPr>
        <w:pageBreakBefore w:val="0"/>
        <w:tabs>
          <w:tab w:val="left" w:pos="851"/>
        </w:tabs>
        <w:kinsoku/>
        <w:wordWrap/>
        <w:topLinePunct w:val="0"/>
        <w:autoSpaceDE/>
        <w:autoSpaceDN/>
        <w:bidi w:val="0"/>
        <w:adjustRightInd/>
        <w:snapToGrid w:val="0"/>
        <w:spacing w:line="576" w:lineRule="exact"/>
        <w:ind w:firstLine="0" w:firstLineChars="0"/>
        <w:jc w:val="both"/>
        <w:textAlignment w:val="auto"/>
        <w:rPr>
          <w:rFonts w:hint="default" w:ascii="Times New Roman" w:hAnsi="Times New Roman" w:eastAsia="楷体_GB2312" w:cs="Times New Roman"/>
          <w:b/>
          <w:bCs/>
          <w:color w:val="auto"/>
          <w:sz w:val="32"/>
          <w:szCs w:val="32"/>
          <w:highlight w:val="none"/>
          <w:lang w:val="en-US" w:eastAsia="zh-CN"/>
        </w:rPr>
      </w:pPr>
    </w:p>
    <w:p w14:paraId="203C5FCE">
      <w:pPr>
        <w:pageBreakBefore w:val="0"/>
        <w:tabs>
          <w:tab w:val="left" w:pos="851"/>
        </w:tabs>
        <w:kinsoku/>
        <w:wordWrap/>
        <w:topLinePunct w:val="0"/>
        <w:autoSpaceDE/>
        <w:autoSpaceDN/>
        <w:bidi w:val="0"/>
        <w:adjustRightInd/>
        <w:snapToGrid w:val="0"/>
        <w:spacing w:line="576" w:lineRule="exact"/>
        <w:ind w:firstLine="0" w:firstLineChars="0"/>
        <w:jc w:val="center"/>
        <w:textAlignment w:val="auto"/>
        <w:rPr>
          <w:rFonts w:hint="default" w:ascii="Times New Roman" w:hAnsi="Times New Roman" w:eastAsia="楷体_GB2312" w:cs="Times New Roman"/>
          <w:b/>
          <w:bCs/>
          <w:color w:val="auto"/>
          <w:sz w:val="32"/>
          <w:szCs w:val="32"/>
          <w:highlight w:val="none"/>
          <w:lang w:val="en-US" w:eastAsia="zh-CN"/>
        </w:rPr>
      </w:pPr>
      <w:r>
        <w:rPr>
          <w:rFonts w:hint="default" w:ascii="Times New Roman" w:hAnsi="Times New Roman" w:eastAsia="楷体_GB2312" w:cs="Times New Roman"/>
          <w:b/>
          <w:bCs/>
          <w:color w:val="auto"/>
          <w:sz w:val="32"/>
          <w:szCs w:val="32"/>
          <w:highlight w:val="none"/>
          <w:lang w:val="en-US" w:eastAsia="zh-CN"/>
        </w:rPr>
        <w:t>理县</w:t>
      </w:r>
      <w:r>
        <w:rPr>
          <w:rFonts w:hint="eastAsia" w:eastAsia="楷体_GB2312" w:cs="Times New Roman"/>
          <w:b/>
          <w:bCs/>
          <w:color w:val="auto"/>
          <w:sz w:val="32"/>
          <w:szCs w:val="32"/>
          <w:highlight w:val="none"/>
          <w:lang w:val="en-US" w:eastAsia="zh-CN"/>
        </w:rPr>
        <w:t>人民政府</w:t>
      </w:r>
    </w:p>
    <w:p w14:paraId="2639B6C1">
      <w:pPr>
        <w:widowControl w:val="0"/>
        <w:spacing w:line="560" w:lineRule="exact"/>
        <w:ind w:left="0" w:leftChars="0" w:firstLine="0" w:firstLineChars="0"/>
        <w:jc w:val="center"/>
        <w:rPr>
          <w:rFonts w:hint="default" w:ascii="Times New Roman" w:hAnsi="Times New Roman" w:eastAsia="楷体_GB2312" w:cs="Times New Roman"/>
          <w:b/>
          <w:bCs/>
          <w:color w:val="auto"/>
          <w:kern w:val="2"/>
          <w:sz w:val="32"/>
          <w:szCs w:val="32"/>
          <w:highlight w:val="none"/>
          <w:lang w:val="en-US" w:eastAsia="zh-CN" w:bidi="ar-SA"/>
        </w:rPr>
      </w:pPr>
      <w:r>
        <w:rPr>
          <w:rFonts w:hint="default" w:ascii="Times New Roman" w:hAnsi="Times New Roman" w:eastAsia="楷体_GB2312" w:cs="Times New Roman"/>
          <w:b/>
          <w:bCs/>
          <w:color w:val="auto"/>
          <w:kern w:val="2"/>
          <w:sz w:val="32"/>
          <w:szCs w:val="32"/>
          <w:highlight w:val="none"/>
          <w:lang w:val="en-US" w:eastAsia="zh-CN" w:bidi="ar-SA"/>
        </w:rPr>
        <w:t>二〇二六年</w:t>
      </w:r>
      <w:r>
        <w:rPr>
          <w:rFonts w:hint="eastAsia" w:eastAsia="楷体_GB2312" w:cs="Times New Roman"/>
          <w:b/>
          <w:bCs/>
          <w:color w:val="auto"/>
          <w:kern w:val="2"/>
          <w:sz w:val="32"/>
          <w:szCs w:val="32"/>
          <w:highlight w:val="none"/>
          <w:lang w:val="en-US" w:eastAsia="zh-CN" w:bidi="ar-SA"/>
        </w:rPr>
        <w:t>六</w:t>
      </w:r>
      <w:r>
        <w:rPr>
          <w:rFonts w:hint="default" w:ascii="Times New Roman" w:hAnsi="Times New Roman" w:eastAsia="楷体_GB2312" w:cs="Times New Roman"/>
          <w:b/>
          <w:bCs/>
          <w:color w:val="auto"/>
          <w:kern w:val="2"/>
          <w:sz w:val="32"/>
          <w:szCs w:val="32"/>
          <w:highlight w:val="none"/>
          <w:lang w:val="en-US" w:eastAsia="zh-CN" w:bidi="ar-SA"/>
        </w:rPr>
        <w:t>月</w:t>
      </w:r>
    </w:p>
    <w:p w14:paraId="00CCC916">
      <w:pPr>
        <w:rPr>
          <w:rFonts w:hint="default" w:ascii="Times New Roman" w:hAnsi="Times New Roman" w:eastAsia="楷体_GB2312" w:cs="Times New Roman"/>
          <w:b/>
          <w:bCs/>
          <w:color w:val="auto"/>
          <w:sz w:val="32"/>
          <w:szCs w:val="32"/>
          <w:highlight w:val="none"/>
          <w:lang w:val="en-US" w:eastAsia="zh-CN"/>
        </w:rPr>
        <w:sectPr>
          <w:footerReference r:id="rId5" w:type="default"/>
          <w:pgSz w:w="11906" w:h="16838"/>
          <w:pgMar w:top="2098" w:right="1474" w:bottom="1984" w:left="1587" w:header="851" w:footer="992" w:gutter="0"/>
          <w:pgNumType w:fmt="numberInDash" w:start="1"/>
          <w:cols w:space="0" w:num="1"/>
          <w:rtlGutter w:val="0"/>
          <w:docGrid w:type="lines" w:linePitch="439" w:charSpace="0"/>
        </w:sectPr>
      </w:pPr>
    </w:p>
    <w:p w14:paraId="0AF6ADD6">
      <w:pPr>
        <w:spacing w:before="0" w:beforeLines="0" w:after="0" w:afterLines="0" w:line="240" w:lineRule="auto"/>
        <w:ind w:left="0" w:leftChars="0" w:right="0" w:rightChars="0" w:firstLine="0" w:firstLineChars="0"/>
        <w:jc w:val="center"/>
        <w:rPr>
          <w:rFonts w:hint="default" w:ascii="Times New Roman" w:hAnsi="Times New Roman" w:eastAsia="黑体" w:cs="Times New Roman"/>
          <w:color w:val="auto"/>
          <w:sz w:val="44"/>
          <w:szCs w:val="48"/>
          <w:highlight w:val="none"/>
        </w:rPr>
      </w:pPr>
      <w:r>
        <w:rPr>
          <w:rFonts w:hint="default" w:ascii="Times New Roman" w:hAnsi="Times New Roman" w:eastAsia="黑体" w:cs="Times New Roman"/>
          <w:color w:val="auto"/>
          <w:sz w:val="44"/>
          <w:szCs w:val="48"/>
          <w:highlight w:val="none"/>
        </w:rPr>
        <w:t>目</w:t>
      </w:r>
      <w:r>
        <w:rPr>
          <w:rFonts w:hint="default" w:ascii="Times New Roman" w:hAnsi="Times New Roman" w:eastAsia="黑体" w:cs="Times New Roman"/>
          <w:color w:val="auto"/>
          <w:sz w:val="44"/>
          <w:szCs w:val="48"/>
          <w:highlight w:val="none"/>
          <w:lang w:val="en-US" w:eastAsia="zh-CN"/>
        </w:rPr>
        <w:t xml:space="preserve">  </w:t>
      </w:r>
      <w:r>
        <w:rPr>
          <w:rFonts w:hint="default" w:ascii="Times New Roman" w:hAnsi="Times New Roman" w:eastAsia="黑体" w:cs="Times New Roman"/>
          <w:color w:val="auto"/>
          <w:sz w:val="44"/>
          <w:szCs w:val="48"/>
          <w:highlight w:val="none"/>
        </w:rPr>
        <w:t>录</w:t>
      </w:r>
    </w:p>
    <w:p w14:paraId="695D5885">
      <w:pPr>
        <w:pStyle w:val="14"/>
        <w:tabs>
          <w:tab w:val="right" w:leader="dot" w:pos="8845"/>
        </w:tabs>
      </w:pPr>
      <w:r>
        <w:rPr>
          <w:rFonts w:hint="default" w:ascii="Times New Roman" w:hAnsi="Times New Roman" w:eastAsia="方正小标宋简体" w:cs="Times New Roman"/>
          <w:color w:val="auto"/>
          <w:kern w:val="2"/>
          <w:sz w:val="32"/>
          <w:szCs w:val="22"/>
          <w:highlight w:val="none"/>
          <w:lang w:val="en-US" w:eastAsia="zh-CN" w:bidi="ar-SA"/>
        </w:rPr>
        <w:fldChar w:fldCharType="begin"/>
      </w:r>
      <w:r>
        <w:rPr>
          <w:rFonts w:hint="default" w:ascii="Times New Roman" w:hAnsi="Times New Roman" w:eastAsia="方正小标宋简体" w:cs="Times New Roman"/>
          <w:color w:val="auto"/>
          <w:kern w:val="2"/>
          <w:sz w:val="32"/>
          <w:szCs w:val="22"/>
          <w:highlight w:val="none"/>
          <w:lang w:val="en-US" w:eastAsia="zh-CN" w:bidi="ar-SA"/>
        </w:rPr>
        <w:instrText xml:space="preserve">TOC \o "1-3" \h \u </w:instrText>
      </w:r>
      <w:r>
        <w:rPr>
          <w:rFonts w:hint="default" w:ascii="Times New Roman" w:hAnsi="Times New Roman" w:eastAsia="方正小标宋简体" w:cs="Times New Roman"/>
          <w:color w:val="auto"/>
          <w:kern w:val="2"/>
          <w:sz w:val="32"/>
          <w:szCs w:val="22"/>
          <w:highlight w:val="none"/>
          <w:lang w:val="en-US" w:eastAsia="zh-CN" w:bidi="ar-SA"/>
        </w:rPr>
        <w:fldChar w:fldCharType="separate"/>
      </w: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_Toc20700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方正小标宋简体" w:cs="Times New Roman"/>
          <w:spacing w:val="-11"/>
          <w:kern w:val="2"/>
          <w:szCs w:val="44"/>
          <w:lang w:val="en-US" w:eastAsia="zh-CN" w:bidi="ar-SA"/>
        </w:rPr>
        <w:t xml:space="preserve">第一篇 </w:t>
      </w:r>
      <w:r>
        <w:rPr>
          <w:rFonts w:hint="default" w:ascii="Times New Roman" w:hAnsi="Times New Roman" w:eastAsia="方正小标宋简体" w:cs="Times New Roman"/>
          <w:spacing w:val="-11"/>
          <w:kern w:val="2"/>
          <w:szCs w:val="44"/>
          <w:highlight w:val="none"/>
          <w:lang w:val="en-US" w:eastAsia="zh-CN" w:bidi="ar-SA"/>
        </w:rPr>
        <w:t>锚定战略目标，全面开启建设民族地区高质量发展新征程</w:t>
      </w:r>
      <w:r>
        <w:tab/>
      </w:r>
      <w:r>
        <w:fldChar w:fldCharType="begin"/>
      </w:r>
      <w:r>
        <w:instrText xml:space="preserve"> PAGEREF _Toc20700 \h </w:instrText>
      </w:r>
      <w:r>
        <w:fldChar w:fldCharType="separate"/>
      </w:r>
      <w:r>
        <w:t>- 1 -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0D8970AA">
      <w:pPr>
        <w:pStyle w:val="15"/>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_Toc9890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方正小标宋简体" w:hAnsi="方正小标宋简体" w:eastAsia="黑体" w:cs="黑体"/>
          <w:kern w:val="2"/>
          <w:szCs w:val="32"/>
          <w:lang w:val="en-US" w:eastAsia="zh-CN" w:bidi="ar-SA"/>
        </w:rPr>
        <w:t xml:space="preserve">第一章 </w:t>
      </w:r>
      <w:r>
        <w:rPr>
          <w:rFonts w:hint="default" w:ascii="Times New Roman" w:hAnsi="Times New Roman" w:eastAsia="黑体" w:cs="Times New Roman"/>
          <w:kern w:val="2"/>
          <w:szCs w:val="24"/>
          <w:highlight w:val="none"/>
          <w:lang w:val="en-US" w:eastAsia="zh-CN" w:bidi="ar-SA"/>
        </w:rPr>
        <w:t>规划背景</w:t>
      </w:r>
      <w:r>
        <w:tab/>
      </w:r>
      <w:r>
        <w:fldChar w:fldCharType="begin"/>
      </w:r>
      <w:r>
        <w:instrText xml:space="preserve"> PAGEREF _Toc9890 \h </w:instrText>
      </w:r>
      <w:r>
        <w:fldChar w:fldCharType="separate"/>
      </w:r>
      <w:r>
        <w:t>- 2 -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20BE38C6">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_Toc18099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楷体_GB2312"/>
          <w:bCs w:val="0"/>
          <w:kern w:val="2"/>
          <w:szCs w:val="32"/>
          <w:lang w:val="en-US" w:eastAsia="zh-CN" w:bidi="ar-SA"/>
        </w:rPr>
        <w:t xml:space="preserve">第一节 </w:t>
      </w:r>
      <w:r>
        <w:rPr>
          <w:rFonts w:hint="default" w:ascii="Times New Roman" w:hAnsi="Times New Roman" w:eastAsia="楷体_GB2312" w:cs="Times New Roman"/>
          <w:bCs w:val="0"/>
          <w:kern w:val="2"/>
          <w:szCs w:val="32"/>
          <w:highlight w:val="none"/>
          <w:lang w:val="en-US" w:eastAsia="zh-CN" w:bidi="ar-SA"/>
        </w:rPr>
        <w:t>发展基础</w:t>
      </w:r>
      <w:r>
        <w:tab/>
      </w:r>
      <w:r>
        <w:fldChar w:fldCharType="begin"/>
      </w:r>
      <w:r>
        <w:instrText xml:space="preserve"> PAGEREF _Toc18099 \h </w:instrText>
      </w:r>
      <w:r>
        <w:fldChar w:fldCharType="separate"/>
      </w:r>
      <w:r>
        <w:t>- 2 -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4ECA0DA6">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_Toc4034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楷体_GB2312"/>
          <w:bCs w:val="0"/>
          <w:kern w:val="2"/>
          <w:szCs w:val="32"/>
          <w:lang w:val="en-US" w:eastAsia="zh-CN" w:bidi="ar-SA"/>
        </w:rPr>
        <w:t xml:space="preserve">第二节 </w:t>
      </w:r>
      <w:r>
        <w:rPr>
          <w:rFonts w:hint="default" w:ascii="Times New Roman" w:hAnsi="Times New Roman" w:eastAsia="楷体_GB2312" w:cs="Times New Roman"/>
          <w:bCs w:val="0"/>
          <w:kern w:val="2"/>
          <w:szCs w:val="32"/>
          <w:highlight w:val="none"/>
          <w:lang w:val="en-US" w:eastAsia="zh-CN" w:bidi="ar-SA"/>
        </w:rPr>
        <w:t>发展环境</w:t>
      </w:r>
      <w:r>
        <w:tab/>
      </w:r>
      <w:r>
        <w:fldChar w:fldCharType="begin"/>
      </w:r>
      <w:r>
        <w:instrText xml:space="preserve"> PAGEREF _Toc4034 \h </w:instrText>
      </w:r>
      <w:r>
        <w:fldChar w:fldCharType="separate"/>
      </w:r>
      <w:r>
        <w:t>- 7 -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77EF0EA3">
      <w:pPr>
        <w:pStyle w:val="15"/>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_Toc20608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方正小标宋简体" w:hAnsi="方正小标宋简体" w:eastAsia="黑体" w:cs="黑体"/>
          <w:kern w:val="2"/>
          <w:szCs w:val="32"/>
          <w:lang w:val="en-US" w:eastAsia="zh-CN" w:bidi="ar-SA"/>
        </w:rPr>
        <w:t xml:space="preserve">第二章 </w:t>
      </w:r>
      <w:r>
        <w:rPr>
          <w:rFonts w:hint="default" w:ascii="Times New Roman" w:hAnsi="Times New Roman" w:eastAsia="黑体" w:cs="Times New Roman"/>
          <w:kern w:val="2"/>
          <w:szCs w:val="24"/>
          <w:highlight w:val="none"/>
          <w:lang w:val="en-US" w:eastAsia="zh-CN" w:bidi="ar-SA"/>
        </w:rPr>
        <w:t>总体要求</w:t>
      </w:r>
      <w:r>
        <w:tab/>
      </w:r>
      <w:r>
        <w:fldChar w:fldCharType="begin"/>
      </w:r>
      <w:r>
        <w:instrText xml:space="preserve"> PAGEREF _Toc20608 \h </w:instrText>
      </w:r>
      <w:r>
        <w:fldChar w:fldCharType="separate"/>
      </w:r>
      <w:r>
        <w:t>- 10 -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1D7A6F82">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_Toc13178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第一节 </w:t>
      </w:r>
      <w:r>
        <w:rPr>
          <w:rFonts w:hint="default" w:ascii="Times New Roman" w:hAnsi="Times New Roman" w:eastAsia="楷体_GB2312" w:cs="Times New Roman"/>
          <w:bCs w:val="0"/>
          <w:kern w:val="2"/>
          <w:szCs w:val="32"/>
          <w:highlight w:val="none"/>
          <w:lang w:val="en-US" w:eastAsia="zh-CN" w:bidi="ar-SA"/>
        </w:rPr>
        <w:t>指导思想</w:t>
      </w:r>
      <w:r>
        <w:tab/>
      </w:r>
      <w:r>
        <w:fldChar w:fldCharType="begin"/>
      </w:r>
      <w:r>
        <w:instrText xml:space="preserve"> PAGEREF _Toc13178 \h </w:instrText>
      </w:r>
      <w:r>
        <w:fldChar w:fldCharType="separate"/>
      </w:r>
      <w:r>
        <w:t>- 10 -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42274D23">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_Toc28704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第二节 </w:t>
      </w:r>
      <w:r>
        <w:rPr>
          <w:rFonts w:hint="default" w:ascii="Times New Roman" w:hAnsi="Times New Roman" w:eastAsia="楷体_GB2312" w:cs="Times New Roman"/>
          <w:bCs w:val="0"/>
          <w:kern w:val="2"/>
          <w:szCs w:val="32"/>
          <w:highlight w:val="none"/>
          <w:lang w:val="en-US" w:eastAsia="zh-CN" w:bidi="ar-SA"/>
        </w:rPr>
        <w:t>基本原则</w:t>
      </w:r>
      <w:r>
        <w:tab/>
      </w:r>
      <w:r>
        <w:fldChar w:fldCharType="begin"/>
      </w:r>
      <w:r>
        <w:instrText xml:space="preserve"> PAGEREF _Toc28704 \h </w:instrText>
      </w:r>
      <w:r>
        <w:fldChar w:fldCharType="separate"/>
      </w:r>
      <w:r>
        <w:t>- 10 -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6E1B86E9">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_Toc18909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第三节 </w:t>
      </w:r>
      <w:r>
        <w:rPr>
          <w:rFonts w:hint="default" w:ascii="Times New Roman" w:hAnsi="Times New Roman" w:eastAsia="楷体_GB2312" w:cs="Times New Roman"/>
          <w:bCs w:val="0"/>
          <w:kern w:val="2"/>
          <w:szCs w:val="32"/>
          <w:highlight w:val="none"/>
          <w:lang w:val="en-US" w:eastAsia="zh-CN" w:bidi="ar-SA"/>
        </w:rPr>
        <w:t>发展目标</w:t>
      </w:r>
      <w:r>
        <w:tab/>
      </w:r>
      <w:r>
        <w:fldChar w:fldCharType="begin"/>
      </w:r>
      <w:r>
        <w:instrText xml:space="preserve"> PAGEREF _Toc18909 \h </w:instrText>
      </w:r>
      <w:r>
        <w:fldChar w:fldCharType="separate"/>
      </w:r>
      <w:r>
        <w:t>- 12 -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287381AB">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_Toc3143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第四节 </w:t>
      </w:r>
      <w:r>
        <w:rPr>
          <w:rFonts w:hint="default" w:ascii="Times New Roman" w:hAnsi="Times New Roman" w:eastAsia="楷体_GB2312" w:cs="Times New Roman"/>
          <w:bCs w:val="0"/>
          <w:kern w:val="2"/>
          <w:szCs w:val="32"/>
          <w:highlight w:val="none"/>
          <w:lang w:val="en-US" w:eastAsia="zh-CN" w:bidi="ar-SA"/>
        </w:rPr>
        <w:t>战略定位</w:t>
      </w:r>
      <w:r>
        <w:tab/>
      </w:r>
      <w:r>
        <w:fldChar w:fldCharType="begin"/>
      </w:r>
      <w:r>
        <w:instrText xml:space="preserve"> PAGEREF _Toc3143 \h </w:instrText>
      </w:r>
      <w:r>
        <w:fldChar w:fldCharType="separate"/>
      </w:r>
      <w:r>
        <w:t>- 15 -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47EF7954">
      <w:pPr>
        <w:pStyle w:val="14"/>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_Toc6679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方正小标宋简体" w:cs="Times New Roman"/>
          <w:kern w:val="2"/>
          <w:szCs w:val="44"/>
          <w:lang w:val="en-US" w:eastAsia="zh-CN" w:bidi="ar-SA"/>
        </w:rPr>
        <w:t xml:space="preserve">第二篇 </w:t>
      </w:r>
      <w:r>
        <w:rPr>
          <w:rFonts w:hint="default" w:ascii="Times New Roman" w:hAnsi="Times New Roman" w:eastAsia="方正小标宋简体" w:cs="Times New Roman"/>
          <w:kern w:val="2"/>
          <w:szCs w:val="44"/>
          <w:highlight w:val="none"/>
          <w:lang w:val="en-US" w:eastAsia="zh-CN" w:bidi="ar-SA"/>
        </w:rPr>
        <w:t>精雕生态民俗独特名片，铸就全域旅游示范地</w:t>
      </w:r>
      <w:r>
        <w:tab/>
      </w:r>
      <w:r>
        <w:fldChar w:fldCharType="begin"/>
      </w:r>
      <w:r>
        <w:instrText xml:space="preserve"> PAGEREF _Toc6679 \h </w:instrText>
      </w:r>
      <w:r>
        <w:fldChar w:fldCharType="separate"/>
      </w:r>
      <w:r>
        <w:t>- 18 -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7EE51AFF">
      <w:pPr>
        <w:pStyle w:val="15"/>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_Toc26026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方正小标宋简体" w:hAnsi="方正小标宋简体" w:eastAsia="黑体" w:cs="黑体"/>
          <w:kern w:val="2"/>
          <w:szCs w:val="32"/>
          <w:lang w:val="en-US" w:eastAsia="zh-CN" w:bidi="ar-SA"/>
        </w:rPr>
        <w:t xml:space="preserve">第三章 </w:t>
      </w:r>
      <w:r>
        <w:rPr>
          <w:rFonts w:hint="default" w:ascii="Times New Roman" w:hAnsi="Times New Roman" w:eastAsia="黑体" w:cs="Times New Roman"/>
          <w:kern w:val="2"/>
          <w:szCs w:val="24"/>
          <w:highlight w:val="none"/>
          <w:lang w:val="en-US" w:eastAsia="zh-CN" w:bidi="ar-SA"/>
        </w:rPr>
        <w:t>打造文化沉浸旅游体验地</w:t>
      </w:r>
      <w:r>
        <w:tab/>
      </w:r>
      <w:r>
        <w:fldChar w:fldCharType="begin"/>
      </w:r>
      <w:r>
        <w:instrText xml:space="preserve"> PAGEREF _Toc26026 \h </w:instrText>
      </w:r>
      <w:r>
        <w:fldChar w:fldCharType="separate"/>
      </w:r>
      <w:r>
        <w:t>- 18 -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7FCA9487">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_Toc1883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第一节 </w:t>
      </w:r>
      <w:r>
        <w:rPr>
          <w:rFonts w:hint="default" w:ascii="Times New Roman" w:hAnsi="Times New Roman" w:eastAsia="楷体_GB2312" w:cs="Times New Roman"/>
          <w:bCs w:val="0"/>
          <w:kern w:val="2"/>
          <w:szCs w:val="32"/>
          <w:highlight w:val="none"/>
          <w:lang w:val="en-US" w:eastAsia="zh-CN" w:bidi="ar-SA"/>
        </w:rPr>
        <w:t>深度挖掘传统文化核心价值</w:t>
      </w:r>
      <w:r>
        <w:tab/>
      </w:r>
      <w:r>
        <w:fldChar w:fldCharType="begin"/>
      </w:r>
      <w:r>
        <w:instrText xml:space="preserve"> PAGEREF _Toc1883 \h </w:instrText>
      </w:r>
      <w:r>
        <w:fldChar w:fldCharType="separate"/>
      </w:r>
      <w:r>
        <w:t>- 18 -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2B0C65C6">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_Toc10939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第二节 </w:t>
      </w:r>
      <w:r>
        <w:rPr>
          <w:rFonts w:hint="default" w:ascii="Times New Roman" w:hAnsi="Times New Roman" w:eastAsia="楷体_GB2312" w:cs="Times New Roman"/>
          <w:bCs w:val="0"/>
          <w:kern w:val="2"/>
          <w:szCs w:val="32"/>
          <w:highlight w:val="none"/>
          <w:lang w:val="en-US" w:eastAsia="zh-CN" w:bidi="ar-SA"/>
        </w:rPr>
        <w:t>丰富文化体验研学产品供给</w:t>
      </w:r>
      <w:r>
        <w:tab/>
      </w:r>
      <w:r>
        <w:fldChar w:fldCharType="begin"/>
      </w:r>
      <w:r>
        <w:instrText xml:space="preserve"> PAGEREF _Toc10939 \h </w:instrText>
      </w:r>
      <w:r>
        <w:fldChar w:fldCharType="separate"/>
      </w:r>
      <w:r>
        <w:t>- 19 -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0A42EF56">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_Toc9779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第三节 </w:t>
      </w:r>
      <w:r>
        <w:rPr>
          <w:rFonts w:hint="default" w:ascii="Times New Roman" w:hAnsi="Times New Roman" w:eastAsia="楷体_GB2312" w:cs="Times New Roman"/>
          <w:bCs w:val="0"/>
          <w:kern w:val="2"/>
          <w:szCs w:val="32"/>
          <w:highlight w:val="none"/>
          <w:lang w:val="en-US" w:eastAsia="zh-CN" w:bidi="ar-SA"/>
        </w:rPr>
        <w:t>创新文化沉浸体验场景</w:t>
      </w:r>
      <w:r>
        <w:tab/>
      </w:r>
      <w:r>
        <w:fldChar w:fldCharType="begin"/>
      </w:r>
      <w:r>
        <w:instrText xml:space="preserve"> PAGEREF _Toc9779 \h </w:instrText>
      </w:r>
      <w:r>
        <w:fldChar w:fldCharType="separate"/>
      </w:r>
      <w:r>
        <w:t>- 19 -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0DB2D337">
      <w:pPr>
        <w:pStyle w:val="15"/>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_Toc17972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方正小标宋简体" w:hAnsi="方正小标宋简体" w:eastAsia="黑体" w:cs="黑体"/>
          <w:kern w:val="2"/>
          <w:szCs w:val="32"/>
          <w:lang w:val="en-US" w:eastAsia="zh-CN" w:bidi="ar-SA"/>
        </w:rPr>
        <w:t xml:space="preserve">第四章 </w:t>
      </w:r>
      <w:r>
        <w:rPr>
          <w:rFonts w:hint="default" w:ascii="Times New Roman" w:hAnsi="Times New Roman" w:eastAsia="黑体" w:cs="Times New Roman"/>
          <w:kern w:val="2"/>
          <w:szCs w:val="24"/>
          <w:highlight w:val="none"/>
          <w:lang w:val="en-US" w:eastAsia="zh-CN" w:bidi="ar-SA"/>
        </w:rPr>
        <w:t>打造生态观光旅游示范地</w:t>
      </w:r>
      <w:r>
        <w:tab/>
      </w:r>
      <w:r>
        <w:fldChar w:fldCharType="begin"/>
      </w:r>
      <w:r>
        <w:instrText xml:space="preserve"> PAGEREF _Toc17972 \h </w:instrText>
      </w:r>
      <w:r>
        <w:fldChar w:fldCharType="separate"/>
      </w:r>
      <w:r>
        <w:t>- 20 -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763C4265">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_Toc9568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第一节 </w:t>
      </w:r>
      <w:r>
        <w:rPr>
          <w:rFonts w:hint="default" w:ascii="Times New Roman" w:hAnsi="Times New Roman" w:eastAsia="楷体_GB2312" w:cs="Times New Roman"/>
          <w:bCs w:val="0"/>
          <w:kern w:val="2"/>
          <w:szCs w:val="32"/>
          <w:highlight w:val="none"/>
          <w:lang w:val="en-US" w:eastAsia="zh-CN" w:bidi="ar-SA"/>
        </w:rPr>
        <w:t>打造生态旅游串联动线</w:t>
      </w:r>
      <w:r>
        <w:tab/>
      </w:r>
      <w:r>
        <w:fldChar w:fldCharType="begin"/>
      </w:r>
      <w:r>
        <w:instrText xml:space="preserve"> PAGEREF _Toc9568 \h </w:instrText>
      </w:r>
      <w:r>
        <w:fldChar w:fldCharType="separate"/>
      </w:r>
      <w:r>
        <w:t>- 20 -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4369BD0C">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_Toc9983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第二节 </w:t>
      </w:r>
      <w:r>
        <w:rPr>
          <w:rFonts w:hint="default" w:ascii="Times New Roman" w:hAnsi="Times New Roman" w:eastAsia="楷体_GB2312" w:cs="Times New Roman"/>
          <w:bCs w:val="0"/>
          <w:kern w:val="2"/>
          <w:szCs w:val="32"/>
          <w:highlight w:val="none"/>
          <w:lang w:val="en-US" w:eastAsia="zh-CN" w:bidi="ar-SA"/>
        </w:rPr>
        <w:t>推进生态景区景点提质</w:t>
      </w:r>
      <w:r>
        <w:tab/>
      </w:r>
      <w:r>
        <w:fldChar w:fldCharType="begin"/>
      </w:r>
      <w:r>
        <w:instrText xml:space="preserve"> PAGEREF _Toc9983 \h </w:instrText>
      </w:r>
      <w:r>
        <w:fldChar w:fldCharType="separate"/>
      </w:r>
      <w:r>
        <w:t>- 21 -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69DCD259">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_Toc28332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第三节 </w:t>
      </w:r>
      <w:r>
        <w:rPr>
          <w:rFonts w:hint="default" w:ascii="Times New Roman" w:hAnsi="Times New Roman" w:eastAsia="楷体_GB2312" w:cs="Times New Roman"/>
          <w:bCs w:val="0"/>
          <w:kern w:val="2"/>
          <w:szCs w:val="32"/>
          <w:highlight w:val="none"/>
          <w:lang w:val="en-US" w:eastAsia="zh-CN" w:bidi="ar-SA"/>
        </w:rPr>
        <w:t>丰富生态旅游体验</w:t>
      </w:r>
      <w:r>
        <w:tab/>
      </w:r>
      <w:r>
        <w:fldChar w:fldCharType="begin"/>
      </w:r>
      <w:r>
        <w:instrText xml:space="preserve"> PAGEREF _Toc28332 \h </w:instrText>
      </w:r>
      <w:r>
        <w:fldChar w:fldCharType="separate"/>
      </w:r>
      <w:r>
        <w:t>- 21 -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25ACE0C1">
      <w:pPr>
        <w:pStyle w:val="15"/>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_Toc29748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方正小标宋简体" w:hAnsi="方正小标宋简体" w:eastAsia="黑体" w:cs="黑体"/>
          <w:kern w:val="2"/>
          <w:szCs w:val="32"/>
          <w:lang w:val="en-US" w:eastAsia="zh-CN" w:bidi="ar-SA"/>
        </w:rPr>
        <w:t xml:space="preserve">第五章 </w:t>
      </w:r>
      <w:r>
        <w:rPr>
          <w:rFonts w:hint="default" w:ascii="Times New Roman" w:hAnsi="Times New Roman" w:eastAsia="黑体" w:cs="Times New Roman"/>
          <w:kern w:val="2"/>
          <w:szCs w:val="24"/>
          <w:highlight w:val="none"/>
          <w:lang w:val="en-US" w:eastAsia="zh-CN" w:bidi="ar-SA"/>
        </w:rPr>
        <w:t>打造康养休闲旅游引领地</w:t>
      </w:r>
      <w:r>
        <w:tab/>
      </w:r>
      <w:r>
        <w:fldChar w:fldCharType="begin"/>
      </w:r>
      <w:r>
        <w:instrText xml:space="preserve"> PAGEREF _Toc29748 \h </w:instrText>
      </w:r>
      <w:r>
        <w:fldChar w:fldCharType="separate"/>
      </w:r>
      <w:r>
        <w:t>- 22 -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421C27A5">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_Toc18270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第一节 </w:t>
      </w:r>
      <w:r>
        <w:rPr>
          <w:rFonts w:hint="default" w:ascii="Times New Roman" w:hAnsi="Times New Roman" w:eastAsia="楷体_GB2312" w:cs="Times New Roman"/>
          <w:bCs w:val="0"/>
          <w:kern w:val="2"/>
          <w:szCs w:val="32"/>
          <w:highlight w:val="none"/>
          <w:lang w:val="en-US" w:eastAsia="zh-CN" w:bidi="ar-SA"/>
        </w:rPr>
        <w:t>提升乡村景区化水平</w:t>
      </w:r>
      <w:r>
        <w:tab/>
      </w:r>
      <w:r>
        <w:fldChar w:fldCharType="begin"/>
      </w:r>
      <w:r>
        <w:instrText xml:space="preserve"> PAGEREF _Toc18270 \h </w:instrText>
      </w:r>
      <w:r>
        <w:fldChar w:fldCharType="separate"/>
      </w:r>
      <w:r>
        <w:t>- 22 -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46A709F5">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_Toc30285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第二节 </w:t>
      </w:r>
      <w:r>
        <w:rPr>
          <w:rFonts w:hint="default" w:ascii="Times New Roman" w:hAnsi="Times New Roman" w:eastAsia="楷体_GB2312" w:cs="Times New Roman"/>
          <w:bCs w:val="0"/>
          <w:kern w:val="2"/>
          <w:szCs w:val="32"/>
          <w:highlight w:val="none"/>
          <w:lang w:val="en-US" w:eastAsia="zh-CN" w:bidi="ar-SA"/>
        </w:rPr>
        <w:t>打造特色化民宿集群</w:t>
      </w:r>
      <w:r>
        <w:tab/>
      </w:r>
      <w:r>
        <w:fldChar w:fldCharType="begin"/>
      </w:r>
      <w:r>
        <w:instrText xml:space="preserve"> PAGEREF _Toc30285 \h </w:instrText>
      </w:r>
      <w:r>
        <w:fldChar w:fldCharType="separate"/>
      </w:r>
      <w:r>
        <w:t>- 23 -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7A7F2EFF">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_Toc13611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第三节 </w:t>
      </w:r>
      <w:r>
        <w:rPr>
          <w:rFonts w:hint="default" w:ascii="Times New Roman" w:hAnsi="Times New Roman" w:eastAsia="楷体_GB2312" w:cs="Times New Roman"/>
          <w:bCs w:val="0"/>
          <w:kern w:val="2"/>
          <w:szCs w:val="32"/>
          <w:highlight w:val="none"/>
          <w:lang w:val="en-US" w:eastAsia="zh-CN" w:bidi="ar-SA"/>
        </w:rPr>
        <w:t>培育医养</w:t>
      </w:r>
      <w:r>
        <w:rPr>
          <w:rFonts w:hint="eastAsia" w:eastAsia="楷体_GB2312" w:cs="Times New Roman"/>
          <w:bCs w:val="0"/>
          <w:kern w:val="2"/>
          <w:szCs w:val="32"/>
          <w:highlight w:val="none"/>
          <w:lang w:val="en-US" w:eastAsia="zh-CN" w:bidi="ar-SA"/>
        </w:rPr>
        <w:t>康养</w:t>
      </w:r>
      <w:r>
        <w:rPr>
          <w:rFonts w:hint="default" w:ascii="Times New Roman" w:hAnsi="Times New Roman" w:eastAsia="楷体_GB2312" w:cs="Times New Roman"/>
          <w:bCs w:val="0"/>
          <w:kern w:val="2"/>
          <w:szCs w:val="32"/>
          <w:highlight w:val="none"/>
          <w:lang w:val="en-US" w:eastAsia="zh-CN" w:bidi="ar-SA"/>
        </w:rPr>
        <w:t>融合旅游产品</w:t>
      </w:r>
      <w:r>
        <w:tab/>
      </w:r>
      <w:r>
        <w:fldChar w:fldCharType="begin"/>
      </w:r>
      <w:r>
        <w:instrText xml:space="preserve"> PAGEREF _Toc13611 \h </w:instrText>
      </w:r>
      <w:r>
        <w:fldChar w:fldCharType="separate"/>
      </w:r>
      <w:r>
        <w:t>- 24 -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65B2F90F">
      <w:pPr>
        <w:pStyle w:val="15"/>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_Toc1730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方正小标宋简体" w:hAnsi="方正小标宋简体" w:eastAsia="黑体" w:cs="黑体"/>
          <w:kern w:val="2"/>
          <w:szCs w:val="32"/>
          <w:lang w:val="en-US" w:eastAsia="zh-CN" w:bidi="ar-SA"/>
        </w:rPr>
        <w:t xml:space="preserve">第六章 </w:t>
      </w:r>
      <w:r>
        <w:rPr>
          <w:rFonts w:hint="default" w:ascii="Times New Roman" w:hAnsi="Times New Roman" w:eastAsia="黑体" w:cs="Times New Roman"/>
          <w:kern w:val="2"/>
          <w:szCs w:val="24"/>
          <w:highlight w:val="none"/>
          <w:lang w:val="en-US" w:eastAsia="zh-CN" w:bidi="ar-SA"/>
        </w:rPr>
        <w:t>打造冰雪温泉旅游度假地</w:t>
      </w:r>
      <w:r>
        <w:tab/>
      </w:r>
      <w:r>
        <w:fldChar w:fldCharType="begin"/>
      </w:r>
      <w:r>
        <w:instrText xml:space="preserve"> PAGEREF _Toc1730 \h </w:instrText>
      </w:r>
      <w:r>
        <w:fldChar w:fldCharType="separate"/>
      </w:r>
      <w:r>
        <w:t>- 25 -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02ABB5F7">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_Toc21467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第一节 </w:t>
      </w:r>
      <w:r>
        <w:rPr>
          <w:rFonts w:hint="default" w:ascii="Times New Roman" w:hAnsi="Times New Roman" w:eastAsia="楷体_GB2312" w:cs="Times New Roman"/>
          <w:bCs w:val="0"/>
          <w:kern w:val="2"/>
          <w:szCs w:val="32"/>
          <w:highlight w:val="none"/>
          <w:lang w:val="en-US" w:eastAsia="zh-CN" w:bidi="ar-SA"/>
        </w:rPr>
        <w:t>创建国际化冰雪旅游度假区</w:t>
      </w:r>
      <w:r>
        <w:tab/>
      </w:r>
      <w:r>
        <w:fldChar w:fldCharType="begin"/>
      </w:r>
      <w:r>
        <w:instrText xml:space="preserve"> PAGEREF _Toc21467 \h </w:instrText>
      </w:r>
      <w:r>
        <w:fldChar w:fldCharType="separate"/>
      </w:r>
      <w:r>
        <w:t>- 25 -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40B5B849">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_Toc8611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第二节 </w:t>
      </w:r>
      <w:r>
        <w:rPr>
          <w:rFonts w:hint="default" w:ascii="Times New Roman" w:hAnsi="Times New Roman" w:eastAsia="楷体_GB2312" w:cs="Times New Roman"/>
          <w:bCs w:val="0"/>
          <w:kern w:val="2"/>
          <w:szCs w:val="32"/>
          <w:highlight w:val="none"/>
          <w:lang w:val="en-US" w:eastAsia="zh-CN" w:bidi="ar-SA"/>
        </w:rPr>
        <w:t>创新开展精品冰雪赛事活动</w:t>
      </w:r>
      <w:r>
        <w:tab/>
      </w:r>
      <w:r>
        <w:fldChar w:fldCharType="begin"/>
      </w:r>
      <w:r>
        <w:instrText xml:space="preserve"> PAGEREF _Toc8611 \h </w:instrText>
      </w:r>
      <w:r>
        <w:fldChar w:fldCharType="separate"/>
      </w:r>
      <w:r>
        <w:t>- 26 -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6800E47E">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_Toc26883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第三节 </w:t>
      </w:r>
      <w:r>
        <w:rPr>
          <w:rFonts w:hint="default" w:ascii="Times New Roman" w:hAnsi="Times New Roman" w:eastAsia="楷体_GB2312" w:cs="Times New Roman"/>
          <w:bCs w:val="0"/>
          <w:kern w:val="2"/>
          <w:szCs w:val="32"/>
          <w:highlight w:val="none"/>
          <w:lang w:val="en-US" w:eastAsia="zh-CN" w:bidi="ar-SA"/>
        </w:rPr>
        <w:t>促进“冰雪”“温泉”冷热联动</w:t>
      </w:r>
      <w:r>
        <w:tab/>
      </w:r>
      <w:r>
        <w:fldChar w:fldCharType="begin"/>
      </w:r>
      <w:r>
        <w:instrText xml:space="preserve"> PAGEREF _Toc26883 \h </w:instrText>
      </w:r>
      <w:r>
        <w:fldChar w:fldCharType="separate"/>
      </w:r>
      <w:r>
        <w:t>- 26 -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602654B8">
      <w:pPr>
        <w:pStyle w:val="15"/>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_Toc20719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方正小标宋简体" w:hAnsi="方正小标宋简体" w:eastAsia="黑体" w:cs="黑体"/>
          <w:kern w:val="2"/>
          <w:szCs w:val="32"/>
          <w:lang w:val="en-US" w:eastAsia="zh-CN" w:bidi="ar-SA"/>
        </w:rPr>
        <w:t xml:space="preserve">第七章 </w:t>
      </w:r>
      <w:r>
        <w:rPr>
          <w:rFonts w:hint="default" w:ascii="Times New Roman" w:hAnsi="Times New Roman" w:eastAsia="黑体" w:cs="Times New Roman"/>
          <w:kern w:val="2"/>
          <w:szCs w:val="24"/>
          <w:highlight w:val="none"/>
          <w:lang w:val="en-US" w:eastAsia="zh-CN" w:bidi="ar-SA"/>
        </w:rPr>
        <w:t>打造魅力自驾旅游网红地</w:t>
      </w:r>
      <w:r>
        <w:tab/>
      </w:r>
      <w:r>
        <w:fldChar w:fldCharType="begin"/>
      </w:r>
      <w:r>
        <w:instrText xml:space="preserve"> PAGEREF _Toc20719 \h </w:instrText>
      </w:r>
      <w:r>
        <w:fldChar w:fldCharType="separate"/>
      </w:r>
      <w:r>
        <w:t>- 27 -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3C11A7C2">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_Toc11893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第一节 </w:t>
      </w:r>
      <w:r>
        <w:rPr>
          <w:rFonts w:hint="default" w:ascii="Times New Roman" w:hAnsi="Times New Roman" w:eastAsia="楷体_GB2312" w:cs="Times New Roman"/>
          <w:bCs w:val="0"/>
          <w:kern w:val="2"/>
          <w:szCs w:val="32"/>
          <w:highlight w:val="none"/>
          <w:lang w:val="en-US" w:eastAsia="zh-CN" w:bidi="ar-SA"/>
        </w:rPr>
        <w:t>打造交旅融合品牌风景道</w:t>
      </w:r>
      <w:r>
        <w:tab/>
      </w:r>
      <w:r>
        <w:fldChar w:fldCharType="begin"/>
      </w:r>
      <w:r>
        <w:instrText xml:space="preserve"> PAGEREF _Toc11893 \h </w:instrText>
      </w:r>
      <w:r>
        <w:fldChar w:fldCharType="separate"/>
      </w:r>
      <w:r>
        <w:t>- 27 -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39F8A0CA">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_Toc10168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第二节 </w:t>
      </w:r>
      <w:r>
        <w:rPr>
          <w:rFonts w:hint="default" w:ascii="Times New Roman" w:hAnsi="Times New Roman" w:eastAsia="楷体_GB2312" w:cs="Times New Roman"/>
          <w:bCs w:val="0"/>
          <w:kern w:val="2"/>
          <w:szCs w:val="32"/>
          <w:highlight w:val="none"/>
          <w:lang w:val="en-US" w:eastAsia="zh-CN" w:bidi="ar-SA"/>
        </w:rPr>
        <w:t>提高自驾游服务保障能力</w:t>
      </w:r>
      <w:r>
        <w:tab/>
      </w:r>
      <w:r>
        <w:fldChar w:fldCharType="begin"/>
      </w:r>
      <w:r>
        <w:instrText xml:space="preserve"> PAGEREF _Toc10168 \h </w:instrText>
      </w:r>
      <w:r>
        <w:fldChar w:fldCharType="separate"/>
      </w:r>
      <w:r>
        <w:t>- 28 -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4DBC274A">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_Toc20828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第三节 </w:t>
      </w:r>
      <w:r>
        <w:rPr>
          <w:rFonts w:hint="default" w:ascii="Times New Roman" w:hAnsi="Times New Roman" w:eastAsia="楷体_GB2312" w:cs="Times New Roman"/>
          <w:bCs w:val="0"/>
          <w:kern w:val="2"/>
          <w:szCs w:val="32"/>
          <w:highlight w:val="none"/>
          <w:lang w:val="en-US" w:eastAsia="zh-CN" w:bidi="ar-SA"/>
        </w:rPr>
        <w:t>示范建设交旅融合先行区</w:t>
      </w:r>
      <w:r>
        <w:tab/>
      </w:r>
      <w:r>
        <w:fldChar w:fldCharType="begin"/>
      </w:r>
      <w:r>
        <w:instrText xml:space="preserve"> PAGEREF _Toc20828 \h </w:instrText>
      </w:r>
      <w:r>
        <w:fldChar w:fldCharType="separate"/>
      </w:r>
      <w:r>
        <w:t>- 29 -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34AC526B">
      <w:pPr>
        <w:pStyle w:val="15"/>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_Toc29527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方正小标宋简体" w:hAnsi="方正小标宋简体" w:eastAsia="黑体" w:cs="黑体"/>
          <w:kern w:val="2"/>
          <w:szCs w:val="32"/>
          <w:lang w:val="en-US" w:eastAsia="zh-CN" w:bidi="ar-SA"/>
        </w:rPr>
        <w:t xml:space="preserve">第八章 </w:t>
      </w:r>
      <w:r>
        <w:rPr>
          <w:rFonts w:hint="default" w:ascii="Times New Roman" w:hAnsi="Times New Roman" w:eastAsia="黑体" w:cs="Times New Roman"/>
          <w:kern w:val="2"/>
          <w:szCs w:val="24"/>
          <w:highlight w:val="none"/>
          <w:lang w:val="en-US" w:eastAsia="zh-CN" w:bidi="ar-SA"/>
        </w:rPr>
        <w:t>打造户外运动旅游目的地</w:t>
      </w:r>
      <w:r>
        <w:tab/>
      </w:r>
      <w:r>
        <w:fldChar w:fldCharType="begin"/>
      </w:r>
      <w:r>
        <w:instrText xml:space="preserve"> PAGEREF _Toc29527 \h </w:instrText>
      </w:r>
      <w:r>
        <w:fldChar w:fldCharType="separate"/>
      </w:r>
      <w:r>
        <w:t>- 30 -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786B3116">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_Toc21283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第一节 </w:t>
      </w:r>
      <w:r>
        <w:rPr>
          <w:rFonts w:hint="default" w:ascii="Times New Roman" w:hAnsi="Times New Roman" w:eastAsia="楷体_GB2312" w:cs="Times New Roman"/>
          <w:bCs w:val="0"/>
          <w:kern w:val="2"/>
          <w:szCs w:val="32"/>
          <w:highlight w:val="none"/>
          <w:lang w:val="en-US" w:eastAsia="zh-CN" w:bidi="ar-SA"/>
        </w:rPr>
        <w:t>健全户外运动旅游产品体系</w:t>
      </w:r>
      <w:r>
        <w:tab/>
      </w:r>
      <w:r>
        <w:fldChar w:fldCharType="begin"/>
      </w:r>
      <w:r>
        <w:instrText xml:space="preserve"> PAGEREF _Toc21283 \h </w:instrText>
      </w:r>
      <w:r>
        <w:fldChar w:fldCharType="separate"/>
      </w:r>
      <w:r>
        <w:t>- 30 -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57ECA42D">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_Toc15157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第二节 </w:t>
      </w:r>
      <w:r>
        <w:rPr>
          <w:rFonts w:hint="default" w:ascii="Times New Roman" w:hAnsi="Times New Roman" w:eastAsia="楷体_GB2312" w:cs="Times New Roman"/>
          <w:bCs w:val="0"/>
          <w:kern w:val="2"/>
          <w:szCs w:val="32"/>
          <w:highlight w:val="none"/>
          <w:lang w:val="en-US" w:eastAsia="zh-CN" w:bidi="ar-SA"/>
        </w:rPr>
        <w:t>培育户外运动旅游关联产业</w:t>
      </w:r>
      <w:r>
        <w:tab/>
      </w:r>
      <w:r>
        <w:fldChar w:fldCharType="begin"/>
      </w:r>
      <w:r>
        <w:instrText xml:space="preserve"> PAGEREF _Toc15157 \h </w:instrText>
      </w:r>
      <w:r>
        <w:fldChar w:fldCharType="separate"/>
      </w:r>
      <w:r>
        <w:t>- 30 -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3E7705CC">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_Toc8848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第三节 </w:t>
      </w:r>
      <w:r>
        <w:rPr>
          <w:rFonts w:hint="default" w:ascii="Times New Roman" w:hAnsi="Times New Roman" w:eastAsia="楷体_GB2312" w:cs="Times New Roman"/>
          <w:bCs w:val="0"/>
          <w:kern w:val="2"/>
          <w:szCs w:val="32"/>
          <w:highlight w:val="none"/>
          <w:lang w:val="en-US" w:eastAsia="zh-CN" w:bidi="ar-SA"/>
        </w:rPr>
        <w:t>提升户外运动旅游管理水平</w:t>
      </w:r>
      <w:r>
        <w:tab/>
      </w:r>
      <w:r>
        <w:fldChar w:fldCharType="begin"/>
      </w:r>
      <w:r>
        <w:instrText xml:space="preserve"> PAGEREF _Toc8848 \h </w:instrText>
      </w:r>
      <w:r>
        <w:fldChar w:fldCharType="separate"/>
      </w:r>
      <w:r>
        <w:t>- 31 -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0B9CAF0B">
      <w:pPr>
        <w:pStyle w:val="14"/>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_Toc11258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方正小标宋简体" w:cs="Times New Roman"/>
          <w:kern w:val="2"/>
          <w:szCs w:val="44"/>
          <w:lang w:val="en-US" w:eastAsia="zh-CN" w:bidi="ar-SA"/>
        </w:rPr>
        <w:t xml:space="preserve">第三篇 </w:t>
      </w:r>
      <w:r>
        <w:rPr>
          <w:rFonts w:hint="default" w:ascii="Times New Roman" w:hAnsi="Times New Roman" w:eastAsia="方正小标宋简体" w:cs="Times New Roman"/>
          <w:kern w:val="2"/>
          <w:szCs w:val="44"/>
          <w:highlight w:val="none"/>
          <w:lang w:val="en-US" w:eastAsia="zh-CN" w:bidi="ar-SA"/>
        </w:rPr>
        <w:t>加快现代产业体系建设，打造区域经济增长引擎</w:t>
      </w:r>
      <w:r>
        <w:tab/>
      </w:r>
      <w:r>
        <w:fldChar w:fldCharType="begin"/>
      </w:r>
      <w:r>
        <w:instrText xml:space="preserve"> PAGEREF _Toc11258 \h </w:instrText>
      </w:r>
      <w:r>
        <w:fldChar w:fldCharType="separate"/>
      </w:r>
      <w:r>
        <w:t>- 33 -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72B8D394">
      <w:pPr>
        <w:pStyle w:val="15"/>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_Toc14013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方正小标宋简体" w:hAnsi="方正小标宋简体" w:eastAsia="黑体" w:cs="黑体"/>
          <w:kern w:val="2"/>
          <w:szCs w:val="32"/>
          <w:lang w:val="en-US" w:eastAsia="zh-CN" w:bidi="ar-SA"/>
        </w:rPr>
        <w:t xml:space="preserve">第九章 </w:t>
      </w:r>
      <w:r>
        <w:rPr>
          <w:rFonts w:hint="default" w:ascii="Times New Roman" w:hAnsi="Times New Roman" w:eastAsia="黑体" w:cs="Times New Roman"/>
          <w:kern w:val="2"/>
          <w:szCs w:val="24"/>
          <w:highlight w:val="none"/>
          <w:lang w:val="en-US" w:eastAsia="zh-CN" w:bidi="ar-SA"/>
        </w:rPr>
        <w:t>积极发展高原生态农业</w:t>
      </w:r>
      <w:r>
        <w:tab/>
      </w:r>
      <w:r>
        <w:fldChar w:fldCharType="begin"/>
      </w:r>
      <w:r>
        <w:instrText xml:space="preserve"> PAGEREF _Toc14013 \h </w:instrText>
      </w:r>
      <w:r>
        <w:fldChar w:fldCharType="separate"/>
      </w:r>
      <w:r>
        <w:t>- 33 -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2127DE76">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_Toc12578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第一节 </w:t>
      </w:r>
      <w:r>
        <w:rPr>
          <w:rFonts w:hint="default" w:ascii="Times New Roman" w:hAnsi="Times New Roman" w:eastAsia="楷体_GB2312" w:cs="Times New Roman"/>
          <w:bCs w:val="0"/>
          <w:kern w:val="2"/>
          <w:szCs w:val="32"/>
          <w:highlight w:val="none"/>
          <w:lang w:val="en-US" w:eastAsia="zh-CN" w:bidi="ar-SA"/>
        </w:rPr>
        <w:t>加强特色产业基地建设</w:t>
      </w:r>
      <w:r>
        <w:tab/>
      </w:r>
      <w:r>
        <w:fldChar w:fldCharType="begin"/>
      </w:r>
      <w:r>
        <w:instrText xml:space="preserve"> PAGEREF _Toc12578 \h </w:instrText>
      </w:r>
      <w:r>
        <w:fldChar w:fldCharType="separate"/>
      </w:r>
      <w:r>
        <w:t>- 33 -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355D0EA1">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_Toc725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第二节 </w:t>
      </w:r>
      <w:r>
        <w:rPr>
          <w:rFonts w:hint="default" w:ascii="Times New Roman" w:hAnsi="Times New Roman" w:eastAsia="楷体_GB2312" w:cs="Times New Roman"/>
          <w:bCs w:val="0"/>
          <w:kern w:val="2"/>
          <w:szCs w:val="32"/>
          <w:highlight w:val="none"/>
          <w:lang w:val="en-US" w:eastAsia="zh-CN" w:bidi="ar-SA"/>
        </w:rPr>
        <w:t>推进优势产业建圈强链</w:t>
      </w:r>
      <w:r>
        <w:tab/>
      </w:r>
      <w:r>
        <w:fldChar w:fldCharType="begin"/>
      </w:r>
      <w:r>
        <w:instrText xml:space="preserve"> PAGEREF _Toc725 \h </w:instrText>
      </w:r>
      <w:r>
        <w:fldChar w:fldCharType="separate"/>
      </w:r>
      <w:r>
        <w:t>- 34 -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75EE7C80">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_Toc22599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第三节 </w:t>
      </w:r>
      <w:r>
        <w:rPr>
          <w:rFonts w:hint="default" w:ascii="Times New Roman" w:hAnsi="Times New Roman" w:eastAsia="楷体_GB2312" w:cs="Times New Roman"/>
          <w:bCs w:val="0"/>
          <w:kern w:val="2"/>
          <w:szCs w:val="32"/>
          <w:highlight w:val="none"/>
          <w:lang w:val="en-US" w:eastAsia="zh-CN" w:bidi="ar-SA"/>
        </w:rPr>
        <w:t>提升农业组织化程度</w:t>
      </w:r>
      <w:r>
        <w:tab/>
      </w:r>
      <w:r>
        <w:fldChar w:fldCharType="begin"/>
      </w:r>
      <w:r>
        <w:instrText xml:space="preserve"> PAGEREF _Toc22599 \h </w:instrText>
      </w:r>
      <w:r>
        <w:fldChar w:fldCharType="separate"/>
      </w:r>
      <w:r>
        <w:t>- 35 -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0C3EFCC2">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_Toc4287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第四节 </w:t>
      </w:r>
      <w:r>
        <w:rPr>
          <w:rFonts w:hint="default" w:ascii="Times New Roman" w:hAnsi="Times New Roman" w:eastAsia="楷体_GB2312" w:cs="Times New Roman"/>
          <w:bCs w:val="0"/>
          <w:kern w:val="2"/>
          <w:szCs w:val="32"/>
          <w:highlight w:val="none"/>
          <w:lang w:val="en-US" w:eastAsia="zh-CN" w:bidi="ar-SA"/>
        </w:rPr>
        <w:t>补齐产业体系支撑性短板</w:t>
      </w:r>
      <w:r>
        <w:tab/>
      </w:r>
      <w:r>
        <w:fldChar w:fldCharType="begin"/>
      </w:r>
      <w:r>
        <w:instrText xml:space="preserve"> PAGEREF _Toc4287 \h </w:instrText>
      </w:r>
      <w:r>
        <w:fldChar w:fldCharType="separate"/>
      </w:r>
      <w:r>
        <w:t>- 36 -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24EAB75E">
      <w:pPr>
        <w:pStyle w:val="15"/>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_Toc13214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方正小标宋简体" w:hAnsi="方正小标宋简体" w:eastAsia="黑体" w:cs="黑体"/>
          <w:kern w:val="2"/>
          <w:szCs w:val="32"/>
          <w:lang w:val="en-US" w:eastAsia="zh-CN" w:bidi="ar-SA"/>
        </w:rPr>
        <w:t xml:space="preserve">第十章 </w:t>
      </w:r>
      <w:r>
        <w:rPr>
          <w:rFonts w:hint="default" w:ascii="Times New Roman" w:hAnsi="Times New Roman" w:eastAsia="黑体" w:cs="Times New Roman"/>
          <w:kern w:val="2"/>
          <w:szCs w:val="24"/>
          <w:highlight w:val="none"/>
          <w:lang w:val="en-US" w:eastAsia="zh-CN" w:bidi="ar-SA"/>
        </w:rPr>
        <w:t>加快发展绿色低碳工业</w:t>
      </w:r>
      <w:r>
        <w:tab/>
      </w:r>
      <w:r>
        <w:fldChar w:fldCharType="begin"/>
      </w:r>
      <w:r>
        <w:instrText xml:space="preserve"> PAGEREF _Toc13214 \h </w:instrText>
      </w:r>
      <w:r>
        <w:fldChar w:fldCharType="separate"/>
      </w:r>
      <w:r>
        <w:t>- 39 -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7267A422">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_Toc16925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第一节 </w:t>
      </w:r>
      <w:r>
        <w:rPr>
          <w:rFonts w:hint="default" w:ascii="Times New Roman" w:hAnsi="Times New Roman" w:eastAsia="楷体_GB2312" w:cs="Times New Roman"/>
          <w:bCs w:val="0"/>
          <w:kern w:val="2"/>
          <w:szCs w:val="32"/>
          <w:highlight w:val="none"/>
          <w:lang w:val="en-US" w:eastAsia="zh-CN" w:bidi="ar-SA"/>
        </w:rPr>
        <w:t>大力发展清洁能源产业</w:t>
      </w:r>
      <w:r>
        <w:tab/>
      </w:r>
      <w:r>
        <w:fldChar w:fldCharType="begin"/>
      </w:r>
      <w:r>
        <w:instrText xml:space="preserve"> PAGEREF _Toc16925 \h </w:instrText>
      </w:r>
      <w:r>
        <w:fldChar w:fldCharType="separate"/>
      </w:r>
      <w:r>
        <w:t>- 39 -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6D9F01D5">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_Toc23930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第二节 </w:t>
      </w:r>
      <w:r>
        <w:rPr>
          <w:rFonts w:hint="default" w:ascii="Times New Roman" w:hAnsi="Times New Roman" w:eastAsia="楷体_GB2312" w:cs="Times New Roman"/>
          <w:bCs w:val="0"/>
          <w:kern w:val="2"/>
          <w:szCs w:val="32"/>
          <w:highlight w:val="none"/>
          <w:lang w:val="en-US" w:eastAsia="zh-CN" w:bidi="ar-SA"/>
        </w:rPr>
        <w:t>稳步发展绿色基材产业</w:t>
      </w:r>
      <w:r>
        <w:tab/>
      </w:r>
      <w:r>
        <w:fldChar w:fldCharType="begin"/>
      </w:r>
      <w:r>
        <w:instrText xml:space="preserve"> PAGEREF _Toc23930 \h </w:instrText>
      </w:r>
      <w:r>
        <w:fldChar w:fldCharType="separate"/>
      </w:r>
      <w:r>
        <w:t>- 40 -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4D565F85">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_Toc29258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第三节 </w:t>
      </w:r>
      <w:r>
        <w:rPr>
          <w:rFonts w:hint="default" w:ascii="Times New Roman" w:hAnsi="Times New Roman" w:eastAsia="楷体_GB2312" w:cs="Times New Roman"/>
          <w:bCs w:val="0"/>
          <w:kern w:val="2"/>
          <w:szCs w:val="32"/>
          <w:highlight w:val="none"/>
          <w:lang w:val="en-US" w:eastAsia="zh-CN" w:bidi="ar-SA"/>
        </w:rPr>
        <w:t>增强工业园区集聚效应</w:t>
      </w:r>
      <w:r>
        <w:tab/>
      </w:r>
      <w:r>
        <w:fldChar w:fldCharType="begin"/>
      </w:r>
      <w:r>
        <w:instrText xml:space="preserve"> PAGEREF _Toc29258 \h </w:instrText>
      </w:r>
      <w:r>
        <w:fldChar w:fldCharType="separate"/>
      </w:r>
      <w:r>
        <w:t>- 40 -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0791775D">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_Toc3284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第四节 </w:t>
      </w:r>
      <w:r>
        <w:rPr>
          <w:rFonts w:hint="default" w:ascii="Times New Roman" w:hAnsi="Times New Roman" w:eastAsia="楷体_GB2312" w:cs="Times New Roman"/>
          <w:bCs w:val="0"/>
          <w:kern w:val="2"/>
          <w:szCs w:val="32"/>
          <w:highlight w:val="none"/>
          <w:lang w:val="en-US" w:eastAsia="zh-CN" w:bidi="ar-SA"/>
        </w:rPr>
        <w:t>加快制造业数智化转型</w:t>
      </w:r>
      <w:r>
        <w:tab/>
      </w:r>
      <w:r>
        <w:fldChar w:fldCharType="begin"/>
      </w:r>
      <w:r>
        <w:instrText xml:space="preserve"> PAGEREF _Toc3284 \h </w:instrText>
      </w:r>
      <w:r>
        <w:fldChar w:fldCharType="separate"/>
      </w:r>
      <w:r>
        <w:t>- 41 -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20BABA76">
      <w:pPr>
        <w:pStyle w:val="15"/>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_Toc18746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方正小标宋简体" w:hAnsi="方正小标宋简体" w:eastAsia="黑体" w:cs="黑体"/>
          <w:kern w:val="2"/>
          <w:szCs w:val="32"/>
          <w:lang w:val="en-US" w:eastAsia="zh-CN" w:bidi="ar-SA"/>
        </w:rPr>
        <w:t xml:space="preserve">第十一章 </w:t>
      </w:r>
      <w:r>
        <w:rPr>
          <w:rFonts w:hint="default" w:ascii="Times New Roman" w:hAnsi="Times New Roman" w:eastAsia="黑体" w:cs="Times New Roman"/>
          <w:kern w:val="2"/>
          <w:szCs w:val="24"/>
          <w:highlight w:val="none"/>
          <w:lang w:val="en-US" w:eastAsia="zh-CN" w:bidi="ar-SA"/>
        </w:rPr>
        <w:t>提质发展现代服务业</w:t>
      </w:r>
      <w:r>
        <w:tab/>
      </w:r>
      <w:r>
        <w:fldChar w:fldCharType="begin"/>
      </w:r>
      <w:r>
        <w:instrText xml:space="preserve"> PAGEREF _Toc18746 \h </w:instrText>
      </w:r>
      <w:r>
        <w:fldChar w:fldCharType="separate"/>
      </w:r>
      <w:r>
        <w:t>- 42 -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0817D839">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_Toc27432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第一节 </w:t>
      </w:r>
      <w:r>
        <w:rPr>
          <w:rFonts w:hint="default" w:ascii="Times New Roman" w:hAnsi="Times New Roman" w:eastAsia="楷体_GB2312" w:cs="Times New Roman"/>
          <w:bCs w:val="0"/>
          <w:kern w:val="2"/>
          <w:szCs w:val="32"/>
          <w:highlight w:val="none"/>
          <w:lang w:val="en-US" w:eastAsia="zh-CN" w:bidi="ar-SA"/>
        </w:rPr>
        <w:t>高标准发展生产性服务业</w:t>
      </w:r>
      <w:r>
        <w:tab/>
      </w:r>
      <w:r>
        <w:fldChar w:fldCharType="begin"/>
      </w:r>
      <w:r>
        <w:instrText xml:space="preserve"> PAGEREF _Toc27432 \h </w:instrText>
      </w:r>
      <w:r>
        <w:fldChar w:fldCharType="separate"/>
      </w:r>
      <w:r>
        <w:t>- 42 -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4D09D00F">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_Toc20075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第二节 </w:t>
      </w:r>
      <w:r>
        <w:rPr>
          <w:rFonts w:hint="default" w:ascii="Times New Roman" w:hAnsi="Times New Roman" w:eastAsia="楷体_GB2312" w:cs="Times New Roman"/>
          <w:bCs w:val="0"/>
          <w:kern w:val="2"/>
          <w:szCs w:val="32"/>
          <w:highlight w:val="none"/>
          <w:lang w:val="en-US" w:eastAsia="zh-CN" w:bidi="ar-SA"/>
        </w:rPr>
        <w:t>高品质发展生活性服务业</w:t>
      </w:r>
      <w:r>
        <w:tab/>
      </w:r>
      <w:r>
        <w:fldChar w:fldCharType="begin"/>
      </w:r>
      <w:r>
        <w:instrText xml:space="preserve"> PAGEREF _Toc20075 \h </w:instrText>
      </w:r>
      <w:r>
        <w:fldChar w:fldCharType="separate"/>
      </w:r>
      <w:r>
        <w:t>- 43 -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6AEF4806">
      <w:pPr>
        <w:pStyle w:val="15"/>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_Toc7722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方正小标宋简体" w:hAnsi="方正小标宋简体" w:eastAsia="黑体" w:cs="黑体"/>
          <w:kern w:val="2"/>
          <w:szCs w:val="32"/>
          <w:lang w:val="en-US" w:eastAsia="zh-CN" w:bidi="ar-SA"/>
        </w:rPr>
        <w:t xml:space="preserve">第十二章 </w:t>
      </w:r>
      <w:r>
        <w:rPr>
          <w:rFonts w:hint="default" w:ascii="Times New Roman" w:hAnsi="Times New Roman" w:eastAsia="黑体" w:cs="Times New Roman"/>
          <w:kern w:val="2"/>
          <w:szCs w:val="24"/>
          <w:highlight w:val="none"/>
          <w:lang w:val="en-US" w:eastAsia="zh-CN" w:bidi="ar-SA"/>
        </w:rPr>
        <w:t>大力培育战略性新兴产业</w:t>
      </w:r>
      <w:r>
        <w:tab/>
      </w:r>
      <w:r>
        <w:fldChar w:fldCharType="begin"/>
      </w:r>
      <w:r>
        <w:instrText xml:space="preserve"> PAGEREF _Toc7722 \h </w:instrText>
      </w:r>
      <w:r>
        <w:fldChar w:fldCharType="separate"/>
      </w:r>
      <w:r>
        <w:t>- 45 -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42C7E500">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_Toc1094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第一节 </w:t>
      </w:r>
      <w:r>
        <w:rPr>
          <w:rFonts w:hint="default" w:ascii="Times New Roman" w:hAnsi="Times New Roman" w:eastAsia="楷体_GB2312" w:cs="Times New Roman"/>
          <w:bCs w:val="0"/>
          <w:kern w:val="2"/>
          <w:szCs w:val="32"/>
          <w:highlight w:val="none"/>
          <w:lang w:val="en-US" w:eastAsia="zh-CN" w:bidi="ar-SA"/>
        </w:rPr>
        <w:t>打造低空多元应用场景</w:t>
      </w:r>
      <w:r>
        <w:tab/>
      </w:r>
      <w:r>
        <w:fldChar w:fldCharType="begin"/>
      </w:r>
      <w:r>
        <w:instrText xml:space="preserve"> PAGEREF _Toc1094 \h </w:instrText>
      </w:r>
      <w:r>
        <w:fldChar w:fldCharType="separate"/>
      </w:r>
      <w:r>
        <w:t>- 45 -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360FB781">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_Toc19480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第二节 </w:t>
      </w:r>
      <w:r>
        <w:rPr>
          <w:rFonts w:hint="default" w:ascii="Times New Roman" w:hAnsi="Times New Roman" w:eastAsia="楷体_GB2312" w:cs="Times New Roman"/>
          <w:bCs w:val="0"/>
          <w:kern w:val="2"/>
          <w:szCs w:val="32"/>
          <w:highlight w:val="none"/>
          <w:lang w:val="en-US" w:eastAsia="zh-CN" w:bidi="ar-SA"/>
        </w:rPr>
        <w:t>布局建设绿氢供应基地</w:t>
      </w:r>
      <w:r>
        <w:tab/>
      </w:r>
      <w:r>
        <w:fldChar w:fldCharType="begin"/>
      </w:r>
      <w:r>
        <w:instrText xml:space="preserve"> PAGEREF _Toc19480 \h </w:instrText>
      </w:r>
      <w:r>
        <w:fldChar w:fldCharType="separate"/>
      </w:r>
      <w:r>
        <w:t>- 46 -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5FB7AA16">
      <w:pPr>
        <w:pStyle w:val="14"/>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_Toc22432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方正小标宋简体" w:cs="Times New Roman"/>
          <w:spacing w:val="-6"/>
          <w:kern w:val="2"/>
          <w:szCs w:val="44"/>
          <w:lang w:val="en-US" w:eastAsia="zh-CN" w:bidi="ar-SA"/>
        </w:rPr>
        <w:t xml:space="preserve">第四篇 </w:t>
      </w:r>
      <w:r>
        <w:rPr>
          <w:rFonts w:hint="default" w:ascii="Times New Roman" w:hAnsi="Times New Roman" w:eastAsia="方正小标宋简体" w:cs="Times New Roman"/>
          <w:spacing w:val="-6"/>
          <w:kern w:val="2"/>
          <w:szCs w:val="44"/>
          <w:highlight w:val="none"/>
          <w:lang w:val="en-US" w:eastAsia="zh-CN" w:bidi="ar-SA"/>
        </w:rPr>
        <w:t>深化生态文明示范引领，绘就理县“两山”美丽画卷</w:t>
      </w:r>
      <w:r>
        <w:tab/>
      </w:r>
      <w:r>
        <w:fldChar w:fldCharType="begin"/>
      </w:r>
      <w:r>
        <w:instrText xml:space="preserve"> PAGEREF _Toc22432 \h </w:instrText>
      </w:r>
      <w:r>
        <w:fldChar w:fldCharType="separate"/>
      </w:r>
      <w:r>
        <w:t>- 47 -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1F0DE86E">
      <w:pPr>
        <w:pStyle w:val="15"/>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_Toc22459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方正小标宋简体" w:hAnsi="方正小标宋简体" w:eastAsia="黑体" w:cs="黑体"/>
          <w:kern w:val="2"/>
          <w:szCs w:val="32"/>
          <w:lang w:val="en-US" w:eastAsia="zh-CN" w:bidi="ar-SA"/>
        </w:rPr>
        <w:t xml:space="preserve">第十三章 </w:t>
      </w:r>
      <w:r>
        <w:rPr>
          <w:rFonts w:hint="default" w:ascii="Times New Roman" w:hAnsi="Times New Roman" w:eastAsia="黑体" w:cs="Times New Roman"/>
          <w:kern w:val="2"/>
          <w:szCs w:val="24"/>
          <w:highlight w:val="none"/>
          <w:lang w:val="en-US" w:eastAsia="zh-CN" w:bidi="ar-SA"/>
        </w:rPr>
        <w:t>构建全域生态保护格局</w:t>
      </w:r>
      <w:r>
        <w:tab/>
      </w:r>
      <w:r>
        <w:fldChar w:fldCharType="begin"/>
      </w:r>
      <w:r>
        <w:instrText xml:space="preserve"> PAGEREF _Toc22459 \h </w:instrText>
      </w:r>
      <w:r>
        <w:fldChar w:fldCharType="separate"/>
      </w:r>
      <w:r>
        <w:t>- 47 -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59223B43">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_Toc19522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第一节 </w:t>
      </w:r>
      <w:r>
        <w:rPr>
          <w:rFonts w:hint="default" w:ascii="Times New Roman" w:hAnsi="Times New Roman" w:eastAsia="楷体_GB2312" w:cs="Times New Roman"/>
          <w:bCs w:val="0"/>
          <w:kern w:val="2"/>
          <w:szCs w:val="32"/>
          <w:highlight w:val="none"/>
          <w:lang w:val="en-US" w:eastAsia="zh-CN" w:bidi="ar-SA"/>
        </w:rPr>
        <w:t>强化国土空间刚性约束</w:t>
      </w:r>
      <w:r>
        <w:tab/>
      </w:r>
      <w:r>
        <w:fldChar w:fldCharType="begin"/>
      </w:r>
      <w:r>
        <w:instrText xml:space="preserve"> PAGEREF _Toc19522 \h </w:instrText>
      </w:r>
      <w:r>
        <w:fldChar w:fldCharType="separate"/>
      </w:r>
      <w:r>
        <w:t>- 47 -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1BD18F3E">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_Toc14677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第二节 </w:t>
      </w:r>
      <w:r>
        <w:rPr>
          <w:rFonts w:hint="default" w:ascii="Times New Roman" w:hAnsi="Times New Roman" w:eastAsia="楷体_GB2312" w:cs="Times New Roman"/>
          <w:bCs w:val="0"/>
          <w:kern w:val="2"/>
          <w:szCs w:val="32"/>
          <w:highlight w:val="none"/>
          <w:lang w:val="en-US" w:eastAsia="zh-CN" w:bidi="ar-SA"/>
        </w:rPr>
        <w:t>强化重点生态功能区建设</w:t>
      </w:r>
      <w:r>
        <w:tab/>
      </w:r>
      <w:r>
        <w:fldChar w:fldCharType="begin"/>
      </w:r>
      <w:r>
        <w:instrText xml:space="preserve"> PAGEREF _Toc14677 \h </w:instrText>
      </w:r>
      <w:r>
        <w:fldChar w:fldCharType="separate"/>
      </w:r>
      <w:r>
        <w:t>- 47 -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0E12E775">
      <w:pPr>
        <w:pStyle w:val="15"/>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_Toc22168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方正小标宋简体" w:hAnsi="方正小标宋简体" w:eastAsia="黑体" w:cs="黑体"/>
          <w:kern w:val="2"/>
          <w:szCs w:val="32"/>
          <w:lang w:val="en-US" w:eastAsia="zh-CN" w:bidi="ar-SA"/>
        </w:rPr>
        <w:t xml:space="preserve">第十四章 </w:t>
      </w:r>
      <w:r>
        <w:rPr>
          <w:rFonts w:hint="default" w:ascii="Times New Roman" w:hAnsi="Times New Roman" w:eastAsia="黑体" w:cs="Times New Roman"/>
          <w:kern w:val="2"/>
          <w:szCs w:val="24"/>
          <w:highlight w:val="none"/>
          <w:lang w:val="en-US" w:eastAsia="zh-CN" w:bidi="ar-SA"/>
        </w:rPr>
        <w:t>加强生态系统保护修复</w:t>
      </w:r>
      <w:r>
        <w:tab/>
      </w:r>
      <w:r>
        <w:fldChar w:fldCharType="begin"/>
      </w:r>
      <w:r>
        <w:instrText xml:space="preserve"> PAGEREF _Toc22168 \h </w:instrText>
      </w:r>
      <w:r>
        <w:fldChar w:fldCharType="separate"/>
      </w:r>
      <w:r>
        <w:t>- 48 -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487612A2">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_Toc17416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第一节 </w:t>
      </w:r>
      <w:r>
        <w:rPr>
          <w:rFonts w:hint="default" w:ascii="Times New Roman" w:hAnsi="Times New Roman" w:eastAsia="楷体_GB2312" w:cs="Times New Roman"/>
          <w:bCs w:val="0"/>
          <w:kern w:val="2"/>
          <w:szCs w:val="32"/>
          <w:highlight w:val="none"/>
          <w:lang w:val="en-US" w:eastAsia="zh-CN" w:bidi="ar-SA"/>
        </w:rPr>
        <w:t>加强生物多样性保护</w:t>
      </w:r>
      <w:r>
        <w:tab/>
      </w:r>
      <w:r>
        <w:fldChar w:fldCharType="begin"/>
      </w:r>
      <w:r>
        <w:instrText xml:space="preserve"> PAGEREF _Toc17416 \h </w:instrText>
      </w:r>
      <w:r>
        <w:fldChar w:fldCharType="separate"/>
      </w:r>
      <w:r>
        <w:t>- 48 -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255512E4">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_Toc5117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第二节 </w:t>
      </w:r>
      <w:r>
        <w:rPr>
          <w:rFonts w:hint="default" w:ascii="Times New Roman" w:hAnsi="Times New Roman" w:eastAsia="楷体_GB2312" w:cs="Times New Roman"/>
          <w:bCs w:val="0"/>
          <w:kern w:val="2"/>
          <w:szCs w:val="32"/>
          <w:highlight w:val="none"/>
          <w:lang w:val="en-US" w:eastAsia="zh-CN" w:bidi="ar-SA"/>
        </w:rPr>
        <w:t>深入推进生态修复治理</w:t>
      </w:r>
      <w:r>
        <w:tab/>
      </w:r>
      <w:r>
        <w:fldChar w:fldCharType="begin"/>
      </w:r>
      <w:r>
        <w:instrText xml:space="preserve"> PAGEREF _Toc5117 \h </w:instrText>
      </w:r>
      <w:r>
        <w:fldChar w:fldCharType="separate"/>
      </w:r>
      <w:r>
        <w:t>- 48 -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699482A8">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_Toc25473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第三节 </w:t>
      </w:r>
      <w:r>
        <w:rPr>
          <w:rFonts w:hint="default" w:ascii="Times New Roman" w:hAnsi="Times New Roman" w:eastAsia="楷体_GB2312" w:cs="Times New Roman"/>
          <w:bCs w:val="0"/>
          <w:kern w:val="2"/>
          <w:szCs w:val="32"/>
          <w:highlight w:val="none"/>
          <w:lang w:val="en-US" w:eastAsia="zh-CN" w:bidi="ar-SA"/>
        </w:rPr>
        <w:t>健全生态系统保护制度</w:t>
      </w:r>
      <w:r>
        <w:tab/>
      </w:r>
      <w:r>
        <w:fldChar w:fldCharType="begin"/>
      </w:r>
      <w:r>
        <w:instrText xml:space="preserve"> PAGEREF _Toc25473 \h </w:instrText>
      </w:r>
      <w:r>
        <w:fldChar w:fldCharType="separate"/>
      </w:r>
      <w:r>
        <w:t>- 49 -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54EDB800">
      <w:pPr>
        <w:pStyle w:val="15"/>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_Toc24123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方正小标宋简体" w:hAnsi="方正小标宋简体" w:eastAsia="黑体" w:cs="黑体"/>
          <w:kern w:val="2"/>
          <w:szCs w:val="32"/>
          <w:lang w:val="en-US" w:eastAsia="zh-CN" w:bidi="ar-SA"/>
        </w:rPr>
        <w:t xml:space="preserve">第十五章 </w:t>
      </w:r>
      <w:r>
        <w:rPr>
          <w:rFonts w:hint="default" w:ascii="Times New Roman" w:hAnsi="Times New Roman" w:eastAsia="黑体" w:cs="Times New Roman"/>
          <w:kern w:val="2"/>
          <w:szCs w:val="24"/>
          <w:highlight w:val="none"/>
          <w:lang w:val="en-US" w:eastAsia="zh-CN" w:bidi="ar-SA"/>
        </w:rPr>
        <w:t>全面加强环境综合治理</w:t>
      </w:r>
      <w:r>
        <w:tab/>
      </w:r>
      <w:r>
        <w:fldChar w:fldCharType="begin"/>
      </w:r>
      <w:r>
        <w:instrText xml:space="preserve"> PAGEREF _Toc24123 \h </w:instrText>
      </w:r>
      <w:r>
        <w:fldChar w:fldCharType="separate"/>
      </w:r>
      <w:r>
        <w:t>- 50 -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39E51186">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_Toc31722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第一节 </w:t>
      </w:r>
      <w:r>
        <w:rPr>
          <w:rFonts w:hint="default" w:ascii="Times New Roman" w:hAnsi="Times New Roman" w:eastAsia="楷体_GB2312" w:cs="Times New Roman"/>
          <w:bCs w:val="0"/>
          <w:kern w:val="2"/>
          <w:szCs w:val="32"/>
          <w:highlight w:val="none"/>
          <w:lang w:val="en-US" w:eastAsia="zh-CN" w:bidi="ar-SA"/>
        </w:rPr>
        <w:t>持续深入打好蓝天保卫战</w:t>
      </w:r>
      <w:r>
        <w:tab/>
      </w:r>
      <w:r>
        <w:fldChar w:fldCharType="begin"/>
      </w:r>
      <w:r>
        <w:instrText xml:space="preserve"> PAGEREF _Toc31722 \h </w:instrText>
      </w:r>
      <w:r>
        <w:fldChar w:fldCharType="separate"/>
      </w:r>
      <w:r>
        <w:t>- 50 -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2E6647DE">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_Toc23607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第二节 </w:t>
      </w:r>
      <w:r>
        <w:rPr>
          <w:rFonts w:hint="default" w:ascii="Times New Roman" w:hAnsi="Times New Roman" w:eastAsia="楷体_GB2312" w:cs="Times New Roman"/>
          <w:bCs w:val="0"/>
          <w:kern w:val="2"/>
          <w:szCs w:val="32"/>
          <w:highlight w:val="none"/>
          <w:lang w:val="en-US" w:eastAsia="zh-CN" w:bidi="ar-SA"/>
        </w:rPr>
        <w:t>持续巩固碧水保卫战成果</w:t>
      </w:r>
      <w:r>
        <w:tab/>
      </w:r>
      <w:r>
        <w:fldChar w:fldCharType="begin"/>
      </w:r>
      <w:r>
        <w:instrText xml:space="preserve"> PAGEREF _Toc23607 \h </w:instrText>
      </w:r>
      <w:r>
        <w:fldChar w:fldCharType="separate"/>
      </w:r>
      <w:r>
        <w:t>- 51 -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30877267">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_Toc9836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第三节 </w:t>
      </w:r>
      <w:r>
        <w:rPr>
          <w:rFonts w:hint="default" w:ascii="Times New Roman" w:hAnsi="Times New Roman" w:eastAsia="楷体_GB2312" w:cs="Times New Roman"/>
          <w:bCs w:val="0"/>
          <w:kern w:val="2"/>
          <w:szCs w:val="32"/>
          <w:highlight w:val="none"/>
          <w:lang w:val="en-US" w:eastAsia="zh-CN" w:bidi="ar-SA"/>
        </w:rPr>
        <w:t>持续深入推进净土保卫战</w:t>
      </w:r>
      <w:r>
        <w:tab/>
      </w:r>
      <w:r>
        <w:fldChar w:fldCharType="begin"/>
      </w:r>
      <w:r>
        <w:instrText xml:space="preserve"> PAGEREF _Toc9836 \h </w:instrText>
      </w:r>
      <w:r>
        <w:fldChar w:fldCharType="separate"/>
      </w:r>
      <w:r>
        <w:t>- 51 -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6341A06F">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_Toc234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第四节 </w:t>
      </w:r>
      <w:r>
        <w:rPr>
          <w:rFonts w:hint="default" w:ascii="Times New Roman" w:hAnsi="Times New Roman" w:eastAsia="楷体_GB2312" w:cs="Times New Roman"/>
          <w:bCs w:val="0"/>
          <w:kern w:val="2"/>
          <w:szCs w:val="32"/>
          <w:highlight w:val="none"/>
          <w:lang w:val="en-US" w:eastAsia="zh-CN" w:bidi="ar-SA"/>
        </w:rPr>
        <w:t>持续推进城乡环境提质</w:t>
      </w:r>
      <w:r>
        <w:tab/>
      </w:r>
      <w:r>
        <w:fldChar w:fldCharType="begin"/>
      </w:r>
      <w:r>
        <w:instrText xml:space="preserve"> PAGEREF _Toc234 \h </w:instrText>
      </w:r>
      <w:r>
        <w:fldChar w:fldCharType="separate"/>
      </w:r>
      <w:r>
        <w:t>- 52 -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161DCEF1">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_Toc5836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第五节 </w:t>
      </w:r>
      <w:r>
        <w:rPr>
          <w:rFonts w:hint="default" w:ascii="Times New Roman" w:hAnsi="Times New Roman" w:eastAsia="楷体_GB2312" w:cs="Times New Roman"/>
          <w:bCs w:val="0"/>
          <w:kern w:val="2"/>
          <w:szCs w:val="32"/>
          <w:highlight w:val="none"/>
          <w:lang w:val="en-US" w:eastAsia="zh-CN" w:bidi="ar-SA"/>
        </w:rPr>
        <w:t>提高生态环境治理能力</w:t>
      </w:r>
      <w:r>
        <w:tab/>
      </w:r>
      <w:r>
        <w:fldChar w:fldCharType="begin"/>
      </w:r>
      <w:r>
        <w:instrText xml:space="preserve"> PAGEREF _Toc5836 \h </w:instrText>
      </w:r>
      <w:r>
        <w:fldChar w:fldCharType="separate"/>
      </w:r>
      <w:r>
        <w:t>- 52 -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7965AFDC">
      <w:pPr>
        <w:pStyle w:val="15"/>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_Toc13063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方正小标宋简体" w:hAnsi="方正小标宋简体" w:eastAsia="黑体" w:cs="黑体"/>
          <w:kern w:val="2"/>
          <w:szCs w:val="32"/>
          <w:lang w:val="en-US" w:eastAsia="zh-CN" w:bidi="ar-SA"/>
        </w:rPr>
        <w:t xml:space="preserve">第十六章 </w:t>
      </w:r>
      <w:r>
        <w:rPr>
          <w:rFonts w:hint="default" w:ascii="Times New Roman" w:hAnsi="Times New Roman" w:eastAsia="黑体" w:cs="Times New Roman"/>
          <w:kern w:val="2"/>
          <w:szCs w:val="24"/>
          <w:highlight w:val="none"/>
          <w:lang w:val="en-US" w:eastAsia="zh-CN" w:bidi="ar-SA"/>
        </w:rPr>
        <w:t>加快促进绿色低碳转型</w:t>
      </w:r>
      <w:r>
        <w:tab/>
      </w:r>
      <w:r>
        <w:fldChar w:fldCharType="begin"/>
      </w:r>
      <w:r>
        <w:instrText xml:space="preserve"> PAGEREF _Toc13063 \h </w:instrText>
      </w:r>
      <w:r>
        <w:fldChar w:fldCharType="separate"/>
      </w:r>
      <w:r>
        <w:t>- 53 -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4CC01D06">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_Toc6886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第一节 </w:t>
      </w:r>
      <w:r>
        <w:rPr>
          <w:rFonts w:hint="default" w:ascii="Times New Roman" w:hAnsi="Times New Roman" w:eastAsia="楷体_GB2312" w:cs="Times New Roman"/>
          <w:bCs w:val="0"/>
          <w:kern w:val="2"/>
          <w:szCs w:val="32"/>
          <w:highlight w:val="none"/>
          <w:lang w:val="en-US" w:eastAsia="zh-CN" w:bidi="ar-SA"/>
        </w:rPr>
        <w:t>全面提高资源利用效率</w:t>
      </w:r>
      <w:r>
        <w:tab/>
      </w:r>
      <w:r>
        <w:fldChar w:fldCharType="begin"/>
      </w:r>
      <w:r>
        <w:instrText xml:space="preserve"> PAGEREF _Toc6886 \h </w:instrText>
      </w:r>
      <w:r>
        <w:fldChar w:fldCharType="separate"/>
      </w:r>
      <w:r>
        <w:t>- 53 -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41AEA70A">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_Toc27400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第二节 </w:t>
      </w:r>
      <w:r>
        <w:rPr>
          <w:rFonts w:hint="default" w:ascii="Times New Roman" w:hAnsi="Times New Roman" w:eastAsia="楷体_GB2312" w:cs="Times New Roman"/>
          <w:bCs w:val="0"/>
          <w:kern w:val="2"/>
          <w:szCs w:val="32"/>
          <w:highlight w:val="none"/>
          <w:lang w:val="en-US" w:eastAsia="zh-CN" w:bidi="ar-SA"/>
        </w:rPr>
        <w:t>大力发展绿色生态产业</w:t>
      </w:r>
      <w:r>
        <w:tab/>
      </w:r>
      <w:r>
        <w:fldChar w:fldCharType="begin"/>
      </w:r>
      <w:r>
        <w:instrText xml:space="preserve"> PAGEREF _Toc27400 \h </w:instrText>
      </w:r>
      <w:r>
        <w:fldChar w:fldCharType="separate"/>
      </w:r>
      <w:r>
        <w:t>- 54 -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71EC7B68">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_Toc27414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第三节 </w:t>
      </w:r>
      <w:r>
        <w:rPr>
          <w:rFonts w:hint="default" w:ascii="Times New Roman" w:hAnsi="Times New Roman" w:eastAsia="楷体_GB2312" w:cs="Times New Roman"/>
          <w:bCs w:val="0"/>
          <w:kern w:val="2"/>
          <w:szCs w:val="32"/>
          <w:highlight w:val="none"/>
          <w:lang w:val="en-US" w:eastAsia="zh-CN" w:bidi="ar-SA"/>
        </w:rPr>
        <w:t>积极倡导绿色生活方式</w:t>
      </w:r>
      <w:r>
        <w:tab/>
      </w:r>
      <w:r>
        <w:fldChar w:fldCharType="begin"/>
      </w:r>
      <w:r>
        <w:instrText xml:space="preserve"> PAGEREF _Toc27414 \h </w:instrText>
      </w:r>
      <w:r>
        <w:fldChar w:fldCharType="separate"/>
      </w:r>
      <w:r>
        <w:t>- 54 -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42CFCAAB">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_Toc17018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第四节 </w:t>
      </w:r>
      <w:r>
        <w:rPr>
          <w:rFonts w:hint="default" w:ascii="Times New Roman" w:hAnsi="Times New Roman" w:eastAsia="楷体_GB2312" w:cs="Times New Roman"/>
          <w:bCs w:val="0"/>
          <w:kern w:val="2"/>
          <w:szCs w:val="32"/>
          <w:highlight w:val="none"/>
          <w:lang w:val="en-US" w:eastAsia="zh-CN" w:bidi="ar-SA"/>
        </w:rPr>
        <w:t>探索生态价值转化机制</w:t>
      </w:r>
      <w:r>
        <w:tab/>
      </w:r>
      <w:r>
        <w:fldChar w:fldCharType="begin"/>
      </w:r>
      <w:r>
        <w:instrText xml:space="preserve"> PAGEREF _Toc17018 \h </w:instrText>
      </w:r>
      <w:r>
        <w:fldChar w:fldCharType="separate"/>
      </w:r>
      <w:r>
        <w:t>- 55 -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67A1E4B9">
      <w:pPr>
        <w:pStyle w:val="14"/>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_Toc31441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方正小标宋简体" w:cs="Times New Roman"/>
          <w:kern w:val="2"/>
          <w:szCs w:val="44"/>
          <w:lang w:val="en-US" w:eastAsia="zh-CN" w:bidi="ar-SA"/>
        </w:rPr>
        <w:t xml:space="preserve">第五篇 </w:t>
      </w:r>
      <w:r>
        <w:rPr>
          <w:rFonts w:hint="default" w:ascii="Times New Roman" w:hAnsi="Times New Roman" w:eastAsia="方正小标宋简体" w:cs="Times New Roman"/>
          <w:kern w:val="2"/>
          <w:szCs w:val="44"/>
          <w:highlight w:val="none"/>
          <w:lang w:val="en-US" w:eastAsia="zh-CN" w:bidi="ar-SA"/>
        </w:rPr>
        <w:t>完善基础设施建设布局，筑牢经济发展坚实根基</w:t>
      </w:r>
      <w:r>
        <w:tab/>
      </w:r>
      <w:r>
        <w:fldChar w:fldCharType="begin"/>
      </w:r>
      <w:r>
        <w:instrText xml:space="preserve"> PAGEREF _Toc31441 \h </w:instrText>
      </w:r>
      <w:r>
        <w:fldChar w:fldCharType="separate"/>
      </w:r>
      <w:r>
        <w:t>- 57 -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2A57853E">
      <w:pPr>
        <w:pStyle w:val="15"/>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_Toc1721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方正小标宋简体" w:hAnsi="方正小标宋简体" w:eastAsia="黑体" w:cs="黑体"/>
          <w:kern w:val="2"/>
          <w:szCs w:val="32"/>
          <w:lang w:val="en-US" w:eastAsia="zh-CN" w:bidi="ar-SA"/>
        </w:rPr>
        <w:t xml:space="preserve">第十七章 </w:t>
      </w:r>
      <w:r>
        <w:rPr>
          <w:rFonts w:hint="default" w:ascii="Times New Roman" w:hAnsi="Times New Roman" w:eastAsia="黑体" w:cs="Times New Roman"/>
          <w:kern w:val="2"/>
          <w:szCs w:val="24"/>
          <w:highlight w:val="none"/>
          <w:lang w:val="en-US" w:eastAsia="zh-CN" w:bidi="ar-SA"/>
        </w:rPr>
        <w:t>构建综合交通运输体系</w:t>
      </w:r>
      <w:r>
        <w:tab/>
      </w:r>
      <w:r>
        <w:fldChar w:fldCharType="begin"/>
      </w:r>
      <w:r>
        <w:instrText xml:space="preserve"> PAGEREF _Toc1721 \h </w:instrText>
      </w:r>
      <w:r>
        <w:fldChar w:fldCharType="separate"/>
      </w:r>
      <w:r>
        <w:t>- 57 -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51A51AE5">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_Toc13036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第一节 </w:t>
      </w:r>
      <w:r>
        <w:rPr>
          <w:rFonts w:hint="default" w:ascii="Times New Roman" w:hAnsi="Times New Roman" w:eastAsia="楷体_GB2312" w:cs="Times New Roman"/>
          <w:bCs w:val="0"/>
          <w:kern w:val="2"/>
          <w:szCs w:val="32"/>
          <w:highlight w:val="none"/>
          <w:lang w:val="en-US" w:eastAsia="zh-CN" w:bidi="ar-SA"/>
        </w:rPr>
        <w:t>强化对外交通网络建设</w:t>
      </w:r>
      <w:r>
        <w:tab/>
      </w:r>
      <w:r>
        <w:fldChar w:fldCharType="begin"/>
      </w:r>
      <w:r>
        <w:instrText xml:space="preserve"> PAGEREF _Toc13036 \h </w:instrText>
      </w:r>
      <w:r>
        <w:fldChar w:fldCharType="separate"/>
      </w:r>
      <w:r>
        <w:t>- 57 -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00C07514">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_Toc12925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第二节 </w:t>
      </w:r>
      <w:r>
        <w:rPr>
          <w:rFonts w:hint="default" w:ascii="Times New Roman" w:hAnsi="Times New Roman" w:eastAsia="楷体_GB2312" w:cs="Times New Roman"/>
          <w:bCs w:val="0"/>
          <w:kern w:val="2"/>
          <w:szCs w:val="32"/>
          <w:highlight w:val="none"/>
          <w:lang w:val="en-US" w:eastAsia="zh-CN" w:bidi="ar-SA"/>
        </w:rPr>
        <w:t>升级内部路网服务能级</w:t>
      </w:r>
      <w:r>
        <w:tab/>
      </w:r>
      <w:r>
        <w:fldChar w:fldCharType="begin"/>
      </w:r>
      <w:r>
        <w:instrText xml:space="preserve"> PAGEREF _Toc12925 \h </w:instrText>
      </w:r>
      <w:r>
        <w:fldChar w:fldCharType="separate"/>
      </w:r>
      <w:r>
        <w:t>- 57 -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4B449794">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_Toc2938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第三节 </w:t>
      </w:r>
      <w:r>
        <w:rPr>
          <w:rFonts w:hint="default" w:ascii="Times New Roman" w:hAnsi="Times New Roman" w:eastAsia="楷体_GB2312" w:cs="Times New Roman"/>
          <w:bCs w:val="0"/>
          <w:kern w:val="2"/>
          <w:szCs w:val="32"/>
          <w:highlight w:val="none"/>
          <w:lang w:val="en-US" w:eastAsia="zh-CN" w:bidi="ar-SA"/>
        </w:rPr>
        <w:t>积极发展绿色智慧交通</w:t>
      </w:r>
      <w:r>
        <w:tab/>
      </w:r>
      <w:r>
        <w:fldChar w:fldCharType="begin"/>
      </w:r>
      <w:r>
        <w:instrText xml:space="preserve"> PAGEREF _Toc2938 \h </w:instrText>
      </w:r>
      <w:r>
        <w:fldChar w:fldCharType="separate"/>
      </w:r>
      <w:r>
        <w:t>- 58 -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66DF7518">
      <w:pPr>
        <w:pStyle w:val="15"/>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_Toc3305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方正小标宋简体" w:hAnsi="方正小标宋简体" w:eastAsia="黑体" w:cs="黑体"/>
          <w:kern w:val="2"/>
          <w:szCs w:val="32"/>
          <w:lang w:val="en-US" w:eastAsia="zh-CN" w:bidi="ar-SA"/>
        </w:rPr>
        <w:t xml:space="preserve">第十八章 </w:t>
      </w:r>
      <w:r>
        <w:rPr>
          <w:rFonts w:hint="default" w:ascii="Times New Roman" w:hAnsi="Times New Roman" w:eastAsia="黑体" w:cs="Times New Roman"/>
          <w:kern w:val="2"/>
          <w:szCs w:val="24"/>
          <w:highlight w:val="none"/>
          <w:lang w:val="en-US" w:eastAsia="zh-CN" w:bidi="ar-SA"/>
        </w:rPr>
        <w:t>提升能源供给保障水平</w:t>
      </w:r>
      <w:r>
        <w:tab/>
      </w:r>
      <w:r>
        <w:fldChar w:fldCharType="begin"/>
      </w:r>
      <w:r>
        <w:instrText xml:space="preserve"> PAGEREF _Toc3305 \h </w:instrText>
      </w:r>
      <w:r>
        <w:fldChar w:fldCharType="separate"/>
      </w:r>
      <w:r>
        <w:t>- 60 -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24D1999E">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_Toc26905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第一节 </w:t>
      </w:r>
      <w:r>
        <w:rPr>
          <w:rFonts w:hint="default" w:ascii="Times New Roman" w:hAnsi="Times New Roman" w:eastAsia="楷体_GB2312" w:cs="Times New Roman"/>
          <w:bCs w:val="0"/>
          <w:kern w:val="2"/>
          <w:szCs w:val="32"/>
          <w:highlight w:val="none"/>
          <w:lang w:val="en-US" w:eastAsia="zh-CN" w:bidi="ar-SA"/>
        </w:rPr>
        <w:t>增强城乡电力稳供能力</w:t>
      </w:r>
      <w:r>
        <w:tab/>
      </w:r>
      <w:r>
        <w:fldChar w:fldCharType="begin"/>
      </w:r>
      <w:r>
        <w:instrText xml:space="preserve"> PAGEREF _Toc26905 \h </w:instrText>
      </w:r>
      <w:r>
        <w:fldChar w:fldCharType="separate"/>
      </w:r>
      <w:r>
        <w:t>- 60 -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2E1C3DF5">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_Toc25085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第二节 </w:t>
      </w:r>
      <w:r>
        <w:rPr>
          <w:rFonts w:hint="default" w:ascii="Times New Roman" w:hAnsi="Times New Roman" w:eastAsia="楷体_GB2312" w:cs="Times New Roman"/>
          <w:bCs w:val="0"/>
          <w:kern w:val="2"/>
          <w:szCs w:val="32"/>
          <w:highlight w:val="none"/>
          <w:lang w:val="en-US" w:eastAsia="zh-CN" w:bidi="ar-SA"/>
        </w:rPr>
        <w:t>构建多元能源供应体系</w:t>
      </w:r>
      <w:r>
        <w:tab/>
      </w:r>
      <w:r>
        <w:fldChar w:fldCharType="begin"/>
      </w:r>
      <w:r>
        <w:instrText xml:space="preserve"> PAGEREF _Toc25085 \h </w:instrText>
      </w:r>
      <w:r>
        <w:fldChar w:fldCharType="separate"/>
      </w:r>
      <w:r>
        <w:t>- 60 -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03013FBC">
      <w:pPr>
        <w:pStyle w:val="15"/>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_Toc553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方正小标宋简体" w:hAnsi="方正小标宋简体" w:eastAsia="黑体" w:cs="黑体"/>
          <w:kern w:val="2"/>
          <w:szCs w:val="32"/>
          <w:lang w:val="en-US" w:eastAsia="zh-CN" w:bidi="ar-SA"/>
        </w:rPr>
        <w:t xml:space="preserve">第十九章 </w:t>
      </w:r>
      <w:r>
        <w:rPr>
          <w:rFonts w:hint="default" w:ascii="Times New Roman" w:hAnsi="Times New Roman" w:eastAsia="黑体" w:cs="Times New Roman"/>
          <w:kern w:val="2"/>
          <w:szCs w:val="24"/>
          <w:highlight w:val="none"/>
          <w:lang w:val="en-US" w:eastAsia="zh-CN" w:bidi="ar-SA"/>
        </w:rPr>
        <w:t>完善水利基础设施建设</w:t>
      </w:r>
      <w:r>
        <w:tab/>
      </w:r>
      <w:r>
        <w:fldChar w:fldCharType="begin"/>
      </w:r>
      <w:r>
        <w:instrText xml:space="preserve"> PAGEREF _Toc553 \h </w:instrText>
      </w:r>
      <w:r>
        <w:fldChar w:fldCharType="separate"/>
      </w:r>
      <w:r>
        <w:t>- 61 -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2FFC9137">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_Toc10129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第一节 </w:t>
      </w:r>
      <w:r>
        <w:rPr>
          <w:rFonts w:hint="default" w:ascii="Times New Roman" w:hAnsi="Times New Roman" w:eastAsia="楷体_GB2312" w:cs="Times New Roman"/>
          <w:bCs w:val="0"/>
          <w:kern w:val="2"/>
          <w:szCs w:val="32"/>
          <w:highlight w:val="none"/>
          <w:lang w:val="en-US" w:eastAsia="zh-CN" w:bidi="ar-SA"/>
        </w:rPr>
        <w:t>推进农田水利工程建设</w:t>
      </w:r>
      <w:r>
        <w:tab/>
      </w:r>
      <w:r>
        <w:fldChar w:fldCharType="begin"/>
      </w:r>
      <w:r>
        <w:instrText xml:space="preserve"> PAGEREF _Toc10129 \h </w:instrText>
      </w:r>
      <w:r>
        <w:fldChar w:fldCharType="separate"/>
      </w:r>
      <w:r>
        <w:t>- 61 -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27EE5DE1">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_Toc29254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第二节 </w:t>
      </w:r>
      <w:r>
        <w:rPr>
          <w:rFonts w:hint="default" w:ascii="Times New Roman" w:hAnsi="Times New Roman" w:eastAsia="楷体_GB2312" w:cs="Times New Roman"/>
          <w:bCs w:val="0"/>
          <w:kern w:val="2"/>
          <w:szCs w:val="32"/>
          <w:highlight w:val="none"/>
          <w:lang w:val="en-US" w:eastAsia="zh-CN" w:bidi="ar-SA"/>
        </w:rPr>
        <w:t>筑牢城乡防洪安全屏障</w:t>
      </w:r>
      <w:r>
        <w:tab/>
      </w:r>
      <w:r>
        <w:fldChar w:fldCharType="begin"/>
      </w:r>
      <w:r>
        <w:instrText xml:space="preserve"> PAGEREF _Toc29254 \h </w:instrText>
      </w:r>
      <w:r>
        <w:fldChar w:fldCharType="separate"/>
      </w:r>
      <w:r>
        <w:t>- 62 -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7C9729AD">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_Toc15180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第三节 </w:t>
      </w:r>
      <w:r>
        <w:rPr>
          <w:rFonts w:hint="default" w:ascii="Times New Roman" w:hAnsi="Times New Roman" w:eastAsia="楷体_GB2312" w:cs="Times New Roman"/>
          <w:bCs w:val="0"/>
          <w:kern w:val="2"/>
          <w:szCs w:val="32"/>
          <w:highlight w:val="none"/>
          <w:lang w:val="en-US" w:eastAsia="zh-CN" w:bidi="ar-SA"/>
        </w:rPr>
        <w:t>提高城乡供水保障能力</w:t>
      </w:r>
      <w:r>
        <w:tab/>
      </w:r>
      <w:r>
        <w:fldChar w:fldCharType="begin"/>
      </w:r>
      <w:r>
        <w:instrText xml:space="preserve"> PAGEREF _Toc15180 \h </w:instrText>
      </w:r>
      <w:r>
        <w:fldChar w:fldCharType="separate"/>
      </w:r>
      <w:r>
        <w:t>- 62 -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202EF940">
      <w:pPr>
        <w:pStyle w:val="15"/>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_Toc5878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方正小标宋简体" w:hAnsi="方正小标宋简体" w:eastAsia="黑体" w:cs="黑体"/>
          <w:kern w:val="2"/>
          <w:szCs w:val="32"/>
          <w:lang w:val="en-US" w:eastAsia="zh-CN" w:bidi="ar-SA"/>
        </w:rPr>
        <w:t xml:space="preserve">第二十章 </w:t>
      </w:r>
      <w:r>
        <w:rPr>
          <w:rFonts w:hint="default" w:ascii="Times New Roman" w:hAnsi="Times New Roman" w:eastAsia="黑体" w:cs="Times New Roman"/>
          <w:kern w:val="2"/>
          <w:szCs w:val="24"/>
          <w:highlight w:val="none"/>
          <w:lang w:val="en-US" w:eastAsia="zh-CN" w:bidi="ar-SA"/>
        </w:rPr>
        <w:t>构建智慧服务体系网络</w:t>
      </w:r>
      <w:r>
        <w:tab/>
      </w:r>
      <w:r>
        <w:fldChar w:fldCharType="begin"/>
      </w:r>
      <w:r>
        <w:instrText xml:space="preserve"> PAGEREF _Toc5878 \h </w:instrText>
      </w:r>
      <w:r>
        <w:fldChar w:fldCharType="separate"/>
      </w:r>
      <w:r>
        <w:t>- 64 -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272FA273">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_Toc2357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第一节 </w:t>
      </w:r>
      <w:r>
        <w:rPr>
          <w:rFonts w:hint="default" w:ascii="Times New Roman" w:hAnsi="Times New Roman" w:eastAsia="楷体_GB2312" w:cs="Times New Roman"/>
          <w:bCs w:val="0"/>
          <w:kern w:val="2"/>
          <w:szCs w:val="32"/>
          <w:highlight w:val="none"/>
          <w:lang w:val="en-US" w:eastAsia="zh-CN" w:bidi="ar-SA"/>
        </w:rPr>
        <w:t>加快新一代网络基础设施建设</w:t>
      </w:r>
      <w:r>
        <w:tab/>
      </w:r>
      <w:r>
        <w:fldChar w:fldCharType="begin"/>
      </w:r>
      <w:r>
        <w:instrText xml:space="preserve"> PAGEREF _Toc2357 \h </w:instrText>
      </w:r>
      <w:r>
        <w:fldChar w:fldCharType="separate"/>
      </w:r>
      <w:r>
        <w:t>- 64 -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391DE523">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_Toc26224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第二节 </w:t>
      </w:r>
      <w:r>
        <w:rPr>
          <w:rFonts w:hint="default" w:ascii="Times New Roman" w:hAnsi="Times New Roman" w:eastAsia="楷体_GB2312" w:cs="Times New Roman"/>
          <w:bCs w:val="0"/>
          <w:kern w:val="2"/>
          <w:szCs w:val="32"/>
          <w:highlight w:val="none"/>
          <w:lang w:val="en-US" w:eastAsia="zh-CN" w:bidi="ar-SA"/>
        </w:rPr>
        <w:t>推进“城市大脑”全域赋能</w:t>
      </w:r>
      <w:r>
        <w:tab/>
      </w:r>
      <w:r>
        <w:fldChar w:fldCharType="begin"/>
      </w:r>
      <w:r>
        <w:instrText xml:space="preserve"> PAGEREF _Toc26224 \h </w:instrText>
      </w:r>
      <w:r>
        <w:fldChar w:fldCharType="separate"/>
      </w:r>
      <w:r>
        <w:t>- 64 -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3BB6F6B5">
      <w:pPr>
        <w:pStyle w:val="14"/>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_Toc10183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方正小标宋简体" w:cs="Times New Roman"/>
          <w:kern w:val="2"/>
          <w:szCs w:val="44"/>
          <w:lang w:val="en-US" w:eastAsia="zh-CN" w:bidi="ar-SA"/>
        </w:rPr>
        <w:t xml:space="preserve">第六篇 </w:t>
      </w:r>
      <w:r>
        <w:rPr>
          <w:rFonts w:hint="default" w:ascii="Times New Roman" w:hAnsi="Times New Roman" w:eastAsia="方正小标宋简体" w:cs="Times New Roman"/>
          <w:kern w:val="2"/>
          <w:szCs w:val="44"/>
          <w:highlight w:val="none"/>
          <w:lang w:val="en-US" w:eastAsia="zh-CN" w:bidi="ar-SA"/>
        </w:rPr>
        <w:t>拓展对外开放多元格局，助力全域资源合作共赢</w:t>
      </w:r>
      <w:r>
        <w:tab/>
      </w:r>
      <w:r>
        <w:fldChar w:fldCharType="begin"/>
      </w:r>
      <w:r>
        <w:instrText xml:space="preserve"> PAGEREF _Toc10183 \h </w:instrText>
      </w:r>
      <w:r>
        <w:fldChar w:fldCharType="separate"/>
      </w:r>
      <w:r>
        <w:t>- 66 -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3D58DA3A">
      <w:pPr>
        <w:pStyle w:val="15"/>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_Toc14815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方正小标宋简体" w:hAnsi="方正小标宋简体" w:eastAsia="黑体" w:cs="黑体"/>
          <w:kern w:val="2"/>
          <w:szCs w:val="32"/>
          <w:lang w:val="en-US" w:eastAsia="zh-CN" w:bidi="ar-SA"/>
        </w:rPr>
        <w:t xml:space="preserve">第二十一章 </w:t>
      </w:r>
      <w:r>
        <w:rPr>
          <w:rFonts w:hint="default" w:ascii="Times New Roman" w:hAnsi="Times New Roman" w:eastAsia="黑体" w:cs="Times New Roman"/>
          <w:kern w:val="2"/>
          <w:szCs w:val="24"/>
          <w:highlight w:val="none"/>
          <w:lang w:val="en-US" w:eastAsia="zh-CN" w:bidi="ar-SA"/>
        </w:rPr>
        <w:t>聚焦重点领域深化改革</w:t>
      </w:r>
      <w:r>
        <w:tab/>
      </w:r>
      <w:r>
        <w:fldChar w:fldCharType="begin"/>
      </w:r>
      <w:r>
        <w:instrText xml:space="preserve"> PAGEREF _Toc14815 \h </w:instrText>
      </w:r>
      <w:r>
        <w:fldChar w:fldCharType="separate"/>
      </w:r>
      <w:r>
        <w:t>- 66 -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676B41A2">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_Toc7602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第一节 </w:t>
      </w:r>
      <w:r>
        <w:rPr>
          <w:rFonts w:hint="default" w:ascii="Times New Roman" w:hAnsi="Times New Roman" w:eastAsia="楷体_GB2312" w:cs="Times New Roman"/>
          <w:bCs w:val="0"/>
          <w:kern w:val="2"/>
          <w:szCs w:val="32"/>
          <w:highlight w:val="none"/>
          <w:lang w:val="en-US" w:eastAsia="zh-CN" w:bidi="ar-SA"/>
        </w:rPr>
        <w:t>持续深化国资国企改革</w:t>
      </w:r>
      <w:r>
        <w:tab/>
      </w:r>
      <w:r>
        <w:fldChar w:fldCharType="begin"/>
      </w:r>
      <w:r>
        <w:instrText xml:space="preserve"> PAGEREF _Toc7602 \h </w:instrText>
      </w:r>
      <w:r>
        <w:fldChar w:fldCharType="separate"/>
      </w:r>
      <w:r>
        <w:t>- 66 -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2A88C877">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_Toc3737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第二节 </w:t>
      </w:r>
      <w:r>
        <w:rPr>
          <w:rFonts w:hint="default" w:ascii="Times New Roman" w:hAnsi="Times New Roman" w:eastAsia="楷体_GB2312" w:cs="Times New Roman"/>
          <w:bCs w:val="0"/>
          <w:kern w:val="2"/>
          <w:szCs w:val="32"/>
          <w:highlight w:val="none"/>
          <w:lang w:val="en-US" w:eastAsia="zh-CN" w:bidi="ar-SA"/>
        </w:rPr>
        <w:t>建立现代财税金融体制</w:t>
      </w:r>
      <w:r>
        <w:tab/>
      </w:r>
      <w:r>
        <w:fldChar w:fldCharType="begin"/>
      </w:r>
      <w:r>
        <w:instrText xml:space="preserve"> PAGEREF _Toc3737 \h </w:instrText>
      </w:r>
      <w:r>
        <w:fldChar w:fldCharType="separate"/>
      </w:r>
      <w:r>
        <w:t>- 67 -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2B8D506D">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_Toc26294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第三节 </w:t>
      </w:r>
      <w:r>
        <w:rPr>
          <w:rFonts w:hint="default" w:ascii="Times New Roman" w:hAnsi="Times New Roman" w:eastAsia="楷体_GB2312" w:cs="Times New Roman"/>
          <w:bCs w:val="0"/>
          <w:kern w:val="2"/>
          <w:szCs w:val="32"/>
          <w:highlight w:val="none"/>
          <w:lang w:val="en-US" w:eastAsia="zh-CN" w:bidi="ar-SA"/>
        </w:rPr>
        <w:t>推进景区管理体制改革</w:t>
      </w:r>
      <w:r>
        <w:tab/>
      </w:r>
      <w:r>
        <w:fldChar w:fldCharType="begin"/>
      </w:r>
      <w:r>
        <w:instrText xml:space="preserve"> PAGEREF _Toc26294 \h </w:instrText>
      </w:r>
      <w:r>
        <w:fldChar w:fldCharType="separate"/>
      </w:r>
      <w:r>
        <w:t>- 67 -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3F0418EC">
      <w:pPr>
        <w:pStyle w:val="15"/>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_Toc7704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方正小标宋简体" w:hAnsi="方正小标宋简体" w:eastAsia="黑体" w:cs="黑体"/>
          <w:kern w:val="2"/>
          <w:szCs w:val="32"/>
          <w:lang w:val="en-US" w:eastAsia="zh-CN" w:bidi="ar-SA"/>
        </w:rPr>
        <w:t xml:space="preserve">第二十二章 </w:t>
      </w:r>
      <w:r>
        <w:rPr>
          <w:rFonts w:hint="default" w:ascii="Times New Roman" w:hAnsi="Times New Roman" w:eastAsia="黑体" w:cs="Times New Roman"/>
          <w:kern w:val="2"/>
          <w:szCs w:val="24"/>
          <w:highlight w:val="none"/>
          <w:lang w:val="en-US" w:eastAsia="zh-CN" w:bidi="ar-SA"/>
        </w:rPr>
        <w:t>聚力区域协作合作共赢</w:t>
      </w:r>
      <w:r>
        <w:tab/>
      </w:r>
      <w:r>
        <w:fldChar w:fldCharType="begin"/>
      </w:r>
      <w:r>
        <w:instrText xml:space="preserve"> PAGEREF _Toc7704 \h </w:instrText>
      </w:r>
      <w:r>
        <w:fldChar w:fldCharType="separate"/>
      </w:r>
      <w:r>
        <w:t>- 68 -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38E79CE8">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_Toc14390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第一节 </w:t>
      </w:r>
      <w:r>
        <w:rPr>
          <w:rFonts w:hint="default" w:ascii="Times New Roman" w:hAnsi="Times New Roman" w:eastAsia="楷体_GB2312" w:cs="Times New Roman"/>
          <w:bCs w:val="0"/>
          <w:kern w:val="2"/>
          <w:szCs w:val="32"/>
          <w:highlight w:val="none"/>
          <w:lang w:val="en-US" w:eastAsia="zh-CN" w:bidi="ar-SA"/>
        </w:rPr>
        <w:t>全面融入成渝地区双城经济圈</w:t>
      </w:r>
      <w:r>
        <w:tab/>
      </w:r>
      <w:r>
        <w:fldChar w:fldCharType="begin"/>
      </w:r>
      <w:r>
        <w:instrText xml:space="preserve"> PAGEREF _Toc14390 \h </w:instrText>
      </w:r>
      <w:r>
        <w:fldChar w:fldCharType="separate"/>
      </w:r>
      <w:r>
        <w:t>- 68 -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3B354510">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_Toc27325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第二节 </w:t>
      </w:r>
      <w:r>
        <w:rPr>
          <w:rFonts w:hint="default" w:ascii="Times New Roman" w:hAnsi="Times New Roman" w:eastAsia="楷体_GB2312" w:cs="Times New Roman"/>
          <w:bCs w:val="0"/>
          <w:kern w:val="2"/>
          <w:szCs w:val="32"/>
          <w:highlight w:val="none"/>
          <w:lang w:val="en-US" w:eastAsia="zh-CN" w:bidi="ar-SA"/>
        </w:rPr>
        <w:t>深化对口支援帮扶东西部协作</w:t>
      </w:r>
      <w:r>
        <w:tab/>
      </w:r>
      <w:r>
        <w:fldChar w:fldCharType="begin"/>
      </w:r>
      <w:r>
        <w:instrText xml:space="preserve"> PAGEREF _Toc27325 \h </w:instrText>
      </w:r>
      <w:r>
        <w:fldChar w:fldCharType="separate"/>
      </w:r>
      <w:r>
        <w:t>- 69 -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7418AF7A">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_Toc4002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第三节 </w:t>
      </w:r>
      <w:r>
        <w:rPr>
          <w:rFonts w:hint="default" w:ascii="Times New Roman" w:hAnsi="Times New Roman" w:eastAsia="楷体_GB2312" w:cs="Times New Roman"/>
          <w:bCs w:val="0"/>
          <w:kern w:val="2"/>
          <w:szCs w:val="32"/>
          <w:highlight w:val="none"/>
          <w:lang w:val="en-US" w:eastAsia="zh-CN" w:bidi="ar-SA"/>
        </w:rPr>
        <w:t>推动汶理茂和理小一体化发展</w:t>
      </w:r>
      <w:r>
        <w:tab/>
      </w:r>
      <w:r>
        <w:fldChar w:fldCharType="begin"/>
      </w:r>
      <w:r>
        <w:instrText xml:space="preserve"> PAGEREF _Toc4002 \h </w:instrText>
      </w:r>
      <w:r>
        <w:fldChar w:fldCharType="separate"/>
      </w:r>
      <w:r>
        <w:t>- 69 -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08AD14E2">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_Toc25232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第四节 </w:t>
      </w:r>
      <w:r>
        <w:rPr>
          <w:rFonts w:hint="default" w:ascii="Times New Roman" w:hAnsi="Times New Roman" w:eastAsia="楷体_GB2312" w:cs="Times New Roman"/>
          <w:bCs w:val="0"/>
          <w:kern w:val="2"/>
          <w:szCs w:val="32"/>
          <w:highlight w:val="none"/>
          <w:lang w:val="en-US" w:eastAsia="zh-CN" w:bidi="ar-SA"/>
        </w:rPr>
        <w:t>加强对外经贸科教合作交流</w:t>
      </w:r>
      <w:r>
        <w:tab/>
      </w:r>
      <w:r>
        <w:fldChar w:fldCharType="begin"/>
      </w:r>
      <w:r>
        <w:instrText xml:space="preserve"> PAGEREF _Toc25232 \h </w:instrText>
      </w:r>
      <w:r>
        <w:fldChar w:fldCharType="separate"/>
      </w:r>
      <w:r>
        <w:t>- 70 -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23BB815B">
      <w:pPr>
        <w:pStyle w:val="15"/>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_Toc21511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方正小标宋简体" w:hAnsi="方正小标宋简体" w:eastAsia="黑体" w:cs="黑体"/>
          <w:kern w:val="2"/>
          <w:szCs w:val="32"/>
          <w:lang w:val="en-US" w:eastAsia="zh-CN" w:bidi="ar-SA"/>
        </w:rPr>
        <w:t xml:space="preserve">第二十三章 </w:t>
      </w:r>
      <w:r>
        <w:rPr>
          <w:rFonts w:hint="default" w:ascii="Times New Roman" w:hAnsi="Times New Roman" w:eastAsia="黑体" w:cs="Times New Roman"/>
          <w:kern w:val="2"/>
          <w:szCs w:val="24"/>
          <w:highlight w:val="none"/>
          <w:lang w:val="en-US" w:eastAsia="zh-CN" w:bidi="ar-SA"/>
        </w:rPr>
        <w:t>优化营商环境引凤来栖</w:t>
      </w:r>
      <w:r>
        <w:tab/>
      </w:r>
      <w:r>
        <w:fldChar w:fldCharType="begin"/>
      </w:r>
      <w:r>
        <w:instrText xml:space="preserve"> PAGEREF _Toc21511 \h </w:instrText>
      </w:r>
      <w:r>
        <w:fldChar w:fldCharType="separate"/>
      </w:r>
      <w:r>
        <w:t>- 70 -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17F624E6">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_Toc9935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第一节 </w:t>
      </w:r>
      <w:r>
        <w:rPr>
          <w:rFonts w:hint="default" w:ascii="Times New Roman" w:hAnsi="Times New Roman" w:eastAsia="楷体_GB2312" w:cs="Times New Roman"/>
          <w:bCs w:val="0"/>
          <w:kern w:val="2"/>
          <w:szCs w:val="32"/>
          <w:highlight w:val="none"/>
          <w:lang w:val="en-US" w:eastAsia="zh-CN" w:bidi="ar-SA"/>
        </w:rPr>
        <w:t>加大招商引资力度</w:t>
      </w:r>
      <w:r>
        <w:tab/>
      </w:r>
      <w:r>
        <w:fldChar w:fldCharType="begin"/>
      </w:r>
      <w:r>
        <w:instrText xml:space="preserve"> PAGEREF _Toc9935 \h </w:instrText>
      </w:r>
      <w:r>
        <w:fldChar w:fldCharType="separate"/>
      </w:r>
      <w:r>
        <w:t>- 70 -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55E4B97B">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_Toc18207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第二节 </w:t>
      </w:r>
      <w:r>
        <w:rPr>
          <w:rFonts w:hint="default" w:ascii="Times New Roman" w:hAnsi="Times New Roman" w:eastAsia="楷体_GB2312" w:cs="Times New Roman"/>
          <w:bCs w:val="0"/>
          <w:kern w:val="2"/>
          <w:szCs w:val="32"/>
          <w:highlight w:val="none"/>
          <w:lang w:val="en-US" w:eastAsia="zh-CN" w:bidi="ar-SA"/>
        </w:rPr>
        <w:t>持续优化营商环境</w:t>
      </w:r>
      <w:r>
        <w:tab/>
      </w:r>
      <w:r>
        <w:fldChar w:fldCharType="begin"/>
      </w:r>
      <w:r>
        <w:instrText xml:space="preserve"> PAGEREF _Toc18207 \h </w:instrText>
      </w:r>
      <w:r>
        <w:fldChar w:fldCharType="separate"/>
      </w:r>
      <w:r>
        <w:t>- 71 -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1D6720F3">
      <w:pPr>
        <w:pStyle w:val="14"/>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_Toc12714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方正小标宋简体" w:cs="Times New Roman"/>
          <w:kern w:val="2"/>
          <w:szCs w:val="44"/>
          <w:lang w:val="en-US" w:eastAsia="zh-CN" w:bidi="ar-SA"/>
        </w:rPr>
        <w:t xml:space="preserve">第七篇 </w:t>
      </w:r>
      <w:r>
        <w:rPr>
          <w:rFonts w:hint="default" w:ascii="Times New Roman" w:hAnsi="Times New Roman" w:eastAsia="方正小标宋简体" w:cs="Times New Roman"/>
          <w:kern w:val="2"/>
          <w:szCs w:val="44"/>
          <w:highlight w:val="none"/>
          <w:lang w:val="en-US" w:eastAsia="zh-CN" w:bidi="ar-SA"/>
        </w:rPr>
        <w:t>推进城乡融合发展战略，铺就农业农村富裕之路</w:t>
      </w:r>
      <w:r>
        <w:tab/>
      </w:r>
      <w:r>
        <w:fldChar w:fldCharType="begin"/>
      </w:r>
      <w:r>
        <w:instrText xml:space="preserve"> PAGEREF _Toc12714 \h </w:instrText>
      </w:r>
      <w:r>
        <w:fldChar w:fldCharType="separate"/>
      </w:r>
      <w:r>
        <w:t>- 72 -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1843B85F">
      <w:pPr>
        <w:pStyle w:val="15"/>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_Toc3909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方正小标宋简体" w:hAnsi="方正小标宋简体" w:eastAsia="黑体" w:cs="黑体"/>
          <w:kern w:val="2"/>
          <w:szCs w:val="32"/>
          <w:lang w:val="en-US" w:eastAsia="zh-CN" w:bidi="ar-SA"/>
        </w:rPr>
        <w:t xml:space="preserve">第二十四章 </w:t>
      </w:r>
      <w:r>
        <w:rPr>
          <w:rFonts w:hint="default" w:ascii="Times New Roman" w:hAnsi="Times New Roman" w:eastAsia="黑体" w:cs="Times New Roman"/>
          <w:kern w:val="2"/>
          <w:szCs w:val="24"/>
          <w:highlight w:val="none"/>
          <w:lang w:val="en-US" w:eastAsia="zh-CN" w:bidi="ar-SA"/>
        </w:rPr>
        <w:t>提升县城核心引领作用</w:t>
      </w:r>
      <w:r>
        <w:tab/>
      </w:r>
      <w:r>
        <w:fldChar w:fldCharType="begin"/>
      </w:r>
      <w:r>
        <w:instrText xml:space="preserve"> PAGEREF _Toc3909 \h </w:instrText>
      </w:r>
      <w:r>
        <w:fldChar w:fldCharType="separate"/>
      </w:r>
      <w:r>
        <w:t>- 72 -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5BD444F4">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_Toc24497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第一节 </w:t>
      </w:r>
      <w:r>
        <w:rPr>
          <w:rFonts w:hint="default" w:ascii="Times New Roman" w:hAnsi="Times New Roman" w:eastAsia="楷体_GB2312" w:cs="Times New Roman"/>
          <w:bCs w:val="0"/>
          <w:kern w:val="2"/>
          <w:szCs w:val="32"/>
          <w:highlight w:val="none"/>
          <w:lang w:val="en-US" w:eastAsia="zh-CN" w:bidi="ar-SA"/>
        </w:rPr>
        <w:t>优化城区功能布局</w:t>
      </w:r>
      <w:r>
        <w:tab/>
      </w:r>
      <w:r>
        <w:fldChar w:fldCharType="begin"/>
      </w:r>
      <w:r>
        <w:instrText xml:space="preserve"> PAGEREF _Toc24497 \h </w:instrText>
      </w:r>
      <w:r>
        <w:fldChar w:fldCharType="separate"/>
      </w:r>
      <w:r>
        <w:t>- 72 -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557B7A1D">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_Toc12261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第二节 </w:t>
      </w:r>
      <w:r>
        <w:rPr>
          <w:rFonts w:hint="default" w:ascii="Times New Roman" w:hAnsi="Times New Roman" w:eastAsia="楷体_GB2312" w:cs="Times New Roman"/>
          <w:bCs w:val="0"/>
          <w:kern w:val="2"/>
          <w:szCs w:val="32"/>
          <w:highlight w:val="none"/>
          <w:lang w:val="en-US" w:eastAsia="zh-CN" w:bidi="ar-SA"/>
        </w:rPr>
        <w:t>实施城市更新行动</w:t>
      </w:r>
      <w:r>
        <w:tab/>
      </w:r>
      <w:r>
        <w:fldChar w:fldCharType="begin"/>
      </w:r>
      <w:r>
        <w:instrText xml:space="preserve"> PAGEREF _Toc12261 \h </w:instrText>
      </w:r>
      <w:r>
        <w:fldChar w:fldCharType="separate"/>
      </w:r>
      <w:r>
        <w:t>- 74 -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57464D56">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_Toc17235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第三节 </w:t>
      </w:r>
      <w:r>
        <w:rPr>
          <w:rFonts w:hint="default" w:ascii="Times New Roman" w:hAnsi="Times New Roman" w:eastAsia="楷体_GB2312" w:cs="Times New Roman"/>
          <w:bCs w:val="0"/>
          <w:kern w:val="2"/>
          <w:szCs w:val="32"/>
          <w:highlight w:val="none"/>
          <w:lang w:val="en-US" w:eastAsia="zh-CN" w:bidi="ar-SA"/>
        </w:rPr>
        <w:t>补齐城区配套短板</w:t>
      </w:r>
      <w:r>
        <w:tab/>
      </w:r>
      <w:r>
        <w:fldChar w:fldCharType="begin"/>
      </w:r>
      <w:r>
        <w:instrText xml:space="preserve"> PAGEREF _Toc17235 \h </w:instrText>
      </w:r>
      <w:r>
        <w:fldChar w:fldCharType="separate"/>
      </w:r>
      <w:r>
        <w:t>- 74 -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495CCE31">
      <w:pPr>
        <w:pStyle w:val="15"/>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_Toc25498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方正小标宋简体" w:hAnsi="方正小标宋简体" w:eastAsia="黑体" w:cs="黑体"/>
          <w:kern w:val="2"/>
          <w:szCs w:val="32"/>
          <w:lang w:val="en-US" w:eastAsia="zh-CN" w:bidi="ar-SA"/>
        </w:rPr>
        <w:t xml:space="preserve">第二十五章 </w:t>
      </w:r>
      <w:r>
        <w:rPr>
          <w:rFonts w:hint="default" w:ascii="Times New Roman" w:hAnsi="Times New Roman" w:eastAsia="黑体" w:cs="Times New Roman"/>
          <w:kern w:val="2"/>
          <w:szCs w:val="24"/>
          <w:highlight w:val="none"/>
          <w:lang w:val="en-US" w:eastAsia="zh-CN" w:bidi="ar-SA"/>
        </w:rPr>
        <w:t>增强城镇辐射带动能力</w:t>
      </w:r>
      <w:r>
        <w:tab/>
      </w:r>
      <w:r>
        <w:fldChar w:fldCharType="begin"/>
      </w:r>
      <w:r>
        <w:instrText xml:space="preserve"> PAGEREF _Toc25498 \h </w:instrText>
      </w:r>
      <w:r>
        <w:fldChar w:fldCharType="separate"/>
      </w:r>
      <w:r>
        <w:t>- 76 -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1EA9845F">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_Toc32512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第一节 </w:t>
      </w:r>
      <w:r>
        <w:rPr>
          <w:rFonts w:hint="default" w:ascii="Times New Roman" w:hAnsi="Times New Roman" w:eastAsia="楷体_GB2312" w:cs="Times New Roman"/>
          <w:bCs w:val="0"/>
          <w:kern w:val="2"/>
          <w:szCs w:val="32"/>
          <w:highlight w:val="none"/>
          <w:lang w:val="en-US" w:eastAsia="zh-CN" w:bidi="ar-SA"/>
        </w:rPr>
        <w:t>推进县域副中心建设</w:t>
      </w:r>
      <w:r>
        <w:tab/>
      </w:r>
      <w:r>
        <w:fldChar w:fldCharType="begin"/>
      </w:r>
      <w:r>
        <w:instrText xml:space="preserve"> PAGEREF _Toc32512 \h </w:instrText>
      </w:r>
      <w:r>
        <w:fldChar w:fldCharType="separate"/>
      </w:r>
      <w:r>
        <w:t>- 76 -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50DE692F">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_Toc21585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第二节 </w:t>
      </w:r>
      <w:r>
        <w:rPr>
          <w:rFonts w:hint="default" w:ascii="Times New Roman" w:hAnsi="Times New Roman" w:eastAsia="楷体_GB2312" w:cs="Times New Roman"/>
          <w:bCs w:val="0"/>
          <w:kern w:val="2"/>
          <w:szCs w:val="32"/>
          <w:highlight w:val="none"/>
          <w:lang w:val="en-US" w:eastAsia="zh-CN" w:bidi="ar-SA"/>
        </w:rPr>
        <w:t>积极打造片区中心乡镇</w:t>
      </w:r>
      <w:r>
        <w:tab/>
      </w:r>
      <w:r>
        <w:fldChar w:fldCharType="begin"/>
      </w:r>
      <w:r>
        <w:instrText xml:space="preserve"> PAGEREF _Toc21585 \h </w:instrText>
      </w:r>
      <w:r>
        <w:fldChar w:fldCharType="separate"/>
      </w:r>
      <w:r>
        <w:t>- 76 -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4B7037CF">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_Toc18754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第三节 </w:t>
      </w:r>
      <w:r>
        <w:rPr>
          <w:rFonts w:hint="default" w:ascii="Times New Roman" w:hAnsi="Times New Roman" w:eastAsia="楷体_GB2312" w:cs="Times New Roman"/>
          <w:bCs w:val="0"/>
          <w:kern w:val="2"/>
          <w:szCs w:val="32"/>
          <w:highlight w:val="none"/>
          <w:lang w:val="en-US" w:eastAsia="zh-CN" w:bidi="ar-SA"/>
        </w:rPr>
        <w:t>分类培育特色乡镇</w:t>
      </w:r>
      <w:r>
        <w:tab/>
      </w:r>
      <w:r>
        <w:fldChar w:fldCharType="begin"/>
      </w:r>
      <w:r>
        <w:instrText xml:space="preserve"> PAGEREF _Toc18754 \h </w:instrText>
      </w:r>
      <w:r>
        <w:fldChar w:fldCharType="separate"/>
      </w:r>
      <w:r>
        <w:t>- 77 -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0EFF2446">
      <w:pPr>
        <w:pStyle w:val="15"/>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_Toc2418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方正小标宋简体" w:hAnsi="方正小标宋简体" w:eastAsia="黑体" w:cs="黑体"/>
          <w:kern w:val="2"/>
          <w:szCs w:val="32"/>
          <w:lang w:val="en-US" w:eastAsia="zh-CN" w:bidi="ar-SA"/>
        </w:rPr>
        <w:t xml:space="preserve">第二十六章 </w:t>
      </w:r>
      <w:r>
        <w:rPr>
          <w:rFonts w:hint="default" w:ascii="Times New Roman" w:hAnsi="Times New Roman" w:eastAsia="黑体" w:cs="Times New Roman"/>
          <w:kern w:val="2"/>
          <w:szCs w:val="24"/>
          <w:highlight w:val="none"/>
          <w:lang w:val="en-US" w:eastAsia="zh-CN" w:bidi="ar-SA"/>
        </w:rPr>
        <w:t>建设宜居宜业和美乡村</w:t>
      </w:r>
      <w:r>
        <w:tab/>
      </w:r>
      <w:r>
        <w:fldChar w:fldCharType="begin"/>
      </w:r>
      <w:r>
        <w:instrText xml:space="preserve"> PAGEREF _Toc2418 \h </w:instrText>
      </w:r>
      <w:r>
        <w:fldChar w:fldCharType="separate"/>
      </w:r>
      <w:r>
        <w:t>- 79 -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6AC1EB87">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_Toc12995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第一节 </w:t>
      </w:r>
      <w:r>
        <w:rPr>
          <w:rFonts w:hint="default" w:ascii="Times New Roman" w:hAnsi="Times New Roman" w:eastAsia="楷体_GB2312" w:cs="Times New Roman"/>
          <w:bCs w:val="0"/>
          <w:kern w:val="2"/>
          <w:szCs w:val="32"/>
          <w:highlight w:val="none"/>
          <w:lang w:val="en-US" w:eastAsia="zh-CN" w:bidi="ar-SA"/>
        </w:rPr>
        <w:t>巩固拓展脱贫攻坚成果</w:t>
      </w:r>
      <w:r>
        <w:tab/>
      </w:r>
      <w:r>
        <w:fldChar w:fldCharType="begin"/>
      </w:r>
      <w:r>
        <w:instrText xml:space="preserve"> PAGEREF _Toc12995 \h </w:instrText>
      </w:r>
      <w:r>
        <w:fldChar w:fldCharType="separate"/>
      </w:r>
      <w:r>
        <w:t>- 79 -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12E67E12">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_Toc25693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第二节 </w:t>
      </w:r>
      <w:r>
        <w:rPr>
          <w:rFonts w:hint="default" w:ascii="Times New Roman" w:hAnsi="Times New Roman" w:eastAsia="楷体_GB2312" w:cs="Times New Roman"/>
          <w:bCs w:val="0"/>
          <w:kern w:val="2"/>
          <w:szCs w:val="32"/>
          <w:highlight w:val="none"/>
          <w:lang w:val="en-US" w:eastAsia="zh-CN" w:bidi="ar-SA"/>
        </w:rPr>
        <w:t>分类推进各类村庄建设</w:t>
      </w:r>
      <w:r>
        <w:tab/>
      </w:r>
      <w:r>
        <w:fldChar w:fldCharType="begin"/>
      </w:r>
      <w:r>
        <w:instrText xml:space="preserve"> PAGEREF _Toc25693 \h </w:instrText>
      </w:r>
      <w:r>
        <w:fldChar w:fldCharType="separate"/>
      </w:r>
      <w:r>
        <w:t>- 79 -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579D9846">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_Toc17752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第三节 </w:t>
      </w:r>
      <w:r>
        <w:rPr>
          <w:rFonts w:hint="default" w:ascii="Times New Roman" w:hAnsi="Times New Roman" w:eastAsia="楷体_GB2312" w:cs="Times New Roman"/>
          <w:bCs w:val="0"/>
          <w:kern w:val="2"/>
          <w:szCs w:val="32"/>
          <w:highlight w:val="none"/>
          <w:lang w:val="en-US" w:eastAsia="zh-CN" w:bidi="ar-SA"/>
        </w:rPr>
        <w:t>发展壮大村寨集体经济</w:t>
      </w:r>
      <w:r>
        <w:tab/>
      </w:r>
      <w:r>
        <w:fldChar w:fldCharType="begin"/>
      </w:r>
      <w:r>
        <w:instrText xml:space="preserve"> PAGEREF _Toc17752 \h </w:instrText>
      </w:r>
      <w:r>
        <w:fldChar w:fldCharType="separate"/>
      </w:r>
      <w:r>
        <w:t>- 80 -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2FD8869F">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_Toc1467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第四节 </w:t>
      </w:r>
      <w:r>
        <w:rPr>
          <w:rFonts w:hint="default" w:ascii="Times New Roman" w:hAnsi="Times New Roman" w:eastAsia="楷体_GB2312" w:cs="Times New Roman"/>
          <w:bCs w:val="0"/>
          <w:kern w:val="2"/>
          <w:szCs w:val="32"/>
          <w:highlight w:val="none"/>
          <w:lang w:val="en-US" w:eastAsia="zh-CN" w:bidi="ar-SA"/>
        </w:rPr>
        <w:t>持续改善农村人居环境</w:t>
      </w:r>
      <w:r>
        <w:tab/>
      </w:r>
      <w:r>
        <w:fldChar w:fldCharType="begin"/>
      </w:r>
      <w:r>
        <w:instrText xml:space="preserve"> PAGEREF _Toc1467 \h </w:instrText>
      </w:r>
      <w:r>
        <w:fldChar w:fldCharType="separate"/>
      </w:r>
      <w:r>
        <w:t>- 80 -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39BAA5A2">
      <w:pPr>
        <w:pStyle w:val="15"/>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_Toc3207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方正小标宋简体" w:hAnsi="方正小标宋简体" w:eastAsia="黑体" w:cs="黑体"/>
          <w:kern w:val="2"/>
          <w:szCs w:val="32"/>
          <w:lang w:val="en-US" w:eastAsia="zh-CN" w:bidi="ar-SA"/>
        </w:rPr>
        <w:t xml:space="preserve">第二十七章 </w:t>
      </w:r>
      <w:r>
        <w:rPr>
          <w:rFonts w:hint="default" w:ascii="Times New Roman" w:hAnsi="Times New Roman" w:eastAsia="黑体" w:cs="Times New Roman"/>
          <w:kern w:val="2"/>
          <w:szCs w:val="24"/>
          <w:highlight w:val="none"/>
          <w:lang w:val="en-US" w:eastAsia="zh-CN" w:bidi="ar-SA"/>
        </w:rPr>
        <w:t>完善城乡融合发展机制</w:t>
      </w:r>
      <w:r>
        <w:tab/>
      </w:r>
      <w:r>
        <w:fldChar w:fldCharType="begin"/>
      </w:r>
      <w:r>
        <w:instrText xml:space="preserve"> PAGEREF _Toc3207 \h </w:instrText>
      </w:r>
      <w:r>
        <w:fldChar w:fldCharType="separate"/>
      </w:r>
      <w:r>
        <w:t>- 81 -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0634C19D">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_Toc2677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第一节 </w:t>
      </w:r>
      <w:r>
        <w:rPr>
          <w:rFonts w:hint="default" w:ascii="Times New Roman" w:hAnsi="Times New Roman" w:eastAsia="楷体_GB2312" w:cs="Times New Roman"/>
          <w:bCs w:val="0"/>
          <w:kern w:val="2"/>
          <w:szCs w:val="32"/>
          <w:highlight w:val="none"/>
          <w:lang w:val="en-US" w:eastAsia="zh-CN" w:bidi="ar-SA"/>
        </w:rPr>
        <w:t>促进城乡各类要素双向流动</w:t>
      </w:r>
      <w:r>
        <w:tab/>
      </w:r>
      <w:r>
        <w:fldChar w:fldCharType="begin"/>
      </w:r>
      <w:r>
        <w:instrText xml:space="preserve"> PAGEREF _Toc2677 \h </w:instrText>
      </w:r>
      <w:r>
        <w:fldChar w:fldCharType="separate"/>
      </w:r>
      <w:r>
        <w:t>- 81 -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074F5B09">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_Toc23334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第二节 </w:t>
      </w:r>
      <w:r>
        <w:rPr>
          <w:rFonts w:hint="default" w:ascii="Times New Roman" w:hAnsi="Times New Roman" w:eastAsia="楷体_GB2312" w:cs="Times New Roman"/>
          <w:bCs w:val="0"/>
          <w:kern w:val="2"/>
          <w:szCs w:val="32"/>
          <w:highlight w:val="none"/>
          <w:lang w:val="en-US" w:eastAsia="zh-CN" w:bidi="ar-SA"/>
        </w:rPr>
        <w:t>推动城乡资源有效均衡配置</w:t>
      </w:r>
      <w:r>
        <w:tab/>
      </w:r>
      <w:r>
        <w:fldChar w:fldCharType="begin"/>
      </w:r>
      <w:r>
        <w:instrText xml:space="preserve"> PAGEREF _Toc23334 \h </w:instrText>
      </w:r>
      <w:r>
        <w:fldChar w:fldCharType="separate"/>
      </w:r>
      <w:r>
        <w:t>- 82 -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4AE63465">
      <w:pPr>
        <w:pStyle w:val="14"/>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_Toc17747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方正小标宋简体" w:cs="Times New Roman"/>
          <w:kern w:val="2"/>
          <w:szCs w:val="44"/>
          <w:lang w:val="en-US" w:eastAsia="zh-CN" w:bidi="ar-SA"/>
        </w:rPr>
        <w:t xml:space="preserve">第八篇 </w:t>
      </w:r>
      <w:r>
        <w:rPr>
          <w:rFonts w:hint="default" w:ascii="Times New Roman" w:hAnsi="Times New Roman" w:eastAsia="方正小标宋简体" w:cs="Times New Roman"/>
          <w:kern w:val="2"/>
          <w:szCs w:val="44"/>
          <w:highlight w:val="none"/>
          <w:lang w:val="en-US" w:eastAsia="zh-CN" w:bidi="ar-SA"/>
        </w:rPr>
        <w:t>聚焦民生福祉全面提升，构建和谐幸福美好家园</w:t>
      </w:r>
      <w:r>
        <w:tab/>
      </w:r>
      <w:r>
        <w:fldChar w:fldCharType="begin"/>
      </w:r>
      <w:r>
        <w:instrText xml:space="preserve"> PAGEREF _Toc17747 \h </w:instrText>
      </w:r>
      <w:r>
        <w:fldChar w:fldCharType="separate"/>
      </w:r>
      <w:r>
        <w:t>- 83 -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0F1FD632">
      <w:pPr>
        <w:pStyle w:val="15"/>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_Toc32513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方正小标宋简体" w:hAnsi="方正小标宋简体" w:eastAsia="黑体" w:cs="黑体"/>
          <w:kern w:val="2"/>
          <w:szCs w:val="32"/>
          <w:lang w:val="en-US" w:eastAsia="zh-CN" w:bidi="ar-SA"/>
        </w:rPr>
        <w:t xml:space="preserve">第二十八章 </w:t>
      </w:r>
      <w:r>
        <w:rPr>
          <w:rFonts w:hint="default" w:ascii="Times New Roman" w:hAnsi="Times New Roman" w:eastAsia="黑体" w:cs="Times New Roman"/>
          <w:kern w:val="2"/>
          <w:szCs w:val="24"/>
          <w:highlight w:val="none"/>
          <w:lang w:val="en-US" w:eastAsia="zh-CN" w:bidi="ar-SA"/>
        </w:rPr>
        <w:t>促进高质量充分就业</w:t>
      </w:r>
      <w:r>
        <w:tab/>
      </w:r>
      <w:r>
        <w:fldChar w:fldCharType="begin"/>
      </w:r>
      <w:r>
        <w:instrText xml:space="preserve"> PAGEREF _Toc32513 \h </w:instrText>
      </w:r>
      <w:r>
        <w:fldChar w:fldCharType="separate"/>
      </w:r>
      <w:r>
        <w:t>- 83 -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755EF67B">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_Toc647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第一节 </w:t>
      </w:r>
      <w:r>
        <w:rPr>
          <w:rFonts w:hint="default" w:ascii="Times New Roman" w:hAnsi="Times New Roman" w:eastAsia="楷体_GB2312" w:cs="Times New Roman"/>
          <w:bCs w:val="0"/>
          <w:kern w:val="2"/>
          <w:szCs w:val="32"/>
          <w:highlight w:val="none"/>
          <w:lang w:val="en-US" w:eastAsia="zh-CN" w:bidi="ar-SA"/>
        </w:rPr>
        <w:t>持续促进就业创业</w:t>
      </w:r>
      <w:r>
        <w:tab/>
      </w:r>
      <w:r>
        <w:fldChar w:fldCharType="begin"/>
      </w:r>
      <w:r>
        <w:instrText xml:space="preserve"> PAGEREF _Toc647 \h </w:instrText>
      </w:r>
      <w:r>
        <w:fldChar w:fldCharType="separate"/>
      </w:r>
      <w:r>
        <w:t>- 83 -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2C926D7A">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_Toc23215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第二节 </w:t>
      </w:r>
      <w:r>
        <w:rPr>
          <w:rFonts w:hint="default" w:ascii="Times New Roman" w:hAnsi="Times New Roman" w:eastAsia="楷体_GB2312" w:cs="Times New Roman"/>
          <w:bCs w:val="0"/>
          <w:kern w:val="2"/>
          <w:szCs w:val="32"/>
          <w:highlight w:val="none"/>
          <w:lang w:val="en-US" w:eastAsia="zh-CN" w:bidi="ar-SA"/>
        </w:rPr>
        <w:t>健全就业公共服务</w:t>
      </w:r>
      <w:r>
        <w:tab/>
      </w:r>
      <w:r>
        <w:fldChar w:fldCharType="begin"/>
      </w:r>
      <w:r>
        <w:instrText xml:space="preserve"> PAGEREF _Toc23215 \h </w:instrText>
      </w:r>
      <w:r>
        <w:fldChar w:fldCharType="separate"/>
      </w:r>
      <w:r>
        <w:t>- 83 -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39C36619">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_Toc3260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第三节 </w:t>
      </w:r>
      <w:r>
        <w:rPr>
          <w:rFonts w:hint="default" w:ascii="Times New Roman" w:hAnsi="Times New Roman" w:eastAsia="楷体_GB2312" w:cs="Times New Roman"/>
          <w:bCs w:val="0"/>
          <w:kern w:val="2"/>
          <w:szCs w:val="32"/>
          <w:highlight w:val="none"/>
          <w:lang w:val="en-US" w:eastAsia="zh-CN" w:bidi="ar-SA"/>
        </w:rPr>
        <w:t>构建和谐劳动关系</w:t>
      </w:r>
      <w:r>
        <w:tab/>
      </w:r>
      <w:r>
        <w:fldChar w:fldCharType="begin"/>
      </w:r>
      <w:r>
        <w:instrText xml:space="preserve"> PAGEREF _Toc3260 \h </w:instrText>
      </w:r>
      <w:r>
        <w:fldChar w:fldCharType="separate"/>
      </w:r>
      <w:r>
        <w:t>- 84 -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20575FC3">
      <w:pPr>
        <w:pStyle w:val="15"/>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_Toc24309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方正小标宋简体" w:hAnsi="方正小标宋简体" w:eastAsia="黑体" w:cs="黑体"/>
          <w:kern w:val="2"/>
          <w:szCs w:val="32"/>
          <w:lang w:val="en-US" w:eastAsia="zh-CN" w:bidi="ar-SA"/>
        </w:rPr>
        <w:t xml:space="preserve">第二十九章 </w:t>
      </w:r>
      <w:r>
        <w:rPr>
          <w:rFonts w:hint="default" w:ascii="Times New Roman" w:hAnsi="Times New Roman" w:eastAsia="黑体" w:cs="Times New Roman"/>
          <w:kern w:val="2"/>
          <w:szCs w:val="24"/>
          <w:highlight w:val="none"/>
          <w:lang w:val="en-US" w:eastAsia="zh-CN" w:bidi="ar-SA"/>
        </w:rPr>
        <w:t>推动教育高质量发展</w:t>
      </w:r>
      <w:r>
        <w:tab/>
      </w:r>
      <w:r>
        <w:fldChar w:fldCharType="begin"/>
      </w:r>
      <w:r>
        <w:instrText xml:space="preserve"> PAGEREF _Toc24309 \h </w:instrText>
      </w:r>
      <w:r>
        <w:fldChar w:fldCharType="separate"/>
      </w:r>
      <w:r>
        <w:t>- 85 -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089A9F0D">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_Toc10074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第一节 </w:t>
      </w:r>
      <w:r>
        <w:rPr>
          <w:rFonts w:hint="default" w:ascii="Times New Roman" w:hAnsi="Times New Roman" w:eastAsia="楷体_GB2312" w:cs="Times New Roman"/>
          <w:bCs w:val="0"/>
          <w:kern w:val="2"/>
          <w:szCs w:val="32"/>
          <w:highlight w:val="none"/>
          <w:lang w:val="en-US" w:eastAsia="zh-CN" w:bidi="ar-SA"/>
        </w:rPr>
        <w:t>优化教育资源配置</w:t>
      </w:r>
      <w:r>
        <w:tab/>
      </w:r>
      <w:r>
        <w:fldChar w:fldCharType="begin"/>
      </w:r>
      <w:r>
        <w:instrText xml:space="preserve"> PAGEREF _Toc10074 \h </w:instrText>
      </w:r>
      <w:r>
        <w:fldChar w:fldCharType="separate"/>
      </w:r>
      <w:r>
        <w:t>- 85 -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685B9DE2">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_Toc26735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第二节 </w:t>
      </w:r>
      <w:r>
        <w:rPr>
          <w:rFonts w:hint="default" w:ascii="Times New Roman" w:hAnsi="Times New Roman" w:eastAsia="楷体_GB2312" w:cs="Times New Roman"/>
          <w:bCs w:val="0"/>
          <w:kern w:val="2"/>
          <w:szCs w:val="32"/>
          <w:highlight w:val="none"/>
          <w:lang w:val="en-US" w:eastAsia="zh-CN" w:bidi="ar-SA"/>
        </w:rPr>
        <w:t>完善现代国民教育体系</w:t>
      </w:r>
      <w:r>
        <w:tab/>
      </w:r>
      <w:r>
        <w:fldChar w:fldCharType="begin"/>
      </w:r>
      <w:r>
        <w:instrText xml:space="preserve"> PAGEREF _Toc26735 \h </w:instrText>
      </w:r>
      <w:r>
        <w:fldChar w:fldCharType="separate"/>
      </w:r>
      <w:r>
        <w:t>- 85 -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3B8724ED">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_Toc4119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第三节 </w:t>
      </w:r>
      <w:r>
        <w:rPr>
          <w:rFonts w:hint="default" w:ascii="Times New Roman" w:hAnsi="Times New Roman" w:eastAsia="楷体_GB2312" w:cs="Times New Roman"/>
          <w:bCs w:val="0"/>
          <w:kern w:val="2"/>
          <w:szCs w:val="32"/>
          <w:highlight w:val="none"/>
          <w:lang w:val="en-US" w:eastAsia="zh-CN" w:bidi="ar-SA"/>
        </w:rPr>
        <w:t>加强新时代教师队伍建设</w:t>
      </w:r>
      <w:r>
        <w:tab/>
      </w:r>
      <w:r>
        <w:fldChar w:fldCharType="begin"/>
      </w:r>
      <w:r>
        <w:instrText xml:space="preserve"> PAGEREF _Toc4119 \h </w:instrText>
      </w:r>
      <w:r>
        <w:fldChar w:fldCharType="separate"/>
      </w:r>
      <w:r>
        <w:t>- 86 -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705F694C">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_Toc27479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第四节 </w:t>
      </w:r>
      <w:r>
        <w:rPr>
          <w:rFonts w:hint="default" w:ascii="Times New Roman" w:hAnsi="Times New Roman" w:eastAsia="楷体_GB2312" w:cs="Times New Roman"/>
          <w:bCs w:val="0"/>
          <w:kern w:val="2"/>
          <w:szCs w:val="32"/>
          <w:highlight w:val="none"/>
          <w:lang w:val="en-US" w:eastAsia="zh-CN" w:bidi="ar-SA"/>
        </w:rPr>
        <w:t>深化教育领域综合改革</w:t>
      </w:r>
      <w:r>
        <w:tab/>
      </w:r>
      <w:r>
        <w:fldChar w:fldCharType="begin"/>
      </w:r>
      <w:r>
        <w:instrText xml:space="preserve"> PAGEREF _Toc27479 \h </w:instrText>
      </w:r>
      <w:r>
        <w:fldChar w:fldCharType="separate"/>
      </w:r>
      <w:r>
        <w:t>- 87 -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07566F1D">
      <w:pPr>
        <w:pStyle w:val="15"/>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_Toc27168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方正小标宋简体" w:hAnsi="方正小标宋简体" w:eastAsia="黑体" w:cs="黑体"/>
          <w:kern w:val="2"/>
          <w:szCs w:val="32"/>
          <w:lang w:val="en-US" w:eastAsia="zh-CN" w:bidi="ar-SA"/>
        </w:rPr>
        <w:t xml:space="preserve">第三十章 </w:t>
      </w:r>
      <w:r>
        <w:rPr>
          <w:rFonts w:hint="default" w:ascii="Times New Roman" w:hAnsi="Times New Roman" w:eastAsia="黑体" w:cs="Times New Roman"/>
          <w:kern w:val="2"/>
          <w:szCs w:val="24"/>
          <w:highlight w:val="none"/>
          <w:lang w:val="en-US" w:eastAsia="zh-CN" w:bidi="ar-SA"/>
        </w:rPr>
        <w:t>全面推进健康理县建设</w:t>
      </w:r>
      <w:r>
        <w:tab/>
      </w:r>
      <w:r>
        <w:fldChar w:fldCharType="begin"/>
      </w:r>
      <w:r>
        <w:instrText xml:space="preserve"> PAGEREF _Toc27168 \h </w:instrText>
      </w:r>
      <w:r>
        <w:fldChar w:fldCharType="separate"/>
      </w:r>
      <w:r>
        <w:t>- 88 -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0968550D">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_Toc26268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第一节 </w:t>
      </w:r>
      <w:r>
        <w:rPr>
          <w:rFonts w:hint="default" w:ascii="Times New Roman" w:hAnsi="Times New Roman" w:eastAsia="楷体_GB2312" w:cs="Times New Roman"/>
          <w:bCs w:val="0"/>
          <w:kern w:val="2"/>
          <w:szCs w:val="32"/>
          <w:highlight w:val="none"/>
          <w:lang w:val="en-US" w:eastAsia="zh-CN" w:bidi="ar-SA"/>
        </w:rPr>
        <w:t>加大优质医疗服务供给</w:t>
      </w:r>
      <w:r>
        <w:tab/>
      </w:r>
      <w:r>
        <w:fldChar w:fldCharType="begin"/>
      </w:r>
      <w:r>
        <w:instrText xml:space="preserve"> PAGEREF _Toc26268 \h </w:instrText>
      </w:r>
      <w:r>
        <w:fldChar w:fldCharType="separate"/>
      </w:r>
      <w:r>
        <w:t>- 88 -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1CBD9EAD">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_Toc18256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第二节 </w:t>
      </w:r>
      <w:r>
        <w:rPr>
          <w:rFonts w:hint="default" w:ascii="Times New Roman" w:hAnsi="Times New Roman" w:eastAsia="楷体_GB2312" w:cs="Times New Roman"/>
          <w:bCs w:val="0"/>
          <w:kern w:val="2"/>
          <w:szCs w:val="32"/>
          <w:highlight w:val="none"/>
          <w:lang w:val="en-US" w:eastAsia="zh-CN" w:bidi="ar-SA"/>
        </w:rPr>
        <w:t>提高公共卫生服务能力</w:t>
      </w:r>
      <w:r>
        <w:tab/>
      </w:r>
      <w:r>
        <w:fldChar w:fldCharType="begin"/>
      </w:r>
      <w:r>
        <w:instrText xml:space="preserve"> PAGEREF _Toc18256 \h </w:instrText>
      </w:r>
      <w:r>
        <w:fldChar w:fldCharType="separate"/>
      </w:r>
      <w:r>
        <w:t>- 88 -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159DDC6A">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_Toc8367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第三节 </w:t>
      </w:r>
      <w:r>
        <w:rPr>
          <w:rFonts w:hint="default" w:ascii="Times New Roman" w:hAnsi="Times New Roman" w:eastAsia="楷体_GB2312" w:cs="Times New Roman"/>
          <w:bCs w:val="0"/>
          <w:kern w:val="2"/>
          <w:szCs w:val="32"/>
          <w:highlight w:val="none"/>
          <w:lang w:val="en-US" w:eastAsia="zh-CN" w:bidi="ar-SA"/>
        </w:rPr>
        <w:t>传承发展中藏羌医药事业</w:t>
      </w:r>
      <w:r>
        <w:tab/>
      </w:r>
      <w:r>
        <w:fldChar w:fldCharType="begin"/>
      </w:r>
      <w:r>
        <w:instrText xml:space="preserve"> PAGEREF _Toc8367 \h </w:instrText>
      </w:r>
      <w:r>
        <w:fldChar w:fldCharType="separate"/>
      </w:r>
      <w:r>
        <w:t>- 89 -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21FBC8F4">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_Toc26702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第四节 </w:t>
      </w:r>
      <w:r>
        <w:rPr>
          <w:rFonts w:hint="default" w:ascii="Times New Roman" w:hAnsi="Times New Roman" w:eastAsia="楷体_GB2312" w:cs="Times New Roman"/>
          <w:bCs w:val="0"/>
          <w:kern w:val="2"/>
          <w:szCs w:val="32"/>
          <w:highlight w:val="none"/>
          <w:lang w:val="en-US" w:eastAsia="zh-CN" w:bidi="ar-SA"/>
        </w:rPr>
        <w:t>深化医疗卫生体制改革</w:t>
      </w:r>
      <w:r>
        <w:tab/>
      </w:r>
      <w:r>
        <w:fldChar w:fldCharType="begin"/>
      </w:r>
      <w:r>
        <w:instrText xml:space="preserve"> PAGEREF _Toc26702 \h </w:instrText>
      </w:r>
      <w:r>
        <w:fldChar w:fldCharType="separate"/>
      </w:r>
      <w:r>
        <w:t>- 90 -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4BF7966B">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_Toc939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第五节 </w:t>
      </w:r>
      <w:r>
        <w:rPr>
          <w:rFonts w:hint="default" w:ascii="Times New Roman" w:hAnsi="Times New Roman" w:eastAsia="楷体_GB2312" w:cs="Times New Roman"/>
          <w:bCs w:val="0"/>
          <w:kern w:val="2"/>
          <w:szCs w:val="32"/>
          <w:highlight w:val="none"/>
          <w:lang w:val="en-US" w:eastAsia="zh-CN" w:bidi="ar-SA"/>
        </w:rPr>
        <w:t>提高全民健康素养水平</w:t>
      </w:r>
      <w:r>
        <w:tab/>
      </w:r>
      <w:r>
        <w:fldChar w:fldCharType="begin"/>
      </w:r>
      <w:r>
        <w:instrText xml:space="preserve"> PAGEREF _Toc939 \h </w:instrText>
      </w:r>
      <w:r>
        <w:fldChar w:fldCharType="separate"/>
      </w:r>
      <w:r>
        <w:t>- 90 -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234950B2">
      <w:pPr>
        <w:pStyle w:val="15"/>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_Toc21142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方正小标宋简体" w:hAnsi="方正小标宋简体" w:eastAsia="黑体" w:cs="黑体"/>
          <w:kern w:val="2"/>
          <w:szCs w:val="32"/>
          <w:lang w:val="en-US" w:eastAsia="zh-CN" w:bidi="ar-SA"/>
        </w:rPr>
        <w:t xml:space="preserve">第三十一章 </w:t>
      </w:r>
      <w:r>
        <w:rPr>
          <w:rFonts w:hint="default" w:ascii="Times New Roman" w:hAnsi="Times New Roman" w:eastAsia="黑体" w:cs="Times New Roman"/>
          <w:kern w:val="2"/>
          <w:szCs w:val="24"/>
          <w:highlight w:val="none"/>
          <w:lang w:val="en-US" w:eastAsia="zh-CN" w:bidi="ar-SA"/>
        </w:rPr>
        <w:t>提高社会保障覆盖程度</w:t>
      </w:r>
      <w:r>
        <w:tab/>
      </w:r>
      <w:r>
        <w:fldChar w:fldCharType="begin"/>
      </w:r>
      <w:r>
        <w:instrText xml:space="preserve"> PAGEREF _Toc21142 \h </w:instrText>
      </w:r>
      <w:r>
        <w:fldChar w:fldCharType="separate"/>
      </w:r>
      <w:r>
        <w:t>- 91 -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7A67833C">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_Toc23490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第一节 </w:t>
      </w:r>
      <w:r>
        <w:rPr>
          <w:rFonts w:hint="default" w:ascii="Times New Roman" w:hAnsi="Times New Roman" w:eastAsia="楷体_GB2312" w:cs="Times New Roman"/>
          <w:bCs w:val="0"/>
          <w:kern w:val="2"/>
          <w:szCs w:val="32"/>
          <w:highlight w:val="none"/>
          <w:lang w:val="en-US" w:eastAsia="zh-CN" w:bidi="ar-SA"/>
        </w:rPr>
        <w:t>完善社会保险制度</w:t>
      </w:r>
      <w:r>
        <w:tab/>
      </w:r>
      <w:r>
        <w:fldChar w:fldCharType="begin"/>
      </w:r>
      <w:r>
        <w:instrText xml:space="preserve"> PAGEREF _Toc23490 \h </w:instrText>
      </w:r>
      <w:r>
        <w:fldChar w:fldCharType="separate"/>
      </w:r>
      <w:r>
        <w:t>- 91 -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19AD47F6">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_Toc5035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第二节 </w:t>
      </w:r>
      <w:r>
        <w:rPr>
          <w:rFonts w:hint="default" w:ascii="Times New Roman" w:hAnsi="Times New Roman" w:eastAsia="楷体_GB2312" w:cs="Times New Roman"/>
          <w:bCs w:val="0"/>
          <w:kern w:val="2"/>
          <w:szCs w:val="32"/>
          <w:highlight w:val="none"/>
          <w:lang w:val="en-US" w:eastAsia="zh-CN" w:bidi="ar-SA"/>
        </w:rPr>
        <w:t>优化社会救助体系</w:t>
      </w:r>
      <w:r>
        <w:tab/>
      </w:r>
      <w:r>
        <w:fldChar w:fldCharType="begin"/>
      </w:r>
      <w:r>
        <w:instrText xml:space="preserve"> PAGEREF _Toc5035 \h </w:instrText>
      </w:r>
      <w:r>
        <w:fldChar w:fldCharType="separate"/>
      </w:r>
      <w:r>
        <w:t>- 92 -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33C9125F">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_Toc4630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第三节 </w:t>
      </w:r>
      <w:r>
        <w:rPr>
          <w:rFonts w:hint="default" w:ascii="Times New Roman" w:hAnsi="Times New Roman" w:eastAsia="楷体_GB2312" w:cs="Times New Roman"/>
          <w:bCs w:val="0"/>
          <w:kern w:val="2"/>
          <w:szCs w:val="32"/>
          <w:highlight w:val="none"/>
          <w:lang w:val="en-US" w:eastAsia="zh-CN" w:bidi="ar-SA"/>
        </w:rPr>
        <w:t>健全社会福利体系</w:t>
      </w:r>
      <w:r>
        <w:tab/>
      </w:r>
      <w:r>
        <w:fldChar w:fldCharType="begin"/>
      </w:r>
      <w:r>
        <w:instrText xml:space="preserve"> PAGEREF _Toc4630 \h </w:instrText>
      </w:r>
      <w:r>
        <w:fldChar w:fldCharType="separate"/>
      </w:r>
      <w:r>
        <w:t>- 92 -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73BFB3AF">
      <w:pPr>
        <w:pStyle w:val="15"/>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_Toc782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方正小标宋简体" w:hAnsi="方正小标宋简体" w:eastAsia="黑体" w:cs="黑体"/>
          <w:kern w:val="2"/>
          <w:szCs w:val="32"/>
          <w:lang w:val="en-US" w:eastAsia="zh-CN" w:bidi="ar-SA"/>
        </w:rPr>
        <w:t xml:space="preserve">第三十二章 </w:t>
      </w:r>
      <w:r>
        <w:rPr>
          <w:rFonts w:hint="default" w:ascii="Times New Roman" w:hAnsi="Times New Roman" w:eastAsia="黑体" w:cs="Times New Roman"/>
          <w:kern w:val="2"/>
          <w:szCs w:val="24"/>
          <w:highlight w:val="none"/>
          <w:lang w:val="en-US" w:eastAsia="zh-CN" w:bidi="ar-SA"/>
        </w:rPr>
        <w:t>促进人口高质量发展</w:t>
      </w:r>
      <w:r>
        <w:tab/>
      </w:r>
      <w:r>
        <w:fldChar w:fldCharType="begin"/>
      </w:r>
      <w:r>
        <w:instrText xml:space="preserve"> PAGEREF _Toc782 \h </w:instrText>
      </w:r>
      <w:r>
        <w:fldChar w:fldCharType="separate"/>
      </w:r>
      <w:r>
        <w:t>- 93 -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7582DD1B">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_Toc3950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第一节 </w:t>
      </w:r>
      <w:r>
        <w:rPr>
          <w:rFonts w:hint="default" w:ascii="Times New Roman" w:hAnsi="Times New Roman" w:eastAsia="楷体_GB2312" w:cs="Times New Roman"/>
          <w:bCs w:val="0"/>
          <w:kern w:val="2"/>
          <w:szCs w:val="32"/>
          <w:highlight w:val="none"/>
          <w:lang w:val="en-US" w:eastAsia="zh-CN" w:bidi="ar-SA"/>
        </w:rPr>
        <w:t>建设生育友好型社会</w:t>
      </w:r>
      <w:r>
        <w:tab/>
      </w:r>
      <w:r>
        <w:fldChar w:fldCharType="begin"/>
      </w:r>
      <w:r>
        <w:instrText xml:space="preserve"> PAGEREF _Toc3950 \h </w:instrText>
      </w:r>
      <w:r>
        <w:fldChar w:fldCharType="separate"/>
      </w:r>
      <w:r>
        <w:t>- 93 -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188D8148">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_Toc8359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第二节 </w:t>
      </w:r>
      <w:r>
        <w:rPr>
          <w:rFonts w:hint="default" w:ascii="Times New Roman" w:hAnsi="Times New Roman" w:eastAsia="楷体_GB2312" w:cs="Times New Roman"/>
          <w:bCs w:val="0"/>
          <w:kern w:val="2"/>
          <w:szCs w:val="32"/>
          <w:highlight w:val="none"/>
          <w:lang w:val="en-US" w:eastAsia="zh-CN" w:bidi="ar-SA"/>
        </w:rPr>
        <w:t>促进青少年全面发展</w:t>
      </w:r>
      <w:r>
        <w:tab/>
      </w:r>
      <w:r>
        <w:fldChar w:fldCharType="begin"/>
      </w:r>
      <w:r>
        <w:instrText xml:space="preserve"> PAGEREF _Toc8359 \h </w:instrText>
      </w:r>
      <w:r>
        <w:fldChar w:fldCharType="separate"/>
      </w:r>
      <w:r>
        <w:t>- 94 -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6C9FBA7C">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_Toc3421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第三节 </w:t>
      </w:r>
      <w:r>
        <w:rPr>
          <w:rFonts w:hint="default" w:ascii="Times New Roman" w:hAnsi="Times New Roman" w:eastAsia="楷体_GB2312" w:cs="Times New Roman"/>
          <w:bCs w:val="0"/>
          <w:kern w:val="2"/>
          <w:szCs w:val="32"/>
          <w:highlight w:val="none"/>
          <w:lang w:val="en-US" w:eastAsia="zh-CN" w:bidi="ar-SA"/>
        </w:rPr>
        <w:t>健全养老服务体系</w:t>
      </w:r>
      <w:r>
        <w:tab/>
      </w:r>
      <w:r>
        <w:fldChar w:fldCharType="begin"/>
      </w:r>
      <w:r>
        <w:instrText xml:space="preserve"> PAGEREF _Toc3421 \h </w:instrText>
      </w:r>
      <w:r>
        <w:fldChar w:fldCharType="separate"/>
      </w:r>
      <w:r>
        <w:t>- 94 -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1FC3D0D0">
      <w:pPr>
        <w:pStyle w:val="14"/>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_Toc23496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方正小标宋简体" w:cs="Times New Roman"/>
          <w:kern w:val="2"/>
          <w:szCs w:val="44"/>
          <w:lang w:val="en-US" w:eastAsia="zh-CN" w:bidi="ar-SA"/>
        </w:rPr>
        <w:t xml:space="preserve">第九篇 </w:t>
      </w:r>
      <w:r>
        <w:rPr>
          <w:rFonts w:hint="default" w:ascii="Times New Roman" w:hAnsi="Times New Roman" w:eastAsia="方正小标宋简体" w:cs="Times New Roman"/>
          <w:kern w:val="2"/>
          <w:szCs w:val="44"/>
          <w:highlight w:val="none"/>
          <w:lang w:val="en-US" w:eastAsia="zh-CN" w:bidi="ar-SA"/>
        </w:rPr>
        <w:t>强化文化人才科技支撑，激发经济社会发展动能</w:t>
      </w:r>
      <w:r>
        <w:tab/>
      </w:r>
      <w:r>
        <w:fldChar w:fldCharType="begin"/>
      </w:r>
      <w:r>
        <w:instrText xml:space="preserve"> PAGEREF _Toc23496 \h </w:instrText>
      </w:r>
      <w:r>
        <w:fldChar w:fldCharType="separate"/>
      </w:r>
      <w:r>
        <w:t>- 96 -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11287F7D">
      <w:pPr>
        <w:pStyle w:val="15"/>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_Toc4566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方正小标宋简体" w:hAnsi="方正小标宋简体" w:eastAsia="黑体" w:cs="黑体"/>
          <w:kern w:val="2"/>
          <w:szCs w:val="32"/>
          <w:lang w:val="en-US" w:eastAsia="zh-CN" w:bidi="ar-SA"/>
        </w:rPr>
        <w:t xml:space="preserve">第三十三章 </w:t>
      </w:r>
      <w:r>
        <w:rPr>
          <w:rFonts w:hint="default" w:ascii="Times New Roman" w:hAnsi="Times New Roman" w:eastAsia="黑体" w:cs="Times New Roman"/>
          <w:kern w:val="2"/>
          <w:szCs w:val="24"/>
          <w:highlight w:val="none"/>
          <w:lang w:val="en-US" w:eastAsia="zh-CN" w:bidi="ar-SA"/>
        </w:rPr>
        <w:t>提升文化综合实力水平</w:t>
      </w:r>
      <w:r>
        <w:tab/>
      </w:r>
      <w:r>
        <w:fldChar w:fldCharType="begin"/>
      </w:r>
      <w:r>
        <w:instrText xml:space="preserve"> PAGEREF _Toc4566 \h </w:instrText>
      </w:r>
      <w:r>
        <w:fldChar w:fldCharType="separate"/>
      </w:r>
      <w:r>
        <w:t>- 96 -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7128D261">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_Toc12015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第一节 </w:t>
      </w:r>
      <w:r>
        <w:rPr>
          <w:rFonts w:hint="default" w:ascii="Times New Roman" w:hAnsi="Times New Roman" w:eastAsia="楷体_GB2312" w:cs="Times New Roman"/>
          <w:bCs w:val="0"/>
          <w:kern w:val="2"/>
          <w:szCs w:val="32"/>
          <w:highlight w:val="none"/>
          <w:lang w:val="en-US" w:eastAsia="zh-CN" w:bidi="ar-SA"/>
        </w:rPr>
        <w:t>持续提高社会文明程度</w:t>
      </w:r>
      <w:r>
        <w:tab/>
      </w:r>
      <w:r>
        <w:fldChar w:fldCharType="begin"/>
      </w:r>
      <w:r>
        <w:instrText xml:space="preserve"> PAGEREF _Toc12015 \h </w:instrText>
      </w:r>
      <w:r>
        <w:fldChar w:fldCharType="separate"/>
      </w:r>
      <w:r>
        <w:t>- 96 -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2353DDBE">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_Toc28747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第二节 </w:t>
      </w:r>
      <w:r>
        <w:rPr>
          <w:rFonts w:hint="default" w:ascii="Times New Roman" w:hAnsi="Times New Roman" w:eastAsia="楷体_GB2312" w:cs="Times New Roman"/>
          <w:bCs w:val="0"/>
          <w:kern w:val="2"/>
          <w:szCs w:val="32"/>
          <w:highlight w:val="none"/>
          <w:lang w:val="en-US" w:eastAsia="zh-CN" w:bidi="ar-SA"/>
        </w:rPr>
        <w:t>传承弘扬优秀传统文化</w:t>
      </w:r>
      <w:r>
        <w:tab/>
      </w:r>
      <w:r>
        <w:fldChar w:fldCharType="begin"/>
      </w:r>
      <w:r>
        <w:instrText xml:space="preserve"> PAGEREF _Toc28747 \h </w:instrText>
      </w:r>
      <w:r>
        <w:fldChar w:fldCharType="separate"/>
      </w:r>
      <w:r>
        <w:t>- 97 -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5C829477">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_Toc7922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第三节 </w:t>
      </w:r>
      <w:r>
        <w:rPr>
          <w:rFonts w:hint="default" w:ascii="Times New Roman" w:hAnsi="Times New Roman" w:eastAsia="楷体_GB2312" w:cs="Times New Roman"/>
          <w:bCs w:val="0"/>
          <w:kern w:val="2"/>
          <w:szCs w:val="32"/>
          <w:highlight w:val="none"/>
          <w:lang w:val="en-US" w:eastAsia="zh-CN" w:bidi="ar-SA"/>
        </w:rPr>
        <w:t>提升公共文化服务水平</w:t>
      </w:r>
      <w:r>
        <w:tab/>
      </w:r>
      <w:r>
        <w:fldChar w:fldCharType="begin"/>
      </w:r>
      <w:r>
        <w:instrText xml:space="preserve"> PAGEREF _Toc7922 \h </w:instrText>
      </w:r>
      <w:r>
        <w:fldChar w:fldCharType="separate"/>
      </w:r>
      <w:r>
        <w:t>- 97 -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5B99E766">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_Toc17599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第四节 </w:t>
      </w:r>
      <w:r>
        <w:rPr>
          <w:rFonts w:hint="default" w:ascii="Times New Roman" w:hAnsi="Times New Roman" w:eastAsia="楷体_GB2312" w:cs="Times New Roman"/>
          <w:bCs w:val="0"/>
          <w:kern w:val="2"/>
          <w:szCs w:val="32"/>
          <w:highlight w:val="none"/>
          <w:lang w:val="en-US" w:eastAsia="zh-CN" w:bidi="ar-SA"/>
        </w:rPr>
        <w:t>培育壮大特色文化产业</w:t>
      </w:r>
      <w:r>
        <w:tab/>
      </w:r>
      <w:r>
        <w:fldChar w:fldCharType="begin"/>
      </w:r>
      <w:r>
        <w:instrText xml:space="preserve"> PAGEREF _Toc17599 \h </w:instrText>
      </w:r>
      <w:r>
        <w:fldChar w:fldCharType="separate"/>
      </w:r>
      <w:r>
        <w:t>- 98 -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1DB94CF2">
      <w:pPr>
        <w:pStyle w:val="15"/>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_Toc24638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方正小标宋简体" w:hAnsi="方正小标宋简体" w:eastAsia="黑体" w:cs="黑体"/>
          <w:kern w:val="2"/>
          <w:szCs w:val="32"/>
          <w:lang w:val="en-US" w:eastAsia="zh-CN" w:bidi="ar-SA"/>
        </w:rPr>
        <w:t xml:space="preserve">第三十四章 </w:t>
      </w:r>
      <w:r>
        <w:rPr>
          <w:rFonts w:hint="default" w:ascii="Times New Roman" w:hAnsi="Times New Roman" w:eastAsia="黑体" w:cs="Times New Roman"/>
          <w:kern w:val="2"/>
          <w:szCs w:val="24"/>
          <w:highlight w:val="none"/>
          <w:lang w:val="en-US" w:eastAsia="zh-CN" w:bidi="ar-SA"/>
        </w:rPr>
        <w:t>着力强化人才支撑力度</w:t>
      </w:r>
      <w:r>
        <w:tab/>
      </w:r>
      <w:r>
        <w:fldChar w:fldCharType="begin"/>
      </w:r>
      <w:r>
        <w:instrText xml:space="preserve"> PAGEREF _Toc24638 \h </w:instrText>
      </w:r>
      <w:r>
        <w:fldChar w:fldCharType="separate"/>
      </w:r>
      <w:r>
        <w:t>- 100 -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5004DD5A">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_Toc16506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第一节 </w:t>
      </w:r>
      <w:r>
        <w:rPr>
          <w:rFonts w:hint="default" w:ascii="Times New Roman" w:hAnsi="Times New Roman" w:eastAsia="楷体_GB2312" w:cs="Times New Roman"/>
          <w:bCs w:val="0"/>
          <w:kern w:val="2"/>
          <w:szCs w:val="32"/>
          <w:highlight w:val="none"/>
          <w:lang w:val="en-US" w:eastAsia="zh-CN" w:bidi="ar-SA"/>
        </w:rPr>
        <w:t>做好人才引育留用</w:t>
      </w:r>
      <w:r>
        <w:tab/>
      </w:r>
      <w:r>
        <w:fldChar w:fldCharType="begin"/>
      </w:r>
      <w:r>
        <w:instrText xml:space="preserve"> PAGEREF _Toc16506 \h </w:instrText>
      </w:r>
      <w:r>
        <w:fldChar w:fldCharType="separate"/>
      </w:r>
      <w:r>
        <w:t>- 100 -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6F735C74">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_Toc15179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第二节 </w:t>
      </w:r>
      <w:r>
        <w:rPr>
          <w:rFonts w:hint="default" w:ascii="Times New Roman" w:hAnsi="Times New Roman" w:eastAsia="楷体_GB2312" w:cs="Times New Roman"/>
          <w:bCs w:val="0"/>
          <w:kern w:val="2"/>
          <w:szCs w:val="32"/>
          <w:highlight w:val="none"/>
          <w:lang w:val="en-US" w:eastAsia="zh-CN" w:bidi="ar-SA"/>
        </w:rPr>
        <w:t>优化人才发展环境</w:t>
      </w:r>
      <w:r>
        <w:tab/>
      </w:r>
      <w:r>
        <w:fldChar w:fldCharType="begin"/>
      </w:r>
      <w:r>
        <w:instrText xml:space="preserve"> PAGEREF _Toc15179 \h </w:instrText>
      </w:r>
      <w:r>
        <w:fldChar w:fldCharType="separate"/>
      </w:r>
      <w:r>
        <w:t>- 100 -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37D19E03">
      <w:pPr>
        <w:pStyle w:val="15"/>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_Toc7482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方正小标宋简体" w:hAnsi="方正小标宋简体" w:eastAsia="黑体" w:cs="黑体"/>
          <w:kern w:val="2"/>
          <w:szCs w:val="32"/>
          <w:lang w:val="en-US" w:eastAsia="zh-CN" w:bidi="ar-SA"/>
        </w:rPr>
        <w:t xml:space="preserve">第三十五章 </w:t>
      </w:r>
      <w:r>
        <w:rPr>
          <w:rFonts w:hint="default" w:ascii="Times New Roman" w:hAnsi="Times New Roman" w:eastAsia="黑体" w:cs="Times New Roman"/>
          <w:kern w:val="2"/>
          <w:szCs w:val="24"/>
          <w:highlight w:val="none"/>
          <w:lang w:val="en-US" w:eastAsia="zh-CN" w:bidi="ar-SA"/>
        </w:rPr>
        <w:t>加强科技创新能力建设</w:t>
      </w:r>
      <w:r>
        <w:tab/>
      </w:r>
      <w:r>
        <w:fldChar w:fldCharType="begin"/>
      </w:r>
      <w:r>
        <w:instrText xml:space="preserve"> PAGEREF _Toc7482 \h </w:instrText>
      </w:r>
      <w:r>
        <w:fldChar w:fldCharType="separate"/>
      </w:r>
      <w:r>
        <w:t>- 101 -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5A43408B">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_Toc20854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第一节 </w:t>
      </w:r>
      <w:r>
        <w:rPr>
          <w:rFonts w:hint="default" w:ascii="Times New Roman" w:hAnsi="Times New Roman" w:eastAsia="楷体_GB2312" w:cs="Times New Roman"/>
          <w:bCs w:val="0"/>
          <w:kern w:val="2"/>
          <w:szCs w:val="32"/>
          <w:highlight w:val="none"/>
          <w:lang w:val="en-US" w:eastAsia="zh-CN" w:bidi="ar-SA"/>
        </w:rPr>
        <w:t>提高企业创新能力</w:t>
      </w:r>
      <w:r>
        <w:tab/>
      </w:r>
      <w:r>
        <w:fldChar w:fldCharType="begin"/>
      </w:r>
      <w:r>
        <w:instrText xml:space="preserve"> PAGEREF _Toc20854 \h </w:instrText>
      </w:r>
      <w:r>
        <w:fldChar w:fldCharType="separate"/>
      </w:r>
      <w:r>
        <w:t>- 101 -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6139674C">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_Toc29465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第二节 </w:t>
      </w:r>
      <w:r>
        <w:rPr>
          <w:rFonts w:hint="default" w:ascii="Times New Roman" w:hAnsi="Times New Roman" w:eastAsia="楷体_GB2312" w:cs="Times New Roman"/>
          <w:bCs w:val="0"/>
          <w:kern w:val="2"/>
          <w:szCs w:val="32"/>
          <w:highlight w:val="none"/>
          <w:lang w:val="en-US" w:eastAsia="zh-CN" w:bidi="ar-SA"/>
        </w:rPr>
        <w:t>促进科技成果应用</w:t>
      </w:r>
      <w:r>
        <w:tab/>
      </w:r>
      <w:r>
        <w:fldChar w:fldCharType="begin"/>
      </w:r>
      <w:r>
        <w:instrText xml:space="preserve"> PAGEREF _Toc29465 \h </w:instrText>
      </w:r>
      <w:r>
        <w:fldChar w:fldCharType="separate"/>
      </w:r>
      <w:r>
        <w:t>- 102 -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02B34154">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_Toc11739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第三节 </w:t>
      </w:r>
      <w:r>
        <w:rPr>
          <w:rFonts w:hint="default" w:ascii="Times New Roman" w:hAnsi="Times New Roman" w:eastAsia="楷体_GB2312" w:cs="Times New Roman"/>
          <w:bCs w:val="0"/>
          <w:kern w:val="2"/>
          <w:szCs w:val="32"/>
          <w:highlight w:val="none"/>
          <w:lang w:val="en-US" w:eastAsia="zh-CN" w:bidi="ar-SA"/>
        </w:rPr>
        <w:t>营造良好创新环境</w:t>
      </w:r>
      <w:r>
        <w:tab/>
      </w:r>
      <w:r>
        <w:fldChar w:fldCharType="begin"/>
      </w:r>
      <w:r>
        <w:instrText xml:space="preserve"> PAGEREF _Toc11739 \h </w:instrText>
      </w:r>
      <w:r>
        <w:fldChar w:fldCharType="separate"/>
      </w:r>
      <w:r>
        <w:t>- 102 -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5E1ACEBB">
      <w:pPr>
        <w:pStyle w:val="14"/>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_Toc20100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方正小标宋简体" w:cs="Times New Roman"/>
          <w:kern w:val="2"/>
          <w:szCs w:val="44"/>
          <w:lang w:val="en-US" w:eastAsia="zh-CN" w:bidi="ar-SA"/>
        </w:rPr>
        <w:t xml:space="preserve">第十篇 </w:t>
      </w:r>
      <w:r>
        <w:rPr>
          <w:rFonts w:hint="default" w:ascii="Times New Roman" w:hAnsi="Times New Roman" w:eastAsia="方正小标宋简体" w:cs="Times New Roman"/>
          <w:kern w:val="2"/>
          <w:szCs w:val="44"/>
          <w:highlight w:val="none"/>
          <w:lang w:val="en-US" w:eastAsia="zh-CN" w:bidi="ar-SA"/>
        </w:rPr>
        <w:t>推行社会治理精细举措，维护安定团结稳定大局</w:t>
      </w:r>
      <w:r>
        <w:tab/>
      </w:r>
      <w:r>
        <w:fldChar w:fldCharType="begin"/>
      </w:r>
      <w:r>
        <w:instrText xml:space="preserve"> PAGEREF _Toc20100 \h </w:instrText>
      </w:r>
      <w:r>
        <w:fldChar w:fldCharType="separate"/>
      </w:r>
      <w:r>
        <w:t>- 103 -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4191623D">
      <w:pPr>
        <w:pStyle w:val="15"/>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_Toc10735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方正小标宋简体" w:hAnsi="方正小标宋简体" w:eastAsia="黑体" w:cs="黑体"/>
          <w:kern w:val="2"/>
          <w:szCs w:val="32"/>
          <w:lang w:val="en-US" w:eastAsia="zh-CN" w:bidi="ar-SA"/>
        </w:rPr>
        <w:t xml:space="preserve">第三十六章 </w:t>
      </w:r>
      <w:r>
        <w:rPr>
          <w:rFonts w:hint="default" w:ascii="Times New Roman" w:hAnsi="Times New Roman" w:eastAsia="黑体" w:cs="Times New Roman"/>
          <w:kern w:val="2"/>
          <w:szCs w:val="24"/>
          <w:highlight w:val="none"/>
          <w:lang w:val="en-US" w:eastAsia="zh-CN" w:bidi="ar-SA"/>
        </w:rPr>
        <w:t>铸牢中华民族共同体意识</w:t>
      </w:r>
      <w:r>
        <w:tab/>
      </w:r>
      <w:r>
        <w:fldChar w:fldCharType="begin"/>
      </w:r>
      <w:r>
        <w:instrText xml:space="preserve"> PAGEREF _Toc10735 \h </w:instrText>
      </w:r>
      <w:r>
        <w:fldChar w:fldCharType="separate"/>
      </w:r>
      <w:r>
        <w:t>- 103 -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72EC9F35">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_Toc3821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第一节 </w:t>
      </w:r>
      <w:r>
        <w:rPr>
          <w:rFonts w:hint="default" w:ascii="Times New Roman" w:hAnsi="Times New Roman" w:eastAsia="楷体_GB2312" w:cs="Times New Roman"/>
          <w:bCs w:val="0"/>
          <w:kern w:val="2"/>
          <w:szCs w:val="32"/>
          <w:highlight w:val="none"/>
          <w:lang w:val="en-US" w:eastAsia="zh-CN" w:bidi="ar-SA"/>
        </w:rPr>
        <w:t>促进民族团结进步</w:t>
      </w:r>
      <w:r>
        <w:tab/>
      </w:r>
      <w:r>
        <w:fldChar w:fldCharType="begin"/>
      </w:r>
      <w:r>
        <w:instrText xml:space="preserve"> PAGEREF _Toc3821 \h </w:instrText>
      </w:r>
      <w:r>
        <w:fldChar w:fldCharType="separate"/>
      </w:r>
      <w:r>
        <w:t>- 103 -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021E18FB">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_Toc11234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第二节 </w:t>
      </w:r>
      <w:r>
        <w:rPr>
          <w:rFonts w:hint="default" w:ascii="Times New Roman" w:hAnsi="Times New Roman" w:eastAsia="楷体_GB2312" w:cs="Times New Roman"/>
          <w:bCs w:val="0"/>
          <w:kern w:val="2"/>
          <w:szCs w:val="32"/>
          <w:highlight w:val="none"/>
          <w:lang w:val="en-US" w:eastAsia="zh-CN" w:bidi="ar-SA"/>
        </w:rPr>
        <w:t>依法管理宗教事务</w:t>
      </w:r>
      <w:r>
        <w:tab/>
      </w:r>
      <w:r>
        <w:fldChar w:fldCharType="begin"/>
      </w:r>
      <w:r>
        <w:instrText xml:space="preserve"> PAGEREF _Toc11234 \h </w:instrText>
      </w:r>
      <w:r>
        <w:fldChar w:fldCharType="separate"/>
      </w:r>
      <w:r>
        <w:t>- 104 -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03BCA330">
      <w:pPr>
        <w:pStyle w:val="15"/>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_Toc7210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方正小标宋简体" w:hAnsi="方正小标宋简体" w:eastAsia="黑体" w:cs="黑体"/>
          <w:kern w:val="2"/>
          <w:szCs w:val="32"/>
          <w:lang w:val="en-US" w:eastAsia="zh-CN" w:bidi="ar-SA"/>
        </w:rPr>
        <w:t xml:space="preserve">第三十七章 </w:t>
      </w:r>
      <w:r>
        <w:rPr>
          <w:rFonts w:hint="default" w:ascii="Times New Roman" w:hAnsi="Times New Roman" w:eastAsia="黑体" w:cs="Times New Roman"/>
          <w:kern w:val="2"/>
          <w:szCs w:val="24"/>
          <w:highlight w:val="none"/>
          <w:lang w:val="en-US" w:eastAsia="zh-CN" w:bidi="ar-SA"/>
        </w:rPr>
        <w:t>深入推进依法治县</w:t>
      </w:r>
      <w:r>
        <w:tab/>
      </w:r>
      <w:r>
        <w:fldChar w:fldCharType="begin"/>
      </w:r>
      <w:r>
        <w:instrText xml:space="preserve"> PAGEREF _Toc7210 \h </w:instrText>
      </w:r>
      <w:r>
        <w:fldChar w:fldCharType="separate"/>
      </w:r>
      <w:r>
        <w:t>- 104 -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190D2759">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_Toc13583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第一节 </w:t>
      </w:r>
      <w:r>
        <w:rPr>
          <w:rFonts w:hint="default" w:ascii="Times New Roman" w:hAnsi="Times New Roman" w:eastAsia="楷体_GB2312" w:cs="Times New Roman"/>
          <w:bCs w:val="0"/>
          <w:kern w:val="2"/>
          <w:szCs w:val="32"/>
          <w:highlight w:val="none"/>
          <w:lang w:val="en-US" w:eastAsia="zh-CN" w:bidi="ar-SA"/>
        </w:rPr>
        <w:t>持续推进法治政府建设</w:t>
      </w:r>
      <w:r>
        <w:tab/>
      </w:r>
      <w:r>
        <w:fldChar w:fldCharType="begin"/>
      </w:r>
      <w:r>
        <w:instrText xml:space="preserve"> PAGEREF _Toc13583 \h </w:instrText>
      </w:r>
      <w:r>
        <w:fldChar w:fldCharType="separate"/>
      </w:r>
      <w:r>
        <w:t>- 104 -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71FE1A68">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_Toc12182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第二节 </w:t>
      </w:r>
      <w:r>
        <w:rPr>
          <w:rFonts w:hint="default" w:ascii="Times New Roman" w:hAnsi="Times New Roman" w:eastAsia="楷体_GB2312" w:cs="Times New Roman"/>
          <w:bCs w:val="0"/>
          <w:kern w:val="2"/>
          <w:szCs w:val="32"/>
          <w:highlight w:val="none"/>
          <w:lang w:val="en-US" w:eastAsia="zh-CN" w:bidi="ar-SA"/>
        </w:rPr>
        <w:t>规范提升公共法律服务</w:t>
      </w:r>
      <w:r>
        <w:tab/>
      </w:r>
      <w:r>
        <w:fldChar w:fldCharType="begin"/>
      </w:r>
      <w:r>
        <w:instrText xml:space="preserve"> PAGEREF _Toc12182 \h </w:instrText>
      </w:r>
      <w:r>
        <w:fldChar w:fldCharType="separate"/>
      </w:r>
      <w:r>
        <w:t>- 105 -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1DE5FCA4">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_Toc10510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第三节 </w:t>
      </w:r>
      <w:r>
        <w:rPr>
          <w:rFonts w:hint="default" w:ascii="Times New Roman" w:hAnsi="Times New Roman" w:eastAsia="楷体_GB2312" w:cs="Times New Roman"/>
          <w:bCs w:val="0"/>
          <w:kern w:val="2"/>
          <w:szCs w:val="32"/>
          <w:highlight w:val="none"/>
          <w:lang w:val="en-US" w:eastAsia="zh-CN" w:bidi="ar-SA"/>
        </w:rPr>
        <w:t>深入开展普法宣传教育</w:t>
      </w:r>
      <w:r>
        <w:tab/>
      </w:r>
      <w:r>
        <w:fldChar w:fldCharType="begin"/>
      </w:r>
      <w:r>
        <w:instrText xml:space="preserve"> PAGEREF _Toc10510 \h </w:instrText>
      </w:r>
      <w:r>
        <w:fldChar w:fldCharType="separate"/>
      </w:r>
      <w:r>
        <w:t>- 105 -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01379B1F">
      <w:pPr>
        <w:pStyle w:val="15"/>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_Toc6000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方正小标宋简体" w:hAnsi="方正小标宋简体" w:eastAsia="黑体" w:cs="黑体"/>
          <w:kern w:val="2"/>
          <w:szCs w:val="32"/>
          <w:lang w:val="en-US" w:eastAsia="zh-CN" w:bidi="ar-SA"/>
        </w:rPr>
        <w:t xml:space="preserve">第三十八章 </w:t>
      </w:r>
      <w:r>
        <w:rPr>
          <w:rFonts w:hint="default" w:ascii="Times New Roman" w:hAnsi="Times New Roman" w:eastAsia="黑体" w:cs="Times New Roman"/>
          <w:kern w:val="2"/>
          <w:szCs w:val="24"/>
          <w:highlight w:val="none"/>
          <w:lang w:val="en-US" w:eastAsia="zh-CN" w:bidi="ar-SA"/>
        </w:rPr>
        <w:t>完善基层治理体系</w:t>
      </w:r>
      <w:r>
        <w:tab/>
      </w:r>
      <w:r>
        <w:fldChar w:fldCharType="begin"/>
      </w:r>
      <w:r>
        <w:instrText xml:space="preserve"> PAGEREF _Toc6000 \h </w:instrText>
      </w:r>
      <w:r>
        <w:fldChar w:fldCharType="separate"/>
      </w:r>
      <w:r>
        <w:t>- 106 -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1564A19E">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_Toc14875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第一节 </w:t>
      </w:r>
      <w:r>
        <w:rPr>
          <w:rFonts w:hint="default" w:ascii="Times New Roman" w:hAnsi="Times New Roman" w:eastAsia="楷体_GB2312" w:cs="Times New Roman"/>
          <w:bCs w:val="0"/>
          <w:kern w:val="2"/>
          <w:szCs w:val="32"/>
          <w:highlight w:val="none"/>
          <w:lang w:val="en-US" w:eastAsia="zh-CN" w:bidi="ar-SA"/>
        </w:rPr>
        <w:t>强化基层组织治理</w:t>
      </w:r>
      <w:r>
        <w:tab/>
      </w:r>
      <w:r>
        <w:fldChar w:fldCharType="begin"/>
      </w:r>
      <w:r>
        <w:instrText xml:space="preserve"> PAGEREF _Toc14875 \h </w:instrText>
      </w:r>
      <w:r>
        <w:fldChar w:fldCharType="separate"/>
      </w:r>
      <w:r>
        <w:t>- 106 -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715858B0">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_Toc19988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第二节 </w:t>
      </w:r>
      <w:r>
        <w:rPr>
          <w:rFonts w:hint="default" w:ascii="Times New Roman" w:hAnsi="Times New Roman" w:eastAsia="楷体_GB2312" w:cs="Times New Roman"/>
          <w:bCs w:val="0"/>
          <w:kern w:val="2"/>
          <w:szCs w:val="32"/>
          <w:highlight w:val="none"/>
          <w:lang w:val="en-US" w:eastAsia="zh-CN" w:bidi="ar-SA"/>
        </w:rPr>
        <w:t>防范化解社会矛盾</w:t>
      </w:r>
      <w:r>
        <w:tab/>
      </w:r>
      <w:r>
        <w:fldChar w:fldCharType="begin"/>
      </w:r>
      <w:r>
        <w:instrText xml:space="preserve"> PAGEREF _Toc19988 \h </w:instrText>
      </w:r>
      <w:r>
        <w:fldChar w:fldCharType="separate"/>
      </w:r>
      <w:r>
        <w:t>- 106 -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1F498AF0">
      <w:pPr>
        <w:pStyle w:val="15"/>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_Toc3568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方正小标宋简体" w:hAnsi="方正小标宋简体" w:eastAsia="黑体" w:cs="黑体"/>
          <w:kern w:val="2"/>
          <w:szCs w:val="32"/>
          <w:lang w:val="en-US" w:eastAsia="zh-CN" w:bidi="ar-SA"/>
        </w:rPr>
        <w:t xml:space="preserve">第三十九章 </w:t>
      </w:r>
      <w:r>
        <w:rPr>
          <w:rFonts w:hint="default" w:ascii="Times New Roman" w:hAnsi="Times New Roman" w:eastAsia="黑体" w:cs="Times New Roman"/>
          <w:kern w:val="2"/>
          <w:szCs w:val="24"/>
          <w:highlight w:val="none"/>
          <w:lang w:val="en-US" w:eastAsia="zh-CN" w:bidi="ar-SA"/>
        </w:rPr>
        <w:t>筑牢社会安全防线</w:t>
      </w:r>
      <w:r>
        <w:tab/>
      </w:r>
      <w:r>
        <w:fldChar w:fldCharType="begin"/>
      </w:r>
      <w:r>
        <w:instrText xml:space="preserve"> PAGEREF _Toc3568 \h </w:instrText>
      </w:r>
      <w:r>
        <w:fldChar w:fldCharType="separate"/>
      </w:r>
      <w:r>
        <w:t>- 107 -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0B362AEE">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_Toc19444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第一节 </w:t>
      </w:r>
      <w:r>
        <w:rPr>
          <w:rFonts w:hint="default" w:ascii="Times New Roman" w:hAnsi="Times New Roman" w:eastAsia="楷体_GB2312" w:cs="Times New Roman"/>
          <w:bCs w:val="0"/>
          <w:kern w:val="2"/>
          <w:szCs w:val="32"/>
          <w:highlight w:val="none"/>
          <w:lang w:val="en-US" w:eastAsia="zh-CN" w:bidi="ar-SA"/>
        </w:rPr>
        <w:t>守牢意识形态安全</w:t>
      </w:r>
      <w:r>
        <w:tab/>
      </w:r>
      <w:r>
        <w:fldChar w:fldCharType="begin"/>
      </w:r>
      <w:r>
        <w:instrText xml:space="preserve"> PAGEREF _Toc19444 \h </w:instrText>
      </w:r>
      <w:r>
        <w:fldChar w:fldCharType="separate"/>
      </w:r>
      <w:r>
        <w:t>- 107 -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0EA705A3">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_Toc1612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第二节 </w:t>
      </w:r>
      <w:r>
        <w:rPr>
          <w:rFonts w:hint="default" w:ascii="Times New Roman" w:hAnsi="Times New Roman" w:eastAsia="楷体_GB2312" w:cs="Times New Roman"/>
          <w:bCs w:val="0"/>
          <w:kern w:val="2"/>
          <w:szCs w:val="32"/>
          <w:highlight w:val="none"/>
          <w:lang w:val="en-US" w:eastAsia="zh-CN" w:bidi="ar-SA"/>
        </w:rPr>
        <w:t>筑牢安全生产底线</w:t>
      </w:r>
      <w:r>
        <w:tab/>
      </w:r>
      <w:r>
        <w:fldChar w:fldCharType="begin"/>
      </w:r>
      <w:r>
        <w:instrText xml:space="preserve"> PAGEREF _Toc1612 \h </w:instrText>
      </w:r>
      <w:r>
        <w:fldChar w:fldCharType="separate"/>
      </w:r>
      <w:r>
        <w:t>- 107 -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46CA103B">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_Toc29321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第三节 </w:t>
      </w:r>
      <w:r>
        <w:rPr>
          <w:rFonts w:hint="default" w:ascii="Times New Roman" w:hAnsi="Times New Roman" w:eastAsia="楷体_GB2312" w:cs="Times New Roman"/>
          <w:bCs w:val="0"/>
          <w:kern w:val="2"/>
          <w:szCs w:val="32"/>
          <w:highlight w:val="none"/>
          <w:lang w:val="en-US" w:eastAsia="zh-CN" w:bidi="ar-SA"/>
        </w:rPr>
        <w:t>保障食品药品安全</w:t>
      </w:r>
      <w:r>
        <w:tab/>
      </w:r>
      <w:r>
        <w:fldChar w:fldCharType="begin"/>
      </w:r>
      <w:r>
        <w:instrText xml:space="preserve"> PAGEREF _Toc29321 \h </w:instrText>
      </w:r>
      <w:r>
        <w:fldChar w:fldCharType="separate"/>
      </w:r>
      <w:r>
        <w:t>- 108 -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24AFC581">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_Toc12977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第四节 </w:t>
      </w:r>
      <w:r>
        <w:rPr>
          <w:rFonts w:hint="default" w:ascii="Times New Roman" w:hAnsi="Times New Roman" w:eastAsia="楷体_GB2312" w:cs="Times New Roman"/>
          <w:bCs w:val="0"/>
          <w:kern w:val="2"/>
          <w:szCs w:val="32"/>
          <w:highlight w:val="none"/>
          <w:lang w:val="en-US" w:eastAsia="zh-CN" w:bidi="ar-SA"/>
        </w:rPr>
        <w:t>完善社会治安防控体系</w:t>
      </w:r>
      <w:r>
        <w:tab/>
      </w:r>
      <w:r>
        <w:fldChar w:fldCharType="begin"/>
      </w:r>
      <w:r>
        <w:instrText xml:space="preserve"> PAGEREF _Toc12977 \h </w:instrText>
      </w:r>
      <w:r>
        <w:fldChar w:fldCharType="separate"/>
      </w:r>
      <w:r>
        <w:t>- 108 -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484BCDD9">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_Toc8079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第五节 </w:t>
      </w:r>
      <w:r>
        <w:rPr>
          <w:rFonts w:hint="default" w:ascii="Times New Roman" w:hAnsi="Times New Roman" w:eastAsia="楷体_GB2312" w:cs="Times New Roman"/>
          <w:bCs w:val="0"/>
          <w:kern w:val="2"/>
          <w:szCs w:val="32"/>
          <w:highlight w:val="none"/>
          <w:lang w:val="en-US" w:eastAsia="zh-CN" w:bidi="ar-SA"/>
        </w:rPr>
        <w:t>加强国防动员建设</w:t>
      </w:r>
      <w:r>
        <w:tab/>
      </w:r>
      <w:r>
        <w:fldChar w:fldCharType="begin"/>
      </w:r>
      <w:r>
        <w:instrText xml:space="preserve"> PAGEREF _Toc8079 \h </w:instrText>
      </w:r>
      <w:r>
        <w:fldChar w:fldCharType="separate"/>
      </w:r>
      <w:r>
        <w:t>- 109 -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6CEBC0D9">
      <w:pPr>
        <w:pStyle w:val="15"/>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_Toc23846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方正小标宋简体" w:hAnsi="方正小标宋简体" w:eastAsia="黑体" w:cs="黑体"/>
          <w:kern w:val="2"/>
          <w:szCs w:val="32"/>
          <w:lang w:val="en-US" w:eastAsia="zh-CN" w:bidi="ar-SA"/>
        </w:rPr>
        <w:t xml:space="preserve">第四十章 </w:t>
      </w:r>
      <w:r>
        <w:rPr>
          <w:rFonts w:hint="default" w:ascii="Times New Roman" w:hAnsi="Times New Roman" w:eastAsia="黑体" w:cs="Times New Roman"/>
          <w:kern w:val="2"/>
          <w:szCs w:val="24"/>
          <w:highlight w:val="none"/>
          <w:lang w:val="en-US" w:eastAsia="zh-CN" w:bidi="ar-SA"/>
        </w:rPr>
        <w:t>提升灾害防治能力</w:t>
      </w:r>
      <w:r>
        <w:tab/>
      </w:r>
      <w:r>
        <w:fldChar w:fldCharType="begin"/>
      </w:r>
      <w:r>
        <w:instrText xml:space="preserve"> PAGEREF _Toc23846 \h </w:instrText>
      </w:r>
      <w:r>
        <w:fldChar w:fldCharType="separate"/>
      </w:r>
      <w:r>
        <w:t>- 110 -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61EC4B28">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_Toc13120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第一节 </w:t>
      </w:r>
      <w:r>
        <w:rPr>
          <w:rFonts w:hint="default" w:ascii="Times New Roman" w:hAnsi="Times New Roman" w:eastAsia="楷体_GB2312" w:cs="Times New Roman"/>
          <w:bCs w:val="0"/>
          <w:kern w:val="2"/>
          <w:szCs w:val="32"/>
          <w:highlight w:val="none"/>
          <w:lang w:val="en-US" w:eastAsia="zh-CN" w:bidi="ar-SA"/>
        </w:rPr>
        <w:t>健全应急管理体制</w:t>
      </w:r>
      <w:r>
        <w:tab/>
      </w:r>
      <w:r>
        <w:fldChar w:fldCharType="begin"/>
      </w:r>
      <w:r>
        <w:instrText xml:space="preserve"> PAGEREF _Toc13120 \h </w:instrText>
      </w:r>
      <w:r>
        <w:fldChar w:fldCharType="separate"/>
      </w:r>
      <w:r>
        <w:t>- 110 -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650B983E">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_Toc29185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第二节 </w:t>
      </w:r>
      <w:r>
        <w:rPr>
          <w:rFonts w:hint="default" w:ascii="Times New Roman" w:hAnsi="Times New Roman" w:eastAsia="楷体_GB2312" w:cs="Times New Roman"/>
          <w:bCs w:val="0"/>
          <w:kern w:val="2"/>
          <w:szCs w:val="32"/>
          <w:highlight w:val="none"/>
          <w:lang w:val="en-US" w:eastAsia="zh-CN" w:bidi="ar-SA"/>
        </w:rPr>
        <w:t>强化灾害监测预警</w:t>
      </w:r>
      <w:r>
        <w:tab/>
      </w:r>
      <w:r>
        <w:fldChar w:fldCharType="begin"/>
      </w:r>
      <w:r>
        <w:instrText xml:space="preserve"> PAGEREF _Toc29185 \h </w:instrText>
      </w:r>
      <w:r>
        <w:fldChar w:fldCharType="separate"/>
      </w:r>
      <w:r>
        <w:t>- 110 -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147C50DB">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_Toc27004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第三节 </w:t>
      </w:r>
      <w:r>
        <w:rPr>
          <w:rFonts w:hint="default" w:ascii="Times New Roman" w:hAnsi="Times New Roman" w:eastAsia="楷体_GB2312" w:cs="Times New Roman"/>
          <w:bCs w:val="0"/>
          <w:kern w:val="2"/>
          <w:szCs w:val="32"/>
          <w:highlight w:val="none"/>
          <w:lang w:val="en-US" w:eastAsia="zh-CN" w:bidi="ar-SA"/>
        </w:rPr>
        <w:t>深化自然灾害防治</w:t>
      </w:r>
      <w:r>
        <w:tab/>
      </w:r>
      <w:r>
        <w:fldChar w:fldCharType="begin"/>
      </w:r>
      <w:r>
        <w:instrText xml:space="preserve"> PAGEREF _Toc27004 \h </w:instrText>
      </w:r>
      <w:r>
        <w:fldChar w:fldCharType="separate"/>
      </w:r>
      <w:r>
        <w:t>- 111 -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49ECAA11">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_Toc17157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第四节 </w:t>
      </w:r>
      <w:r>
        <w:rPr>
          <w:rFonts w:hint="default" w:ascii="Times New Roman" w:hAnsi="Times New Roman" w:eastAsia="楷体_GB2312" w:cs="Times New Roman"/>
          <w:bCs w:val="0"/>
          <w:kern w:val="2"/>
          <w:szCs w:val="32"/>
          <w:highlight w:val="none"/>
          <w:lang w:val="en-US" w:eastAsia="zh-CN" w:bidi="ar-SA"/>
        </w:rPr>
        <w:t>提升应急保障能力</w:t>
      </w:r>
      <w:r>
        <w:tab/>
      </w:r>
      <w:r>
        <w:fldChar w:fldCharType="begin"/>
      </w:r>
      <w:r>
        <w:instrText xml:space="preserve"> PAGEREF _Toc17157 \h </w:instrText>
      </w:r>
      <w:r>
        <w:fldChar w:fldCharType="separate"/>
      </w:r>
      <w:r>
        <w:t>- 111 -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4C2B0177">
      <w:pPr>
        <w:pStyle w:val="14"/>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_Toc9455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方正小标宋简体" w:cs="Times New Roman"/>
          <w:kern w:val="2"/>
          <w:szCs w:val="44"/>
          <w:lang w:val="en-US" w:eastAsia="zh-CN" w:bidi="ar-SA"/>
        </w:rPr>
        <w:t xml:space="preserve">第十一篇 </w:t>
      </w:r>
      <w:r>
        <w:rPr>
          <w:rFonts w:hint="default" w:ascii="Times New Roman" w:hAnsi="Times New Roman" w:eastAsia="方正小标宋简体" w:cs="Times New Roman"/>
          <w:kern w:val="2"/>
          <w:szCs w:val="44"/>
          <w:highlight w:val="none"/>
          <w:lang w:val="en-US" w:eastAsia="zh-CN" w:bidi="ar-SA"/>
        </w:rPr>
        <w:t>强化规划实施保障</w:t>
      </w:r>
      <w:r>
        <w:tab/>
      </w:r>
      <w:r>
        <w:fldChar w:fldCharType="begin"/>
      </w:r>
      <w:r>
        <w:instrText xml:space="preserve"> PAGEREF _Toc9455 \h </w:instrText>
      </w:r>
      <w:r>
        <w:fldChar w:fldCharType="separate"/>
      </w:r>
      <w:r>
        <w:t>- 113 -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6A3BE019">
      <w:pPr>
        <w:pStyle w:val="15"/>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_Toc26705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方正小标宋简体" w:hAnsi="方正小标宋简体" w:eastAsia="黑体" w:cs="黑体"/>
          <w:kern w:val="2"/>
          <w:szCs w:val="32"/>
          <w:lang w:val="en-US" w:eastAsia="zh-CN" w:bidi="ar-SA"/>
        </w:rPr>
        <w:t xml:space="preserve">第四十一章 </w:t>
      </w:r>
      <w:r>
        <w:rPr>
          <w:rFonts w:hint="default" w:ascii="Times New Roman" w:hAnsi="Times New Roman" w:eastAsia="黑体" w:cs="Times New Roman"/>
          <w:kern w:val="2"/>
          <w:szCs w:val="24"/>
          <w:highlight w:val="none"/>
          <w:lang w:val="en-US" w:eastAsia="zh-CN" w:bidi="ar-SA"/>
        </w:rPr>
        <w:t>坚持党的全面领导</w:t>
      </w:r>
      <w:r>
        <w:tab/>
      </w:r>
      <w:r>
        <w:fldChar w:fldCharType="begin"/>
      </w:r>
      <w:r>
        <w:instrText xml:space="preserve"> PAGEREF _Toc26705 \h </w:instrText>
      </w:r>
      <w:r>
        <w:fldChar w:fldCharType="separate"/>
      </w:r>
      <w:r>
        <w:t>- 113 -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084E9FEC">
      <w:pPr>
        <w:pStyle w:val="15"/>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_Toc1212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方正小标宋简体" w:hAnsi="方正小标宋简体" w:eastAsia="黑体" w:cs="黑体"/>
          <w:kern w:val="2"/>
          <w:szCs w:val="32"/>
          <w:lang w:val="en-US" w:eastAsia="zh-CN" w:bidi="ar-SA"/>
        </w:rPr>
        <w:t xml:space="preserve">第四十二章 </w:t>
      </w:r>
      <w:r>
        <w:rPr>
          <w:rFonts w:hint="default" w:ascii="Times New Roman" w:hAnsi="Times New Roman" w:eastAsia="黑体" w:cs="Times New Roman"/>
          <w:kern w:val="2"/>
          <w:szCs w:val="24"/>
          <w:highlight w:val="none"/>
          <w:lang w:val="en-US" w:eastAsia="zh-CN" w:bidi="ar-SA"/>
        </w:rPr>
        <w:t>健全统一规划体系</w:t>
      </w:r>
      <w:r>
        <w:tab/>
      </w:r>
      <w:r>
        <w:fldChar w:fldCharType="begin"/>
      </w:r>
      <w:r>
        <w:instrText xml:space="preserve"> PAGEREF _Toc1212 \h </w:instrText>
      </w:r>
      <w:r>
        <w:fldChar w:fldCharType="separate"/>
      </w:r>
      <w:r>
        <w:t>- 114 -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59C5901F">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_Toc22009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第一节 </w:t>
      </w:r>
      <w:r>
        <w:rPr>
          <w:rFonts w:hint="default" w:ascii="Times New Roman" w:hAnsi="Times New Roman" w:eastAsia="楷体_GB2312" w:cs="Times New Roman"/>
          <w:bCs w:val="0"/>
          <w:kern w:val="2"/>
          <w:szCs w:val="32"/>
          <w:highlight w:val="none"/>
          <w:lang w:val="en-US" w:eastAsia="zh-CN" w:bidi="ar-SA"/>
        </w:rPr>
        <w:t>健全规划管理体系</w:t>
      </w:r>
      <w:r>
        <w:tab/>
      </w:r>
      <w:r>
        <w:fldChar w:fldCharType="begin"/>
      </w:r>
      <w:r>
        <w:instrText xml:space="preserve"> PAGEREF _Toc22009 \h </w:instrText>
      </w:r>
      <w:r>
        <w:fldChar w:fldCharType="separate"/>
      </w:r>
      <w:r>
        <w:t>- 114 -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4ECB52CE">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_Toc8249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第二节 </w:t>
      </w:r>
      <w:r>
        <w:rPr>
          <w:rFonts w:hint="default" w:ascii="Times New Roman" w:hAnsi="Times New Roman" w:eastAsia="楷体_GB2312" w:cs="Times New Roman"/>
          <w:bCs w:val="0"/>
          <w:kern w:val="2"/>
          <w:szCs w:val="32"/>
          <w:highlight w:val="none"/>
          <w:lang w:val="en-US" w:eastAsia="zh-CN" w:bidi="ar-SA"/>
        </w:rPr>
        <w:t>加强规划衔接</w:t>
      </w:r>
      <w:r>
        <w:rPr>
          <w:rFonts w:hint="eastAsia" w:eastAsia="楷体_GB2312" w:cs="Times New Roman"/>
          <w:bCs w:val="0"/>
          <w:kern w:val="2"/>
          <w:szCs w:val="32"/>
          <w:highlight w:val="none"/>
          <w:lang w:val="en-US" w:eastAsia="zh-CN" w:bidi="ar-SA"/>
        </w:rPr>
        <w:t>联动</w:t>
      </w:r>
      <w:r>
        <w:tab/>
      </w:r>
      <w:r>
        <w:fldChar w:fldCharType="begin"/>
      </w:r>
      <w:r>
        <w:instrText xml:space="preserve"> PAGEREF _Toc8249 \h </w:instrText>
      </w:r>
      <w:r>
        <w:fldChar w:fldCharType="separate"/>
      </w:r>
      <w:r>
        <w:t>- 114 -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58E9FB5C">
      <w:pPr>
        <w:pStyle w:val="15"/>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_Toc13122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方正小标宋简体" w:hAnsi="方正小标宋简体" w:eastAsia="黑体" w:cs="黑体"/>
          <w:kern w:val="2"/>
          <w:szCs w:val="32"/>
          <w:lang w:val="en-US" w:eastAsia="zh-CN" w:bidi="ar-SA"/>
        </w:rPr>
        <w:t xml:space="preserve">第四十三章 </w:t>
      </w:r>
      <w:r>
        <w:rPr>
          <w:rFonts w:hint="default" w:ascii="Times New Roman" w:hAnsi="Times New Roman" w:eastAsia="黑体" w:cs="Times New Roman"/>
          <w:kern w:val="2"/>
          <w:szCs w:val="24"/>
          <w:highlight w:val="none"/>
          <w:lang w:val="en-US" w:eastAsia="zh-CN" w:bidi="ar-SA"/>
        </w:rPr>
        <w:t>完善规划实施机制</w:t>
      </w:r>
      <w:r>
        <w:tab/>
      </w:r>
      <w:r>
        <w:fldChar w:fldCharType="begin"/>
      </w:r>
      <w:r>
        <w:instrText xml:space="preserve"> PAGEREF _Toc13122 \h </w:instrText>
      </w:r>
      <w:r>
        <w:fldChar w:fldCharType="separate"/>
      </w:r>
      <w:r>
        <w:t>- 115 -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04528117">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_Toc25016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第一节 </w:t>
      </w:r>
      <w:r>
        <w:rPr>
          <w:rFonts w:hint="default" w:ascii="Times New Roman" w:hAnsi="Times New Roman" w:eastAsia="楷体_GB2312" w:cs="Times New Roman"/>
          <w:bCs w:val="0"/>
          <w:kern w:val="2"/>
          <w:szCs w:val="32"/>
          <w:highlight w:val="none"/>
          <w:lang w:val="en-US" w:eastAsia="zh-CN" w:bidi="ar-SA"/>
        </w:rPr>
        <w:t>完善配套政策体系</w:t>
      </w:r>
      <w:r>
        <w:tab/>
      </w:r>
      <w:r>
        <w:fldChar w:fldCharType="begin"/>
      </w:r>
      <w:r>
        <w:instrText xml:space="preserve"> PAGEREF _Toc25016 \h </w:instrText>
      </w:r>
      <w:r>
        <w:fldChar w:fldCharType="separate"/>
      </w:r>
      <w:r>
        <w:t>- 115 -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6C7E8626">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_Toc10451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第二节 </w:t>
      </w:r>
      <w:r>
        <w:rPr>
          <w:rFonts w:hint="default" w:ascii="Times New Roman" w:hAnsi="Times New Roman" w:eastAsia="楷体_GB2312" w:cs="Times New Roman"/>
          <w:bCs w:val="0"/>
          <w:kern w:val="2"/>
          <w:szCs w:val="32"/>
          <w:highlight w:val="none"/>
          <w:lang w:val="en-US" w:eastAsia="zh-CN" w:bidi="ar-SA"/>
        </w:rPr>
        <w:t>强化重大项目支撑</w:t>
      </w:r>
      <w:r>
        <w:tab/>
      </w:r>
      <w:r>
        <w:fldChar w:fldCharType="begin"/>
      </w:r>
      <w:r>
        <w:instrText xml:space="preserve"> PAGEREF _Toc10451 \h </w:instrText>
      </w:r>
      <w:r>
        <w:fldChar w:fldCharType="separate"/>
      </w:r>
      <w:r>
        <w:t>- 115 -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4D95E1C4">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_Toc119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第三节 </w:t>
      </w:r>
      <w:r>
        <w:rPr>
          <w:rFonts w:hint="default" w:ascii="Times New Roman" w:hAnsi="Times New Roman" w:eastAsia="楷体_GB2312" w:cs="Times New Roman"/>
          <w:bCs w:val="0"/>
          <w:kern w:val="2"/>
          <w:szCs w:val="32"/>
          <w:highlight w:val="none"/>
          <w:lang w:val="en-US" w:eastAsia="zh-CN" w:bidi="ar-SA"/>
        </w:rPr>
        <w:t>加强规划目标考核</w:t>
      </w:r>
      <w:r>
        <w:tab/>
      </w:r>
      <w:r>
        <w:fldChar w:fldCharType="begin"/>
      </w:r>
      <w:r>
        <w:instrText xml:space="preserve"> PAGEREF _Toc119 \h </w:instrText>
      </w:r>
      <w:r>
        <w:fldChar w:fldCharType="separate"/>
      </w:r>
      <w:r>
        <w:t>- 115 -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2D21E688">
      <w:pPr>
        <w:pStyle w:val="10"/>
        <w:tabs>
          <w:tab w:val="right" w:leader="dot" w:pos="8845"/>
        </w:tabs>
      </w:pPr>
      <w:r>
        <w:rPr>
          <w:rFonts w:hint="default" w:ascii="Times New Roman" w:hAnsi="Times New Roman" w:eastAsia="仿宋_GB2312" w:cs="Times New Roman"/>
          <w:color w:val="auto"/>
          <w:kern w:val="2"/>
          <w:szCs w:val="22"/>
          <w:highlight w:val="none"/>
          <w:lang w:val="en-US" w:eastAsia="zh-CN" w:bidi="ar-SA"/>
        </w:rPr>
        <w:fldChar w:fldCharType="begin"/>
      </w:r>
      <w:r>
        <w:rPr>
          <w:rFonts w:hint="default" w:ascii="Times New Roman" w:hAnsi="Times New Roman" w:eastAsia="仿宋_GB2312" w:cs="Times New Roman"/>
          <w:kern w:val="2"/>
          <w:szCs w:val="22"/>
          <w:highlight w:val="none"/>
          <w:lang w:val="en-US" w:eastAsia="zh-CN" w:bidi="ar-SA"/>
        </w:rPr>
        <w:instrText xml:space="preserve"> HYPERLINK \l _Toc17757 </w:instrText>
      </w:r>
      <w:r>
        <w:rPr>
          <w:rFonts w:hint="default" w:ascii="Times New Roman" w:hAnsi="Times New Roman" w:eastAsia="仿宋_GB2312" w:cs="Times New Roman"/>
          <w:kern w:val="2"/>
          <w:szCs w:val="22"/>
          <w:highlight w:val="none"/>
          <w:lang w:val="en-US" w:eastAsia="zh-CN" w:bidi="ar-SA"/>
        </w:rPr>
        <w:fldChar w:fldCharType="separate"/>
      </w:r>
      <w:r>
        <w:rPr>
          <w:rFonts w:hint="eastAsia" w:ascii="Times New Roman" w:hAnsi="Times New Roman" w:eastAsia="楷体_GB2312" w:cs="Times New Roman"/>
          <w:bCs w:val="0"/>
          <w:kern w:val="2"/>
          <w:szCs w:val="32"/>
          <w:lang w:val="en-US" w:eastAsia="zh-CN" w:bidi="ar-SA"/>
        </w:rPr>
        <w:t xml:space="preserve">第四节 </w:t>
      </w:r>
      <w:r>
        <w:rPr>
          <w:rFonts w:hint="default" w:ascii="Times New Roman" w:hAnsi="Times New Roman" w:eastAsia="楷体_GB2312" w:cs="Times New Roman"/>
          <w:bCs w:val="0"/>
          <w:kern w:val="2"/>
          <w:szCs w:val="32"/>
          <w:highlight w:val="none"/>
          <w:lang w:val="en-US" w:eastAsia="zh-CN" w:bidi="ar-SA"/>
        </w:rPr>
        <w:t>加强规划监督评估</w:t>
      </w:r>
      <w:r>
        <w:tab/>
      </w:r>
      <w:r>
        <w:fldChar w:fldCharType="begin"/>
      </w:r>
      <w:r>
        <w:instrText xml:space="preserve"> PAGEREF _Toc17757 \h </w:instrText>
      </w:r>
      <w:r>
        <w:fldChar w:fldCharType="separate"/>
      </w:r>
      <w:r>
        <w:t>- 116 -</w:t>
      </w:r>
      <w:r>
        <w:fldChar w:fldCharType="end"/>
      </w:r>
      <w:r>
        <w:rPr>
          <w:rFonts w:hint="default" w:ascii="Times New Roman" w:hAnsi="Times New Roman" w:eastAsia="仿宋_GB2312" w:cs="Times New Roman"/>
          <w:color w:val="auto"/>
          <w:kern w:val="2"/>
          <w:szCs w:val="22"/>
          <w:highlight w:val="none"/>
          <w:lang w:val="en-US" w:eastAsia="zh-CN" w:bidi="ar-SA"/>
        </w:rPr>
        <w:fldChar w:fldCharType="end"/>
      </w:r>
    </w:p>
    <w:p w14:paraId="12E95CD6">
      <w:pPr>
        <w:rPr>
          <w:rFonts w:hint="default" w:ascii="Times New Roman" w:hAnsi="Times New Roman" w:cs="Times New Roman"/>
          <w:color w:val="auto"/>
          <w:highlight w:val="none"/>
        </w:rPr>
        <w:sectPr>
          <w:pgSz w:w="11906" w:h="16838"/>
          <w:pgMar w:top="2098" w:right="1474" w:bottom="1984" w:left="1587" w:header="851" w:footer="992" w:gutter="0"/>
          <w:pgNumType w:fmt="numberInDash"/>
          <w:cols w:space="0" w:num="1"/>
          <w:rtlGutter w:val="0"/>
          <w:docGrid w:type="lines" w:linePitch="439" w:charSpace="0"/>
        </w:sectPr>
      </w:pPr>
      <w:r>
        <w:rPr>
          <w:rFonts w:hint="default" w:ascii="Times New Roman" w:hAnsi="Times New Roman" w:eastAsia="仿宋_GB2312" w:cs="Times New Roman"/>
          <w:color w:val="auto"/>
          <w:kern w:val="2"/>
          <w:szCs w:val="22"/>
          <w:highlight w:val="none"/>
          <w:lang w:val="en-US" w:eastAsia="zh-CN" w:bidi="ar-SA"/>
        </w:rPr>
        <w:fldChar w:fldCharType="end"/>
      </w:r>
    </w:p>
    <w:p w14:paraId="44CC4B4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十五五”时期，是我国基本实现社会主义现代化夯实基础、全面发力的关键时期，也是理县全面建成阿坝典范“理县样板”的重要窗口期、攻坚发力期、成势成效期。《理县国民经济和社会发展第十五个五年规划纲要》深入贯彻党的二十届四中全会、省委十二届八次全会和州委十二届八次全会精神，根据《中共理县县委关于制定国民经济和社会发展第十五个五年规划的建议》编制，明确“十五五”时期全县经济社会发展的主要目标、重点任务和重大举措，是指导理县未来五年发展的纲领性文件，是政府履行职责的重要依据，是市场主体的行为导向，是全县人民的共同愿景。</w:t>
      </w:r>
    </w:p>
    <w:p w14:paraId="021E4E8F">
      <w:pPr>
        <w:keepNext w:val="0"/>
        <w:keepLines w:val="0"/>
        <w:pageBreakBefore w:val="0"/>
        <w:widowControl w:val="0"/>
        <w:numPr>
          <w:ilvl w:val="0"/>
          <w:numId w:val="3"/>
        </w:numPr>
        <w:kinsoku/>
        <w:wordWrap/>
        <w:overflowPunct/>
        <w:topLinePunct w:val="0"/>
        <w:autoSpaceDE/>
        <w:autoSpaceDN/>
        <w:bidi w:val="0"/>
        <w:adjustRightInd/>
        <w:snapToGrid w:val="0"/>
        <w:spacing w:before="313" w:beforeLines="100" w:after="313" w:afterLines="100" w:line="560" w:lineRule="exact"/>
        <w:ind w:left="0" w:leftChars="0" w:firstLine="0" w:firstLineChars="0"/>
        <w:jc w:val="center"/>
        <w:textAlignment w:val="auto"/>
        <w:outlineLvl w:val="0"/>
        <w:rPr>
          <w:rFonts w:hint="default" w:ascii="Times New Roman" w:hAnsi="Times New Roman" w:eastAsia="方正小标宋简体" w:cs="Times New Roman"/>
          <w:color w:val="auto"/>
          <w:spacing w:val="-11"/>
          <w:kern w:val="2"/>
          <w:sz w:val="44"/>
          <w:szCs w:val="44"/>
          <w:highlight w:val="none"/>
          <w:lang w:val="en-US" w:eastAsia="zh-CN" w:bidi="ar-SA"/>
        </w:rPr>
      </w:pPr>
      <w:r>
        <w:rPr>
          <w:rFonts w:hint="default" w:ascii="Times New Roman" w:hAnsi="Times New Roman" w:eastAsia="方正小标宋简体" w:cs="Times New Roman"/>
          <w:color w:val="auto"/>
          <w:spacing w:val="-11"/>
          <w:kern w:val="2"/>
          <w:sz w:val="44"/>
          <w:szCs w:val="44"/>
          <w:highlight w:val="none"/>
          <w:lang w:val="en-US" w:eastAsia="zh-CN" w:bidi="ar-SA"/>
        </w:rPr>
        <w:t xml:space="preserve"> </w:t>
      </w:r>
      <w:bookmarkStart w:id="0" w:name="_Toc27173"/>
      <w:bookmarkStart w:id="1" w:name="_Toc30658"/>
      <w:bookmarkStart w:id="2" w:name="_Toc14715"/>
      <w:bookmarkStart w:id="3" w:name="_Toc20700"/>
      <w:r>
        <w:rPr>
          <w:rFonts w:hint="default" w:ascii="Times New Roman" w:hAnsi="Times New Roman" w:eastAsia="方正小标宋简体" w:cs="Times New Roman"/>
          <w:color w:val="auto"/>
          <w:spacing w:val="-11"/>
          <w:kern w:val="2"/>
          <w:sz w:val="44"/>
          <w:szCs w:val="44"/>
          <w:highlight w:val="none"/>
          <w:lang w:val="en-US" w:eastAsia="zh-CN" w:bidi="ar-SA"/>
        </w:rPr>
        <w:t>锚定战略目标，</w:t>
      </w:r>
      <w:r>
        <w:rPr>
          <w:rFonts w:hint="default" w:ascii="Times New Roman" w:hAnsi="Times New Roman" w:eastAsia="方正小标宋简体" w:cs="Times New Roman"/>
          <w:color w:val="auto"/>
          <w:spacing w:val="-11"/>
          <w:kern w:val="2"/>
          <w:sz w:val="44"/>
          <w:szCs w:val="44"/>
          <w:highlight w:val="none"/>
          <w:lang w:val="en-US" w:eastAsia="zh-CN" w:bidi="ar-SA"/>
        </w:rPr>
        <w:fldChar w:fldCharType="begin"/>
      </w:r>
      <w:r>
        <w:rPr>
          <w:rFonts w:hint="default" w:ascii="Times New Roman" w:hAnsi="Times New Roman" w:eastAsia="方正小标宋简体" w:cs="Times New Roman"/>
          <w:color w:val="auto"/>
          <w:spacing w:val="-11"/>
          <w:kern w:val="2"/>
          <w:sz w:val="44"/>
          <w:szCs w:val="44"/>
          <w:highlight w:val="none"/>
          <w:lang w:val="en-US" w:eastAsia="zh-CN" w:bidi="ar-SA"/>
        </w:rPr>
        <w:instrText xml:space="preserve"> HYPERLINK \l "_Toc63164182" </w:instrText>
      </w:r>
      <w:r>
        <w:rPr>
          <w:rFonts w:hint="default" w:ascii="Times New Roman" w:hAnsi="Times New Roman" w:eastAsia="方正小标宋简体" w:cs="Times New Roman"/>
          <w:color w:val="auto"/>
          <w:spacing w:val="-11"/>
          <w:kern w:val="2"/>
          <w:sz w:val="44"/>
          <w:szCs w:val="44"/>
          <w:highlight w:val="none"/>
          <w:lang w:val="en-US" w:eastAsia="zh-CN" w:bidi="ar-SA"/>
        </w:rPr>
        <w:fldChar w:fldCharType="separate"/>
      </w:r>
      <w:r>
        <w:rPr>
          <w:rFonts w:hint="default" w:ascii="Times New Roman" w:hAnsi="Times New Roman" w:eastAsia="方正小标宋简体" w:cs="Times New Roman"/>
          <w:color w:val="auto"/>
          <w:spacing w:val="-11"/>
          <w:kern w:val="2"/>
          <w:sz w:val="44"/>
          <w:szCs w:val="44"/>
          <w:highlight w:val="none"/>
          <w:lang w:val="en-US" w:eastAsia="zh-CN" w:bidi="ar-SA"/>
        </w:rPr>
        <w:t>全面开启建设民族地区高质量发展新征程</w:t>
      </w:r>
      <w:r>
        <w:rPr>
          <w:rFonts w:hint="default" w:ascii="Times New Roman" w:hAnsi="Times New Roman" w:eastAsia="方正小标宋简体" w:cs="Times New Roman"/>
          <w:color w:val="auto"/>
          <w:spacing w:val="-11"/>
          <w:kern w:val="2"/>
          <w:sz w:val="44"/>
          <w:szCs w:val="44"/>
          <w:highlight w:val="none"/>
          <w:lang w:val="en-US" w:eastAsia="zh-CN" w:bidi="ar-SA"/>
        </w:rPr>
        <w:fldChar w:fldCharType="end"/>
      </w:r>
      <w:bookmarkEnd w:id="0"/>
      <w:bookmarkEnd w:id="1"/>
      <w:bookmarkEnd w:id="2"/>
      <w:bookmarkEnd w:id="3"/>
    </w:p>
    <w:p w14:paraId="09A6377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十五五”时期，深入践行新发展理念，奋力推动富民强县、实现县域经济高质量发展，是理县经济社会发展的主线和全县人民的共同向往。主动顺应宏观环境之变、区域战略之机、人民需求之盼，围绕主线积极作为、开拓进取，奋力谱写民族地区高质量发展阿坝典范的理县新篇章。</w:t>
      </w:r>
    </w:p>
    <w:p w14:paraId="7521BED1">
      <w:pPr>
        <w:keepNext/>
        <w:widowControl w:val="0"/>
        <w:numPr>
          <w:ilvl w:val="0"/>
          <w:numId w:val="1"/>
        </w:numPr>
        <w:bidi w:val="0"/>
        <w:snapToGrid w:val="0"/>
        <w:spacing w:before="100" w:beforeLines="100" w:after="100" w:afterLines="100" w:line="560" w:lineRule="exact"/>
        <w:ind w:left="0" w:leftChars="0" w:firstLine="0" w:firstLineChars="0"/>
        <w:jc w:val="center"/>
        <w:outlineLvl w:val="1"/>
        <w:rPr>
          <w:rFonts w:hint="default" w:ascii="Times New Roman" w:hAnsi="Times New Roman" w:eastAsia="黑体" w:cs="Times New Roman"/>
          <w:color w:val="auto"/>
          <w:kern w:val="2"/>
          <w:sz w:val="32"/>
          <w:szCs w:val="24"/>
          <w:highlight w:val="none"/>
          <w:lang w:val="en-US" w:eastAsia="zh-CN" w:bidi="ar-SA"/>
        </w:rPr>
      </w:pPr>
      <w:r>
        <w:rPr>
          <w:rFonts w:hint="default" w:ascii="Times New Roman" w:hAnsi="Times New Roman" w:eastAsia="黑体" w:cs="Times New Roman"/>
          <w:color w:val="auto"/>
          <w:kern w:val="2"/>
          <w:sz w:val="32"/>
          <w:szCs w:val="24"/>
          <w:highlight w:val="none"/>
          <w:lang w:val="en-US" w:eastAsia="zh-CN" w:bidi="ar-SA"/>
        </w:rPr>
        <w:t xml:space="preserve"> </w:t>
      </w:r>
      <w:bookmarkStart w:id="4" w:name="_Toc6641"/>
      <w:bookmarkStart w:id="5" w:name="_Toc14202"/>
      <w:bookmarkStart w:id="6" w:name="_Toc5672"/>
      <w:bookmarkStart w:id="7" w:name="_Toc9890"/>
      <w:r>
        <w:rPr>
          <w:rFonts w:hint="default" w:ascii="Times New Roman" w:hAnsi="Times New Roman" w:eastAsia="黑体" w:cs="Times New Roman"/>
          <w:color w:val="auto"/>
          <w:kern w:val="2"/>
          <w:sz w:val="32"/>
          <w:szCs w:val="24"/>
          <w:highlight w:val="none"/>
          <w:lang w:val="en-US" w:eastAsia="zh-CN" w:bidi="ar-SA"/>
        </w:rPr>
        <w:t>规划背景</w:t>
      </w:r>
      <w:bookmarkEnd w:id="4"/>
      <w:bookmarkEnd w:id="5"/>
      <w:bookmarkEnd w:id="6"/>
      <w:bookmarkEnd w:id="7"/>
    </w:p>
    <w:p w14:paraId="2585E281">
      <w:pPr>
        <w:keepNext/>
        <w:widowControl w:val="0"/>
        <w:numPr>
          <w:ilvl w:val="0"/>
          <w:numId w:val="2"/>
        </w:numPr>
        <w:bidi w:val="0"/>
        <w:snapToGrid w:val="0"/>
        <w:spacing w:before="100" w:beforeLines="100" w:after="100" w:afterLines="100" w:line="560" w:lineRule="exact"/>
        <w:ind w:left="0" w:leftChars="0"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8" w:name="_Toc18099"/>
      <w:bookmarkStart w:id="9" w:name="_Toc1769"/>
      <w:bookmarkStart w:id="10" w:name="_Toc5646"/>
      <w:bookmarkStart w:id="11" w:name="_Toc8128"/>
      <w:r>
        <w:rPr>
          <w:rFonts w:hint="default" w:ascii="Times New Roman" w:hAnsi="Times New Roman" w:eastAsia="楷体_GB2312" w:cs="Times New Roman"/>
          <w:b/>
          <w:bCs w:val="0"/>
          <w:color w:val="auto"/>
          <w:kern w:val="2"/>
          <w:sz w:val="32"/>
          <w:szCs w:val="32"/>
          <w:highlight w:val="none"/>
          <w:lang w:val="en-US" w:eastAsia="zh-CN" w:bidi="ar-SA"/>
        </w:rPr>
        <w:t>发展基础</w:t>
      </w:r>
      <w:bookmarkEnd w:id="8"/>
      <w:bookmarkEnd w:id="9"/>
      <w:bookmarkEnd w:id="10"/>
      <w:bookmarkEnd w:id="11"/>
    </w:p>
    <w:p w14:paraId="2687205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bookmarkStart w:id="12" w:name="_Toc286"/>
      <w:bookmarkStart w:id="13" w:name="_Toc24758"/>
      <w:bookmarkStart w:id="14" w:name="_Toc1641"/>
      <w:bookmarkStart w:id="15" w:name="_Toc13746"/>
      <w:bookmarkStart w:id="16" w:name="_Toc13669"/>
      <w:bookmarkStart w:id="17" w:name="_Toc29493"/>
      <w:bookmarkStart w:id="18" w:name="_Toc23810"/>
      <w:r>
        <w:rPr>
          <w:rFonts w:hint="default" w:ascii="Times New Roman" w:hAnsi="Times New Roman" w:eastAsia="仿宋_GB2312" w:cs="Times New Roman"/>
          <w:b w:val="0"/>
          <w:bCs w:val="0"/>
          <w:color w:val="auto"/>
          <w:sz w:val="32"/>
          <w:szCs w:val="32"/>
          <w:highlight w:val="none"/>
          <w:lang w:val="en-US" w:eastAsia="zh-CN"/>
        </w:rPr>
        <w:t>“十四五”以来，在县委、县政府坚强领导下，理县锚定“富民强县”总目标，以“十大工程30件大事”为抓手，高质量完成规划任务，经济实力、功能布局、城市能级、生态本底、民生福祉实现整体跃升，为“十五五”推动民族地区高质量发展奠定坚实基础。</w:t>
      </w:r>
    </w:p>
    <w:p w14:paraId="5D0FE7E2">
      <w:pPr>
        <w:keepNext w:val="0"/>
        <w:keepLines w:val="0"/>
        <w:pageBreakBefore w:val="0"/>
        <w:widowControl/>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经济实力跨上新台阶</w:t>
      </w:r>
      <w:r>
        <w:rPr>
          <w:rFonts w:hint="default" w:ascii="Times New Roman" w:hAnsi="Times New Roman" w:eastAsia="仿宋_GB2312" w:cs="Times New Roman"/>
          <w:b w:val="0"/>
          <w:bCs w:val="0"/>
          <w:color w:val="auto"/>
          <w:sz w:val="32"/>
          <w:szCs w:val="32"/>
          <w:highlight w:val="none"/>
          <w:lang w:val="en-US" w:eastAsia="zh-CN"/>
        </w:rPr>
        <w:t>。2025年地区生产总值达</w:t>
      </w:r>
      <w:r>
        <w:rPr>
          <w:rFonts w:hint="eastAsia" w:cs="Times New Roman"/>
          <w:b w:val="0"/>
          <w:bCs w:val="0"/>
          <w:color w:val="auto"/>
          <w:sz w:val="32"/>
          <w:szCs w:val="32"/>
          <w:highlight w:val="none"/>
          <w:lang w:val="en-US" w:eastAsia="zh-CN"/>
        </w:rPr>
        <w:t>40.0</w:t>
      </w:r>
      <w:r>
        <w:rPr>
          <w:rFonts w:hint="default" w:ascii="Times New Roman" w:hAnsi="Times New Roman" w:eastAsia="仿宋_GB2312" w:cs="Times New Roman"/>
          <w:b w:val="0"/>
          <w:bCs w:val="0"/>
          <w:color w:val="auto"/>
          <w:sz w:val="32"/>
          <w:szCs w:val="32"/>
          <w:highlight w:val="none"/>
          <w:lang w:val="en-US" w:eastAsia="zh-CN"/>
        </w:rPr>
        <w:t>亿元，年均增长</w:t>
      </w:r>
      <w:r>
        <w:rPr>
          <w:rFonts w:hint="eastAsia" w:ascii="Times New Roman" w:hAnsi="Times New Roman" w:eastAsia="仿宋_GB2312" w:cs="Times New Roman"/>
          <w:b w:val="0"/>
          <w:bCs w:val="0"/>
          <w:color w:val="auto"/>
          <w:sz w:val="32"/>
          <w:szCs w:val="32"/>
          <w:highlight w:val="none"/>
          <w:lang w:val="en-US" w:eastAsia="zh-CN"/>
        </w:rPr>
        <w:t>6.</w:t>
      </w:r>
      <w:r>
        <w:rPr>
          <w:rFonts w:hint="eastAsia" w:cs="Times New Roman"/>
          <w:b w:val="0"/>
          <w:bCs w:val="0"/>
          <w:color w:val="auto"/>
          <w:sz w:val="32"/>
          <w:szCs w:val="32"/>
          <w:highlight w:val="none"/>
          <w:lang w:val="en-US" w:eastAsia="zh-CN"/>
        </w:rPr>
        <w:t>7</w:t>
      </w:r>
      <w:r>
        <w:rPr>
          <w:rFonts w:hint="default" w:ascii="Times New Roman" w:hAnsi="Times New Roman" w:eastAsia="仿宋_GB2312" w:cs="Times New Roman"/>
          <w:b w:val="0"/>
          <w:bCs w:val="0"/>
          <w:color w:val="auto"/>
          <w:sz w:val="32"/>
          <w:szCs w:val="32"/>
          <w:highlight w:val="none"/>
          <w:lang w:val="en-US" w:eastAsia="zh-CN"/>
        </w:rPr>
        <w:t>%；地方财政收入1.8亿元；社会消费品零售总额6.</w:t>
      </w:r>
      <w:r>
        <w:rPr>
          <w:rFonts w:hint="eastAsia" w:cs="Times New Roman"/>
          <w:b w:val="0"/>
          <w:bCs w:val="0"/>
          <w:color w:val="auto"/>
          <w:sz w:val="32"/>
          <w:szCs w:val="32"/>
          <w:highlight w:val="none"/>
          <w:lang w:val="en-US" w:eastAsia="zh-CN"/>
        </w:rPr>
        <w:t>2</w:t>
      </w:r>
      <w:r>
        <w:rPr>
          <w:rFonts w:hint="default" w:ascii="Times New Roman" w:hAnsi="Times New Roman" w:eastAsia="仿宋_GB2312" w:cs="Times New Roman"/>
          <w:b w:val="0"/>
          <w:bCs w:val="0"/>
          <w:color w:val="auto"/>
          <w:sz w:val="32"/>
          <w:szCs w:val="32"/>
          <w:highlight w:val="none"/>
          <w:lang w:val="en-US" w:eastAsia="zh-CN"/>
        </w:rPr>
        <w:t>亿元，年均增长</w:t>
      </w:r>
      <w:r>
        <w:rPr>
          <w:rFonts w:hint="eastAsia" w:cs="Times New Roman"/>
          <w:b w:val="0"/>
          <w:bCs w:val="0"/>
          <w:color w:val="auto"/>
          <w:sz w:val="32"/>
          <w:szCs w:val="32"/>
          <w:highlight w:val="none"/>
          <w:lang w:val="en-US" w:eastAsia="zh-CN"/>
        </w:rPr>
        <w:t>5.3</w:t>
      </w:r>
      <w:r>
        <w:rPr>
          <w:rFonts w:hint="default" w:ascii="Times New Roman" w:hAnsi="Times New Roman" w:eastAsia="仿宋_GB2312" w:cs="Times New Roman"/>
          <w:b w:val="0"/>
          <w:bCs w:val="0"/>
          <w:color w:val="auto"/>
          <w:sz w:val="32"/>
          <w:szCs w:val="32"/>
          <w:highlight w:val="none"/>
          <w:lang w:val="en-US" w:eastAsia="zh-CN"/>
        </w:rPr>
        <w:t>%；城乡居民收入分别达</w:t>
      </w:r>
      <w:r>
        <w:rPr>
          <w:rFonts w:hint="default" w:ascii="Times New Roman" w:hAnsi="Times New Roman" w:eastAsia="仿宋_GB2312" w:cs="Times New Roman"/>
          <w:color w:val="auto"/>
          <w:sz w:val="32"/>
          <w:szCs w:val="32"/>
          <w:highlight w:val="none"/>
        </w:rPr>
        <w:t>43219元</w:t>
      </w:r>
      <w:r>
        <w:rPr>
          <w:rFonts w:hint="default" w:ascii="Times New Roman" w:hAnsi="Times New Roman" w:eastAsia="仿宋_GB2312" w:cs="Times New Roman"/>
          <w:b w:val="0"/>
          <w:bCs w:val="0"/>
          <w:color w:val="auto"/>
          <w:sz w:val="32"/>
          <w:szCs w:val="32"/>
          <w:highlight w:val="none"/>
          <w:lang w:val="en-US" w:eastAsia="zh-CN"/>
        </w:rPr>
        <w:t>、</w:t>
      </w:r>
      <w:r>
        <w:rPr>
          <w:rFonts w:hint="default" w:ascii="Times New Roman" w:hAnsi="Times New Roman" w:eastAsia="仿宋_GB2312" w:cs="Times New Roman"/>
          <w:color w:val="auto"/>
          <w:sz w:val="32"/>
          <w:szCs w:val="32"/>
          <w:highlight w:val="none"/>
        </w:rPr>
        <w:t>20486元</w:t>
      </w:r>
      <w:r>
        <w:rPr>
          <w:rFonts w:hint="default" w:ascii="Times New Roman" w:hAnsi="Times New Roman" w:eastAsia="仿宋_GB2312" w:cs="Times New Roman"/>
          <w:b w:val="0"/>
          <w:bCs w:val="0"/>
          <w:color w:val="auto"/>
          <w:sz w:val="32"/>
          <w:szCs w:val="32"/>
          <w:highlight w:val="none"/>
          <w:lang w:val="en-US" w:eastAsia="zh-CN"/>
        </w:rPr>
        <w:t>，年均增长</w:t>
      </w:r>
      <w:r>
        <w:rPr>
          <w:rFonts w:hint="eastAsia" w:ascii="Times New Roman" w:hAnsi="Times New Roman" w:eastAsia="仿宋_GB2312" w:cs="Times New Roman"/>
          <w:b w:val="0"/>
          <w:bCs w:val="0"/>
          <w:color w:val="auto"/>
          <w:sz w:val="32"/>
          <w:szCs w:val="32"/>
          <w:highlight w:val="none"/>
          <w:lang w:val="en-US" w:eastAsia="zh-CN"/>
        </w:rPr>
        <w:t>5.</w:t>
      </w:r>
      <w:r>
        <w:rPr>
          <w:rFonts w:hint="eastAsia" w:cs="Times New Roman"/>
          <w:b w:val="0"/>
          <w:bCs w:val="0"/>
          <w:color w:val="auto"/>
          <w:sz w:val="32"/>
          <w:szCs w:val="32"/>
          <w:highlight w:val="none"/>
          <w:lang w:val="en-US" w:eastAsia="zh-CN"/>
        </w:rPr>
        <w:t>3</w:t>
      </w:r>
      <w:r>
        <w:rPr>
          <w:rFonts w:hint="default" w:ascii="Times New Roman" w:hAnsi="Times New Roman" w:eastAsia="仿宋_GB2312" w:cs="Times New Roman"/>
          <w:b w:val="0"/>
          <w:bCs w:val="0"/>
          <w:color w:val="auto"/>
          <w:sz w:val="32"/>
          <w:szCs w:val="32"/>
          <w:highlight w:val="none"/>
          <w:lang w:val="en-US" w:eastAsia="zh-CN"/>
        </w:rPr>
        <w:t>%、</w:t>
      </w:r>
      <w:r>
        <w:rPr>
          <w:rFonts w:hint="eastAsia" w:ascii="Times New Roman" w:hAnsi="Times New Roman" w:eastAsia="仿宋_GB2312" w:cs="Times New Roman"/>
          <w:b w:val="0"/>
          <w:bCs w:val="0"/>
          <w:color w:val="auto"/>
          <w:sz w:val="32"/>
          <w:szCs w:val="32"/>
          <w:highlight w:val="none"/>
          <w:lang w:val="en-US" w:eastAsia="zh-CN"/>
        </w:rPr>
        <w:t>7.</w:t>
      </w:r>
      <w:r>
        <w:rPr>
          <w:rFonts w:hint="eastAsia" w:cs="Times New Roman"/>
          <w:b w:val="0"/>
          <w:bCs w:val="0"/>
          <w:color w:val="auto"/>
          <w:sz w:val="32"/>
          <w:szCs w:val="32"/>
          <w:highlight w:val="none"/>
          <w:lang w:val="en-US" w:eastAsia="zh-CN"/>
        </w:rPr>
        <w:t>4</w:t>
      </w:r>
      <w:r>
        <w:rPr>
          <w:rFonts w:hint="default" w:ascii="Times New Roman" w:hAnsi="Times New Roman" w:eastAsia="仿宋_GB2312" w:cs="Times New Roman"/>
          <w:b w:val="0"/>
          <w:bCs w:val="0"/>
          <w:color w:val="auto"/>
          <w:sz w:val="32"/>
          <w:szCs w:val="32"/>
          <w:highlight w:val="none"/>
          <w:lang w:val="en-US" w:eastAsia="zh-CN"/>
        </w:rPr>
        <w:t>%，县域经济总量与居民收入实现同步跨越。</w:t>
      </w:r>
      <w:r>
        <w:rPr>
          <w:rFonts w:hint="default" w:ascii="Times New Roman" w:hAnsi="Times New Roman" w:eastAsia="仿宋_GB2312" w:cs="Times New Roman"/>
          <w:b/>
          <w:bCs/>
          <w:color w:val="auto"/>
          <w:sz w:val="32"/>
          <w:szCs w:val="32"/>
          <w:highlight w:val="none"/>
          <w:lang w:val="en-US" w:eastAsia="zh-CN"/>
        </w:rPr>
        <w:t>产业发展取得新突破</w:t>
      </w:r>
      <w:r>
        <w:rPr>
          <w:rFonts w:hint="default" w:ascii="Times New Roman" w:hAnsi="Times New Roman" w:eastAsia="仿宋_GB2312" w:cs="Times New Roman"/>
          <w:b w:val="0"/>
          <w:bCs w:val="0"/>
          <w:color w:val="auto"/>
          <w:sz w:val="32"/>
          <w:szCs w:val="32"/>
          <w:highlight w:val="none"/>
          <w:lang w:val="en-US" w:eastAsia="zh-CN"/>
        </w:rPr>
        <w:t>。全域旅游发展量质齐升，成功创建“天府旅游名县”，桃坪村荣膺联合国“最佳旅游乡村”，</w:t>
      </w:r>
      <w:r>
        <w:rPr>
          <w:rFonts w:hint="default" w:ascii="Times New Roman" w:hAnsi="Times New Roman" w:eastAsia="仿宋_GB2312" w:cs="Times New Roman"/>
          <w:color w:val="auto"/>
          <w:sz w:val="32"/>
          <w:szCs w:val="22"/>
          <w:highlight w:val="none"/>
          <w:lang w:val="en-US" w:eastAsia="zh-CN"/>
        </w:rPr>
        <w:t>“理小路”自驾线路火爆全网，毕棚沟景区、桃坪羌寨·甘堡藏寨景区获评熊猫级景区</w:t>
      </w:r>
      <w:r>
        <w:rPr>
          <w:rFonts w:hint="default" w:ascii="Times New Roman" w:hAnsi="Times New Roman" w:eastAsia="仿宋_GB2312" w:cs="Times New Roman"/>
          <w:b w:val="0"/>
          <w:bCs w:val="0"/>
          <w:color w:val="auto"/>
          <w:sz w:val="32"/>
          <w:szCs w:val="32"/>
          <w:highlight w:val="none"/>
          <w:lang w:val="en-US" w:eastAsia="zh-CN"/>
        </w:rPr>
        <w:t>。高原特色农牧业稳进提质，</w:t>
      </w:r>
      <w:r>
        <w:rPr>
          <w:rFonts w:hint="default" w:ascii="Times New Roman" w:hAnsi="Times New Roman" w:eastAsia="仿宋_GB2312" w:cs="Times New Roman"/>
          <w:color w:val="auto"/>
          <w:sz w:val="32"/>
          <w:szCs w:val="22"/>
          <w:highlight w:val="none"/>
          <w:lang w:val="en-US" w:eastAsia="zh-CN"/>
        </w:rPr>
        <w:t>高原冷水鱼养殖项目建成投产，高原蔬菜园区成功创建省级三星园区</w:t>
      </w:r>
      <w:r>
        <w:rPr>
          <w:rFonts w:hint="default" w:ascii="Times New Roman" w:hAnsi="Times New Roman" w:eastAsia="仿宋_GB2312" w:cs="Times New Roman"/>
          <w:b w:val="0"/>
          <w:bCs w:val="0"/>
          <w:color w:val="auto"/>
          <w:sz w:val="32"/>
          <w:szCs w:val="32"/>
          <w:highlight w:val="none"/>
          <w:lang w:val="en-US" w:eastAsia="zh-CN"/>
        </w:rPr>
        <w:t>，</w:t>
      </w:r>
      <w:r>
        <w:rPr>
          <w:rFonts w:hint="default" w:ascii="Times New Roman" w:hAnsi="Times New Roman" w:eastAsia="仿宋_GB2312" w:cs="Times New Roman"/>
          <w:color w:val="auto"/>
          <w:sz w:val="32"/>
          <w:szCs w:val="22"/>
          <w:highlight w:val="none"/>
          <w:lang w:val="en-US" w:eastAsia="zh-CN"/>
        </w:rPr>
        <w:t>建成高标准农田2.62万亩，粮食产量达7</w:t>
      </w:r>
      <w:r>
        <w:rPr>
          <w:rFonts w:hint="eastAsia" w:ascii="Times New Roman" w:hAnsi="Times New Roman" w:eastAsia="仿宋_GB2312" w:cs="Times New Roman"/>
          <w:color w:val="auto"/>
          <w:sz w:val="32"/>
          <w:szCs w:val="22"/>
          <w:highlight w:val="none"/>
          <w:lang w:val="en-US" w:eastAsia="zh-CN"/>
        </w:rPr>
        <w:t>420</w:t>
      </w:r>
      <w:r>
        <w:rPr>
          <w:rFonts w:hint="default" w:ascii="Times New Roman" w:hAnsi="Times New Roman" w:eastAsia="仿宋_GB2312" w:cs="Times New Roman"/>
          <w:color w:val="auto"/>
          <w:sz w:val="32"/>
          <w:szCs w:val="22"/>
          <w:highlight w:val="none"/>
          <w:lang w:val="en-US" w:eastAsia="zh-CN"/>
        </w:rPr>
        <w:t>吨，超出“十四五”规划目标</w:t>
      </w:r>
      <w:r>
        <w:rPr>
          <w:rFonts w:hint="default" w:ascii="Times New Roman" w:hAnsi="Times New Roman" w:eastAsia="仿宋_GB2312" w:cs="Times New Roman"/>
          <w:b w:val="0"/>
          <w:bCs w:val="0"/>
          <w:color w:val="auto"/>
          <w:sz w:val="32"/>
          <w:szCs w:val="32"/>
          <w:highlight w:val="none"/>
          <w:lang w:val="en-US" w:eastAsia="zh-CN"/>
        </w:rPr>
        <w:t>；绿色工业加速向“清洁能源+”转型，大马场光伏等重大项目相继投运，福兴余热发电获“智改数转”奖补；</w:t>
      </w:r>
      <w:r>
        <w:rPr>
          <w:rFonts w:hint="default" w:ascii="Times New Roman" w:hAnsi="Times New Roman" w:eastAsia="仿宋_GB2312" w:cs="Times New Roman"/>
          <w:color w:val="auto"/>
          <w:sz w:val="32"/>
          <w:szCs w:val="22"/>
          <w:highlight w:val="none"/>
          <w:lang w:val="en-US" w:eastAsia="zh-CN"/>
        </w:rPr>
        <w:t>电子商务、现代物流业发展成效显著，</w:t>
      </w:r>
      <w:r>
        <w:rPr>
          <w:rFonts w:hint="default" w:ascii="Times New Roman" w:hAnsi="Times New Roman" w:eastAsia="仿宋_GB2312" w:cs="Times New Roman"/>
          <w:b w:val="0"/>
          <w:bCs w:val="0"/>
          <w:color w:val="auto"/>
          <w:sz w:val="32"/>
          <w:szCs w:val="32"/>
          <w:highlight w:val="none"/>
          <w:lang w:val="en-US" w:eastAsia="zh-CN"/>
        </w:rPr>
        <w:t>成功创建全国电子商务进农村示范县。</w:t>
      </w:r>
      <w:r>
        <w:rPr>
          <w:rFonts w:hint="default" w:ascii="Times New Roman" w:hAnsi="Times New Roman" w:eastAsia="仿宋_GB2312" w:cs="Times New Roman"/>
          <w:b/>
          <w:bCs/>
          <w:color w:val="auto"/>
          <w:sz w:val="32"/>
          <w:szCs w:val="32"/>
          <w:highlight w:val="none"/>
          <w:lang w:val="en-US" w:eastAsia="zh-CN"/>
        </w:rPr>
        <w:t>生态建设取得新进展</w:t>
      </w:r>
      <w:r>
        <w:rPr>
          <w:rFonts w:hint="default" w:ascii="Times New Roman" w:hAnsi="Times New Roman" w:eastAsia="仿宋_GB2312" w:cs="Times New Roman"/>
          <w:b w:val="0"/>
          <w:bCs w:val="0"/>
          <w:color w:val="auto"/>
          <w:sz w:val="32"/>
          <w:szCs w:val="32"/>
          <w:highlight w:val="none"/>
          <w:lang w:val="en-US" w:eastAsia="zh-CN"/>
        </w:rPr>
        <w:t>。国土空间生态修复规划落地实施，干旱河谷治理和国省林草湿监测同步推进，空气质量优良率保持100%，地表水、饮用水水质达标率100%，“双地”安全利用率100%，林长制、碳达峰碳中和、地灾全域整治等改革任务稳步落地，全州首个县级生态环境智慧监管平台建成运行，成功创建省级生态县、2个省级森林乡镇、4个省级森林村庄。</w:t>
      </w:r>
      <w:r>
        <w:rPr>
          <w:rFonts w:hint="default" w:ascii="Times New Roman" w:hAnsi="Times New Roman" w:eastAsia="仿宋_GB2312" w:cs="Times New Roman"/>
          <w:b/>
          <w:bCs/>
          <w:color w:val="auto"/>
          <w:sz w:val="32"/>
          <w:szCs w:val="32"/>
          <w:highlight w:val="none"/>
          <w:lang w:val="en-US" w:eastAsia="zh-CN"/>
        </w:rPr>
        <w:t>基础设施展现新格局</w:t>
      </w:r>
      <w:r>
        <w:rPr>
          <w:rFonts w:hint="default" w:ascii="Times New Roman" w:hAnsi="Times New Roman" w:eastAsia="仿宋_GB2312" w:cs="Times New Roman"/>
          <w:b w:val="0"/>
          <w:bCs w:val="0"/>
          <w:color w:val="auto"/>
          <w:sz w:val="32"/>
          <w:szCs w:val="32"/>
          <w:highlight w:val="none"/>
          <w:lang w:val="en-US" w:eastAsia="zh-CN"/>
        </w:rPr>
        <w:t>。“理小路”全线贯通，美丽乡村路织密成网，行政村客运全覆盖；阿坝1000千伏特高压开工，</w:t>
      </w:r>
      <w:r>
        <w:rPr>
          <w:rFonts w:hint="default" w:ascii="Times New Roman" w:hAnsi="Times New Roman" w:eastAsia="仿宋_GB2312" w:cs="Times New Roman"/>
          <w:color w:val="auto"/>
          <w:sz w:val="32"/>
          <w:szCs w:val="22"/>
          <w:highlight w:val="none"/>
          <w:lang w:val="en-US" w:eastAsia="zh-CN"/>
        </w:rPr>
        <w:t>充电桩基本实现乡乡全覆盖</w:t>
      </w:r>
      <w:r>
        <w:rPr>
          <w:rFonts w:hint="default" w:ascii="Times New Roman" w:hAnsi="Times New Roman" w:eastAsia="仿宋_GB2312" w:cs="Times New Roman"/>
          <w:b w:val="0"/>
          <w:bCs w:val="0"/>
          <w:color w:val="auto"/>
          <w:sz w:val="32"/>
          <w:szCs w:val="32"/>
          <w:highlight w:val="none"/>
          <w:lang w:val="en-US" w:eastAsia="zh-CN"/>
        </w:rPr>
        <w:t>；完成5个乡镇自来水厂建设和74处村镇供水规范化管理参评工作，农村饮水安全项目、米桃水利工程、孟屯河上下孟防洪治理工程等重大工程项目顺利推进，水美新村试点建设启动实施；“智慧理县”全域运行，</w:t>
      </w:r>
      <w:r>
        <w:rPr>
          <w:rFonts w:hint="default" w:ascii="Times New Roman" w:hAnsi="Times New Roman" w:eastAsia="仿宋_GB2312" w:cs="Times New Roman"/>
          <w:color w:val="auto"/>
          <w:sz w:val="32"/>
          <w:szCs w:val="22"/>
          <w:highlight w:val="none"/>
          <w:lang w:val="en-US" w:eastAsia="zh-CN"/>
        </w:rPr>
        <w:t>行政村光纤通达率达100%</w:t>
      </w:r>
      <w:r>
        <w:rPr>
          <w:rFonts w:hint="default" w:ascii="Times New Roman" w:hAnsi="Times New Roman" w:eastAsia="仿宋_GB2312" w:cs="Times New Roman"/>
          <w:b w:val="0"/>
          <w:bCs w:val="0"/>
          <w:color w:val="auto"/>
          <w:sz w:val="32"/>
          <w:szCs w:val="32"/>
          <w:highlight w:val="none"/>
          <w:lang w:val="en-US" w:eastAsia="zh-CN"/>
        </w:rPr>
        <w:t>。</w:t>
      </w:r>
      <w:r>
        <w:rPr>
          <w:rFonts w:hint="default" w:ascii="Times New Roman" w:hAnsi="Times New Roman" w:eastAsia="仿宋_GB2312" w:cs="Times New Roman"/>
          <w:b/>
          <w:bCs/>
          <w:color w:val="auto"/>
          <w:sz w:val="32"/>
          <w:szCs w:val="32"/>
          <w:highlight w:val="none"/>
          <w:lang w:val="en-US" w:eastAsia="zh-CN"/>
        </w:rPr>
        <w:t>城乡融合开创新局面</w:t>
      </w:r>
      <w:r>
        <w:rPr>
          <w:rFonts w:hint="default" w:ascii="Times New Roman" w:hAnsi="Times New Roman" w:eastAsia="仿宋_GB2312" w:cs="Times New Roman"/>
          <w:b w:val="0"/>
          <w:bCs w:val="0"/>
          <w:color w:val="auto"/>
          <w:sz w:val="32"/>
          <w:szCs w:val="32"/>
          <w:highlight w:val="none"/>
          <w:lang w:val="en-US" w:eastAsia="zh-CN"/>
        </w:rPr>
        <w:t>。“1+5+5+N”全域城镇体系逐步完善，形成“县城-集镇-乡村”梯次联动发展新型城镇化格局；</w:t>
      </w:r>
      <w:r>
        <w:rPr>
          <w:rFonts w:hint="default" w:ascii="Times New Roman" w:hAnsi="Times New Roman" w:eastAsia="仿宋_GB2312" w:cs="Times New Roman"/>
          <w:color w:val="auto"/>
          <w:sz w:val="32"/>
          <w:szCs w:val="22"/>
          <w:highlight w:val="none"/>
          <w:lang w:val="en-US" w:eastAsia="zh-CN"/>
        </w:rPr>
        <w:t>县城人行步道、白麓·那山河、县城停车场、理县群众文化体育活动中心、温泉游泳馆等项目投入使用，完成15个老旧小区改造</w:t>
      </w:r>
      <w:r>
        <w:rPr>
          <w:rFonts w:hint="default" w:ascii="Times New Roman" w:hAnsi="Times New Roman" w:eastAsia="仿宋_GB2312" w:cs="Times New Roman"/>
          <w:b w:val="0"/>
          <w:bCs w:val="0"/>
          <w:color w:val="auto"/>
          <w:sz w:val="32"/>
          <w:szCs w:val="32"/>
          <w:highlight w:val="none"/>
          <w:lang w:val="en-US" w:eastAsia="zh-CN"/>
        </w:rPr>
        <w:t>；</w:t>
      </w:r>
      <w:r>
        <w:rPr>
          <w:rFonts w:hint="default" w:ascii="Times New Roman" w:hAnsi="Times New Roman" w:eastAsia="仿宋_GB2312" w:cs="Times New Roman"/>
          <w:color w:val="auto"/>
          <w:sz w:val="32"/>
          <w:szCs w:val="22"/>
          <w:highlight w:val="none"/>
          <w:lang w:val="en-US" w:eastAsia="zh-CN"/>
        </w:rPr>
        <w:t>薛城镇、古尔沟镇及庄房村、通化村等3镇11村被评为省州乡村振兴先进示范，嘉康村被确定为全省首个“乡村振兴全媒体观察点”，成功创建四川省乡村振兴重点帮扶优秀县，荣获全国村庄清洁行动先进县</w:t>
      </w:r>
      <w:r>
        <w:rPr>
          <w:rFonts w:hint="default" w:ascii="Times New Roman" w:hAnsi="Times New Roman" w:eastAsia="仿宋_GB2312" w:cs="Times New Roman"/>
          <w:b w:val="0"/>
          <w:bCs w:val="0"/>
          <w:color w:val="auto"/>
          <w:sz w:val="32"/>
          <w:szCs w:val="32"/>
          <w:highlight w:val="none"/>
          <w:lang w:val="en-US" w:eastAsia="zh-CN"/>
        </w:rPr>
        <w:t>。</w:t>
      </w:r>
      <w:r>
        <w:rPr>
          <w:rFonts w:hint="default" w:ascii="Times New Roman" w:hAnsi="Times New Roman" w:eastAsia="仿宋_GB2312" w:cs="Times New Roman"/>
          <w:b/>
          <w:bCs/>
          <w:color w:val="auto"/>
          <w:sz w:val="32"/>
          <w:szCs w:val="32"/>
          <w:highlight w:val="none"/>
          <w:lang w:val="en-US" w:eastAsia="zh-CN"/>
        </w:rPr>
        <w:t>民生保障收获新成果</w:t>
      </w:r>
      <w:r>
        <w:rPr>
          <w:rFonts w:hint="default" w:ascii="Times New Roman" w:hAnsi="Times New Roman" w:eastAsia="仿宋_GB2312" w:cs="Times New Roman"/>
          <w:b w:val="0"/>
          <w:bCs w:val="0"/>
          <w:color w:val="auto"/>
          <w:sz w:val="32"/>
          <w:szCs w:val="32"/>
          <w:highlight w:val="none"/>
          <w:lang w:val="en-US" w:eastAsia="zh-CN"/>
        </w:rPr>
        <w:t>。完成集约化校点布局，</w:t>
      </w:r>
      <w:r>
        <w:rPr>
          <w:rFonts w:hint="default" w:ascii="Times New Roman" w:hAnsi="Times New Roman" w:eastAsia="仿宋_GB2312" w:cs="Times New Roman"/>
          <w:color w:val="auto"/>
          <w:sz w:val="32"/>
          <w:szCs w:val="22"/>
          <w:highlight w:val="none"/>
          <w:lang w:val="en-US" w:eastAsia="zh-CN"/>
        </w:rPr>
        <w:t>顺利通过学前教育普及普惠国家级验收，</w:t>
      </w:r>
      <w:r>
        <w:rPr>
          <w:rFonts w:hint="default" w:ascii="Times New Roman" w:hAnsi="Times New Roman" w:eastAsia="仿宋_GB2312" w:cs="Times New Roman"/>
          <w:b w:val="0"/>
          <w:bCs w:val="0"/>
          <w:color w:val="auto"/>
          <w:sz w:val="32"/>
          <w:szCs w:val="32"/>
          <w:highlight w:val="none"/>
          <w:lang w:val="en-US" w:eastAsia="zh-CN"/>
        </w:rPr>
        <w:t>成功创建国家级品牌学校1个、省级品牌学校2个；县域紧密型医共体挂牌运行，</w:t>
      </w:r>
      <w:r>
        <w:rPr>
          <w:rFonts w:hint="default" w:ascii="Times New Roman" w:hAnsi="Times New Roman" w:eastAsia="仿宋_GB2312" w:cs="Times New Roman"/>
          <w:color w:val="auto"/>
          <w:sz w:val="32"/>
          <w:szCs w:val="22"/>
          <w:highlight w:val="none"/>
          <w:lang w:val="en-US" w:eastAsia="zh-CN"/>
        </w:rPr>
        <w:t>率先在全州推行智能化公卫信息系统应用，基本公共卫生服务州级考核连续7年居全州第一</w:t>
      </w:r>
      <w:r>
        <w:rPr>
          <w:rFonts w:hint="default" w:ascii="Times New Roman" w:hAnsi="Times New Roman" w:eastAsia="仿宋_GB2312" w:cs="Times New Roman"/>
          <w:b w:val="0"/>
          <w:bCs w:val="0"/>
          <w:color w:val="auto"/>
          <w:sz w:val="32"/>
          <w:szCs w:val="32"/>
          <w:highlight w:val="none"/>
          <w:lang w:val="en-US" w:eastAsia="zh-CN"/>
        </w:rPr>
        <w:t>；就业招聘常态开展，</w:t>
      </w:r>
      <w:r>
        <w:rPr>
          <w:rFonts w:hint="default" w:ascii="Times New Roman" w:hAnsi="Times New Roman" w:eastAsia="仿宋_GB2312" w:cs="Times New Roman"/>
          <w:color w:val="auto"/>
          <w:sz w:val="32"/>
          <w:szCs w:val="22"/>
          <w:highlight w:val="none"/>
          <w:lang w:val="en-US" w:eastAsia="zh-CN"/>
        </w:rPr>
        <w:t>城镇调查失业率控制在5.5%以内</w:t>
      </w:r>
      <w:r>
        <w:rPr>
          <w:rFonts w:hint="default" w:ascii="Times New Roman" w:hAnsi="Times New Roman" w:eastAsia="仿宋_GB2312" w:cs="Times New Roman"/>
          <w:b w:val="0"/>
          <w:bCs w:val="0"/>
          <w:color w:val="auto"/>
          <w:sz w:val="32"/>
          <w:szCs w:val="32"/>
          <w:highlight w:val="none"/>
          <w:lang w:val="en-US" w:eastAsia="zh-CN"/>
        </w:rPr>
        <w:t>，零就业家庭动态清零；养老、医疗参保率均超95%，建成1个养老服务综合体、15个老年日间照料中心，成功创建省级“双拥”先进县；国保单位、国家级非遗、国家级传承人得到系统保护，羌年成功转入联合国“人类</w:t>
      </w:r>
      <w:r>
        <w:rPr>
          <w:rFonts w:hint="eastAsia" w:cs="Times New Roman"/>
          <w:b w:val="0"/>
          <w:bCs w:val="0"/>
          <w:color w:val="auto"/>
          <w:sz w:val="32"/>
          <w:szCs w:val="32"/>
          <w:highlight w:val="none"/>
          <w:lang w:val="en-US" w:eastAsia="zh-CN"/>
        </w:rPr>
        <w:t>非物质文化遗产</w:t>
      </w:r>
      <w:r>
        <w:rPr>
          <w:rFonts w:hint="default" w:ascii="Times New Roman" w:hAnsi="Times New Roman" w:eastAsia="仿宋_GB2312" w:cs="Times New Roman"/>
          <w:b w:val="0"/>
          <w:bCs w:val="0"/>
          <w:color w:val="auto"/>
          <w:sz w:val="32"/>
          <w:szCs w:val="32"/>
          <w:highlight w:val="none"/>
          <w:lang w:val="en-US" w:eastAsia="zh-CN"/>
        </w:rPr>
        <w:t>代表作名录”。</w:t>
      </w:r>
      <w:r>
        <w:rPr>
          <w:rFonts w:hint="default" w:ascii="Times New Roman" w:hAnsi="Times New Roman" w:eastAsia="仿宋_GB2312" w:cs="Times New Roman"/>
          <w:b/>
          <w:bCs/>
          <w:color w:val="auto"/>
          <w:sz w:val="32"/>
          <w:szCs w:val="32"/>
          <w:highlight w:val="none"/>
          <w:lang w:val="en-US" w:eastAsia="zh-CN"/>
        </w:rPr>
        <w:t>改革创新激发新动能</w:t>
      </w:r>
      <w:r>
        <w:rPr>
          <w:rFonts w:hint="default" w:ascii="Times New Roman" w:hAnsi="Times New Roman" w:eastAsia="仿宋_GB2312" w:cs="Times New Roman"/>
          <w:b w:val="0"/>
          <w:bCs w:val="0"/>
          <w:color w:val="auto"/>
          <w:sz w:val="32"/>
          <w:szCs w:val="32"/>
          <w:highlight w:val="none"/>
          <w:lang w:val="en-US" w:eastAsia="zh-CN"/>
        </w:rPr>
        <w:t>。人口小县机构改革试点、国资国企、农村产权“三块改革”破冰突围，对口帮扶、东西协作实现从单向援助向多元协同跨越升级，“一件事一次办”“省内通办”“川渝通办”全域推行，营商环境跻身全州前列。</w:t>
      </w:r>
      <w:r>
        <w:rPr>
          <w:rFonts w:hint="default" w:ascii="Times New Roman" w:hAnsi="Times New Roman" w:eastAsia="仿宋_GB2312" w:cs="Times New Roman"/>
          <w:b/>
          <w:bCs/>
          <w:color w:val="auto"/>
          <w:sz w:val="32"/>
          <w:szCs w:val="32"/>
          <w:highlight w:val="none"/>
          <w:lang w:val="en-US" w:eastAsia="zh-CN"/>
        </w:rPr>
        <w:t>社会治理获得新成就</w:t>
      </w:r>
      <w:r>
        <w:rPr>
          <w:rFonts w:hint="default" w:ascii="Times New Roman" w:hAnsi="Times New Roman" w:eastAsia="仿宋_GB2312" w:cs="Times New Roman"/>
          <w:b w:val="0"/>
          <w:bCs w:val="0"/>
          <w:color w:val="auto"/>
          <w:sz w:val="32"/>
          <w:szCs w:val="32"/>
          <w:highlight w:val="none"/>
          <w:lang w:val="en-US" w:eastAsia="zh-CN"/>
        </w:rPr>
        <w:t>。创新开展“吉祥先锋·无毒净土”“明理正心清网”等行动，成功创建为全国民族团结进步示范县、全国信访工作示范县和“三无”县；安全生产治本攻坚三年行动纵深推进，地震、塌方等突发事件高效处置；“天空地一体化”森林草原防灭火监测预警网络建成投运，防灾减灾救灾能力显著增强。</w:t>
      </w:r>
    </w:p>
    <w:p w14:paraId="6606451D">
      <w:pPr>
        <w:keepNext w:val="0"/>
        <w:keepLines w:val="0"/>
        <w:pageBreakBefore w:val="0"/>
        <w:widowControl/>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p>
    <w:tbl>
      <w:tblPr>
        <w:tblStyle w:val="18"/>
        <w:tblW w:w="5011"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57" w:type="dxa"/>
          <w:bottom w:w="0" w:type="dxa"/>
          <w:right w:w="57" w:type="dxa"/>
        </w:tblCellMar>
      </w:tblPr>
      <w:tblGrid>
        <w:gridCol w:w="441"/>
        <w:gridCol w:w="603"/>
        <w:gridCol w:w="2317"/>
        <w:gridCol w:w="764"/>
        <w:gridCol w:w="824"/>
        <w:gridCol w:w="836"/>
        <w:gridCol w:w="976"/>
        <w:gridCol w:w="1219"/>
        <w:gridCol w:w="1000"/>
      </w:tblGrid>
      <w:tr w14:paraId="296CD1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57" w:type="dxa"/>
            <w:bottom w:w="0" w:type="dxa"/>
            <w:right w:w="57" w:type="dxa"/>
          </w:tblCellMar>
        </w:tblPrEx>
        <w:trPr>
          <w:trHeight w:val="567" w:hRule="atLeast"/>
          <w:jc w:val="center"/>
        </w:trPr>
        <w:tc>
          <w:tcPr>
            <w:tcW w:w="5000" w:type="pct"/>
            <w:gridSpan w:val="9"/>
            <w:tcBorders>
              <w:top w:val="nil"/>
              <w:left w:val="single" w:color="000000" w:sz="8" w:space="0"/>
              <w:bottom w:val="nil"/>
              <w:right w:val="nil"/>
            </w:tcBorders>
            <w:shd w:val="clear" w:color="auto" w:fill="7F7F7F"/>
            <w:vAlign w:val="center"/>
          </w:tcPr>
          <w:p w14:paraId="3D36202F">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bCs/>
                <w:i w:val="0"/>
                <w:iCs w:val="0"/>
                <w:color w:val="auto"/>
                <w:sz w:val="21"/>
                <w:szCs w:val="21"/>
                <w:highlight w:val="none"/>
                <w:u w:val="none"/>
              </w:rPr>
            </w:pPr>
            <w:r>
              <w:rPr>
                <w:rFonts w:hint="default" w:ascii="Times New Roman" w:hAnsi="Times New Roman" w:eastAsia="黑体" w:cs="Times New Roman"/>
                <w:b/>
                <w:bCs/>
                <w:i w:val="0"/>
                <w:iCs w:val="0"/>
                <w:color w:val="auto"/>
                <w:kern w:val="0"/>
                <w:sz w:val="28"/>
                <w:szCs w:val="28"/>
                <w:highlight w:val="none"/>
                <w:u w:val="none"/>
                <w:lang w:val="en-US" w:eastAsia="zh-CN" w:bidi="ar"/>
              </w:rPr>
              <w:t>专栏</w:t>
            </w:r>
            <w:r>
              <w:rPr>
                <w:rStyle w:val="36"/>
                <w:rFonts w:hint="default" w:ascii="Times New Roman" w:hAnsi="Times New Roman" w:eastAsia="黑体" w:cs="Times New Roman"/>
                <w:color w:val="auto"/>
                <w:sz w:val="28"/>
                <w:szCs w:val="28"/>
                <w:highlight w:val="none"/>
                <w:lang w:val="en-US" w:eastAsia="zh-CN" w:bidi="ar"/>
              </w:rPr>
              <w:t xml:space="preserve">1 </w:t>
            </w:r>
            <w:r>
              <w:rPr>
                <w:rStyle w:val="36"/>
                <w:rFonts w:hint="eastAsia" w:eastAsia="黑体" w:cs="Times New Roman"/>
                <w:color w:val="auto"/>
                <w:sz w:val="28"/>
                <w:szCs w:val="28"/>
                <w:highlight w:val="none"/>
                <w:lang w:val="en-US" w:eastAsia="zh-CN" w:bidi="ar"/>
              </w:rPr>
              <w:t xml:space="preserve"> </w:t>
            </w:r>
            <w:r>
              <w:rPr>
                <w:rStyle w:val="36"/>
                <w:rFonts w:hint="default" w:ascii="Times New Roman" w:hAnsi="Times New Roman" w:eastAsia="黑体" w:cs="Times New Roman"/>
                <w:color w:val="auto"/>
                <w:sz w:val="28"/>
                <w:szCs w:val="28"/>
                <w:highlight w:val="none"/>
                <w:lang w:val="en-US" w:eastAsia="zh-CN" w:bidi="ar"/>
              </w:rPr>
              <w:t>“</w:t>
            </w:r>
            <w:r>
              <w:rPr>
                <w:rFonts w:hint="default" w:ascii="Times New Roman" w:hAnsi="Times New Roman" w:eastAsia="黑体" w:cs="Times New Roman"/>
                <w:b/>
                <w:bCs/>
                <w:i w:val="0"/>
                <w:iCs w:val="0"/>
                <w:color w:val="auto"/>
                <w:kern w:val="0"/>
                <w:sz w:val="28"/>
                <w:szCs w:val="28"/>
                <w:highlight w:val="none"/>
                <w:u w:val="none"/>
                <w:lang w:val="en-US" w:eastAsia="zh-CN" w:bidi="ar"/>
              </w:rPr>
              <w:t>十四五</w:t>
            </w:r>
            <w:r>
              <w:rPr>
                <w:rStyle w:val="36"/>
                <w:rFonts w:hint="default" w:ascii="Times New Roman" w:hAnsi="Times New Roman" w:eastAsia="黑体" w:cs="Times New Roman"/>
                <w:color w:val="auto"/>
                <w:sz w:val="28"/>
                <w:szCs w:val="28"/>
                <w:highlight w:val="none"/>
                <w:lang w:val="en-US" w:eastAsia="zh-CN" w:bidi="ar"/>
              </w:rPr>
              <w:t>”</w:t>
            </w:r>
            <w:r>
              <w:rPr>
                <w:rFonts w:hint="default" w:ascii="Times New Roman" w:hAnsi="Times New Roman" w:eastAsia="黑体" w:cs="Times New Roman"/>
                <w:b/>
                <w:bCs/>
                <w:i w:val="0"/>
                <w:iCs w:val="0"/>
                <w:color w:val="auto"/>
                <w:kern w:val="0"/>
                <w:sz w:val="28"/>
                <w:szCs w:val="28"/>
                <w:highlight w:val="none"/>
                <w:u w:val="none"/>
                <w:lang w:val="en-US" w:eastAsia="zh-CN" w:bidi="ar"/>
              </w:rPr>
              <w:t>规划主要指标完成情况</w:t>
            </w:r>
          </w:p>
        </w:tc>
      </w:tr>
      <w:tr w14:paraId="7DE171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57" w:type="dxa"/>
            <w:bottom w:w="0" w:type="dxa"/>
            <w:right w:w="57" w:type="dxa"/>
          </w:tblCellMar>
        </w:tblPrEx>
        <w:trPr>
          <w:trHeight w:val="482" w:hRule="atLeast"/>
          <w:jc w:val="center"/>
        </w:trPr>
        <w:tc>
          <w:tcPr>
            <w:tcW w:w="24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F6E19A">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bCs/>
                <w:i w:val="0"/>
                <w:iCs w:val="0"/>
                <w:color w:val="auto"/>
                <w:sz w:val="21"/>
                <w:szCs w:val="21"/>
                <w:highlight w:val="none"/>
                <w:u w:val="none"/>
              </w:rPr>
            </w:pPr>
            <w:r>
              <w:rPr>
                <w:rFonts w:hint="default" w:ascii="Times New Roman" w:hAnsi="Times New Roman" w:eastAsia="仿宋_GB2312" w:cs="Times New Roman"/>
                <w:b/>
                <w:bCs/>
                <w:i w:val="0"/>
                <w:iCs w:val="0"/>
                <w:color w:val="auto"/>
                <w:kern w:val="0"/>
                <w:sz w:val="21"/>
                <w:szCs w:val="21"/>
                <w:highlight w:val="none"/>
                <w:u w:val="none"/>
                <w:lang w:val="en-US" w:eastAsia="zh-CN" w:bidi="ar"/>
              </w:rPr>
              <w:t>序号</w:t>
            </w:r>
          </w:p>
        </w:tc>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B25221">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bCs/>
                <w:i w:val="0"/>
                <w:iCs w:val="0"/>
                <w:color w:val="auto"/>
                <w:sz w:val="21"/>
                <w:szCs w:val="21"/>
                <w:highlight w:val="none"/>
                <w:u w:val="none"/>
              </w:rPr>
            </w:pPr>
            <w:r>
              <w:rPr>
                <w:rFonts w:hint="default" w:ascii="Times New Roman" w:hAnsi="Times New Roman" w:eastAsia="仿宋_GB2312" w:cs="Times New Roman"/>
                <w:b/>
                <w:bCs/>
                <w:i w:val="0"/>
                <w:iCs w:val="0"/>
                <w:color w:val="auto"/>
                <w:kern w:val="0"/>
                <w:sz w:val="21"/>
                <w:szCs w:val="21"/>
                <w:highlight w:val="none"/>
                <w:u w:val="none"/>
                <w:lang w:val="en-US" w:eastAsia="zh-CN" w:bidi="ar"/>
              </w:rPr>
              <w:t>指标体系</w:t>
            </w:r>
          </w:p>
        </w:tc>
        <w:tc>
          <w:tcPr>
            <w:tcW w:w="129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F88928">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bCs/>
                <w:i w:val="0"/>
                <w:iCs w:val="0"/>
                <w:color w:val="auto"/>
                <w:sz w:val="21"/>
                <w:szCs w:val="21"/>
                <w:highlight w:val="none"/>
                <w:u w:val="none"/>
              </w:rPr>
            </w:pPr>
            <w:r>
              <w:rPr>
                <w:rFonts w:hint="default" w:ascii="Times New Roman" w:hAnsi="Times New Roman" w:eastAsia="仿宋_GB2312" w:cs="Times New Roman"/>
                <w:b/>
                <w:bCs/>
                <w:i w:val="0"/>
                <w:iCs w:val="0"/>
                <w:color w:val="auto"/>
                <w:kern w:val="0"/>
                <w:sz w:val="21"/>
                <w:szCs w:val="21"/>
                <w:highlight w:val="none"/>
                <w:u w:val="none"/>
                <w:lang w:val="en-US" w:eastAsia="zh-CN" w:bidi="ar"/>
              </w:rPr>
              <w:t>指标名称</w:t>
            </w:r>
          </w:p>
        </w:tc>
        <w:tc>
          <w:tcPr>
            <w:tcW w:w="4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F47D49">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bCs/>
                <w:i w:val="0"/>
                <w:iCs w:val="0"/>
                <w:color w:val="auto"/>
                <w:kern w:val="0"/>
                <w:sz w:val="21"/>
                <w:szCs w:val="21"/>
                <w:highlight w:val="none"/>
                <w:u w:val="none"/>
                <w:lang w:val="en-US" w:eastAsia="zh-CN" w:bidi="ar"/>
              </w:rPr>
            </w:pPr>
            <w:r>
              <w:rPr>
                <w:rFonts w:hint="default" w:ascii="Times New Roman" w:hAnsi="Times New Roman" w:eastAsia="仿宋_GB2312" w:cs="Times New Roman"/>
                <w:b/>
                <w:bCs/>
                <w:i w:val="0"/>
                <w:iCs w:val="0"/>
                <w:color w:val="auto"/>
                <w:kern w:val="0"/>
                <w:sz w:val="21"/>
                <w:szCs w:val="21"/>
                <w:highlight w:val="none"/>
                <w:u w:val="none"/>
                <w:lang w:val="en-US" w:eastAsia="zh-CN" w:bidi="ar"/>
              </w:rPr>
              <w:t>指标</w:t>
            </w:r>
          </w:p>
          <w:p w14:paraId="70699CAB">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bCs/>
                <w:i w:val="0"/>
                <w:iCs w:val="0"/>
                <w:color w:val="auto"/>
                <w:sz w:val="21"/>
                <w:szCs w:val="21"/>
                <w:highlight w:val="none"/>
                <w:u w:val="none"/>
              </w:rPr>
            </w:pPr>
            <w:r>
              <w:rPr>
                <w:rFonts w:hint="default" w:ascii="Times New Roman" w:hAnsi="Times New Roman" w:eastAsia="仿宋_GB2312" w:cs="Times New Roman"/>
                <w:b/>
                <w:bCs/>
                <w:i w:val="0"/>
                <w:iCs w:val="0"/>
                <w:color w:val="auto"/>
                <w:kern w:val="0"/>
                <w:sz w:val="21"/>
                <w:szCs w:val="21"/>
                <w:highlight w:val="none"/>
                <w:u w:val="none"/>
                <w:lang w:val="en-US" w:eastAsia="zh-CN" w:bidi="ar"/>
              </w:rPr>
              <w:t>属性</w:t>
            </w:r>
          </w:p>
        </w:tc>
        <w:tc>
          <w:tcPr>
            <w:tcW w:w="45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307882">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bCs/>
                <w:i w:val="0"/>
                <w:iCs w:val="0"/>
                <w:color w:val="auto"/>
                <w:sz w:val="21"/>
                <w:szCs w:val="21"/>
                <w:highlight w:val="none"/>
                <w:u w:val="none"/>
              </w:rPr>
            </w:pPr>
            <w:r>
              <w:rPr>
                <w:rFonts w:hint="default" w:ascii="Times New Roman" w:hAnsi="Times New Roman" w:eastAsia="仿宋_GB2312" w:cs="Times New Roman"/>
                <w:b/>
                <w:bCs/>
                <w:i w:val="0"/>
                <w:iCs w:val="0"/>
                <w:color w:val="auto"/>
                <w:kern w:val="0"/>
                <w:sz w:val="21"/>
                <w:szCs w:val="21"/>
                <w:highlight w:val="none"/>
                <w:u w:val="none"/>
                <w:lang w:val="en-US" w:eastAsia="zh-CN" w:bidi="ar"/>
              </w:rPr>
              <w:t>2020年</w:t>
            </w:r>
          </w:p>
        </w:tc>
        <w:tc>
          <w:tcPr>
            <w:tcW w:w="10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3E447E">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bCs/>
                <w:i w:val="0"/>
                <w:iCs w:val="0"/>
                <w:color w:val="auto"/>
                <w:sz w:val="21"/>
                <w:szCs w:val="21"/>
                <w:highlight w:val="none"/>
                <w:u w:val="none"/>
              </w:rPr>
            </w:pPr>
            <w:r>
              <w:rPr>
                <w:rFonts w:hint="default" w:ascii="Times New Roman" w:hAnsi="Times New Roman" w:eastAsia="仿宋_GB2312" w:cs="Times New Roman"/>
                <w:b/>
                <w:bCs/>
                <w:i w:val="0"/>
                <w:iCs w:val="0"/>
                <w:color w:val="auto"/>
                <w:kern w:val="0"/>
                <w:sz w:val="21"/>
                <w:szCs w:val="21"/>
                <w:highlight w:val="none"/>
                <w:u w:val="none"/>
                <w:lang w:val="en-US" w:eastAsia="zh-CN" w:bidi="ar"/>
              </w:rPr>
              <w:t>规划目标值</w:t>
            </w:r>
          </w:p>
        </w:tc>
        <w:tc>
          <w:tcPr>
            <w:tcW w:w="123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610DA9">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bCs/>
                <w:i w:val="0"/>
                <w:iCs w:val="0"/>
                <w:color w:val="auto"/>
                <w:sz w:val="21"/>
                <w:szCs w:val="21"/>
                <w:highlight w:val="none"/>
                <w:u w:val="none"/>
              </w:rPr>
            </w:pPr>
            <w:r>
              <w:rPr>
                <w:rFonts w:hint="default" w:ascii="Times New Roman" w:hAnsi="Times New Roman" w:eastAsia="仿宋_GB2312" w:cs="Times New Roman"/>
                <w:b/>
                <w:bCs/>
                <w:i w:val="0"/>
                <w:iCs w:val="0"/>
                <w:color w:val="auto"/>
                <w:kern w:val="0"/>
                <w:sz w:val="21"/>
                <w:szCs w:val="21"/>
                <w:highlight w:val="none"/>
                <w:u w:val="none"/>
                <w:lang w:val="en-US" w:eastAsia="zh-CN" w:bidi="ar"/>
              </w:rPr>
              <w:t>实现情况</w:t>
            </w:r>
          </w:p>
        </w:tc>
      </w:tr>
      <w:tr w14:paraId="19C243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57" w:type="dxa"/>
            <w:bottom w:w="0" w:type="dxa"/>
            <w:right w:w="57" w:type="dxa"/>
          </w:tblCellMar>
        </w:tblPrEx>
        <w:trPr>
          <w:trHeight w:val="482" w:hRule="atLeast"/>
          <w:jc w:val="center"/>
        </w:trPr>
        <w:tc>
          <w:tcPr>
            <w:tcW w:w="2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12A139">
            <w:pPr>
              <w:keepNext/>
              <w:keepLines w:val="0"/>
              <w:pageBreakBefore w:val="0"/>
              <w:widowControl/>
              <w:kinsoku/>
              <w:wordWrap/>
              <w:overflowPunct/>
              <w:topLinePunct w:val="0"/>
              <w:autoSpaceDE/>
              <w:autoSpaceDN/>
              <w:bidi w:val="0"/>
              <w:adjustRightInd/>
              <w:snapToGrid w:val="0"/>
              <w:spacing w:line="560" w:lineRule="exact"/>
              <w:ind w:left="0" w:leftChars="0" w:right="0" w:rightChars="0" w:firstLine="0" w:firstLineChars="0"/>
              <w:jc w:val="center"/>
              <w:rPr>
                <w:rFonts w:hint="default" w:ascii="Times New Roman" w:hAnsi="Times New Roman" w:eastAsia="仿宋_GB2312" w:cs="Times New Roman"/>
                <w:b/>
                <w:bCs/>
                <w:i w:val="0"/>
                <w:iCs w:val="0"/>
                <w:color w:val="auto"/>
                <w:sz w:val="21"/>
                <w:szCs w:val="21"/>
                <w:highlight w:val="none"/>
                <w:u w:val="none"/>
              </w:rPr>
            </w:pPr>
          </w:p>
        </w:tc>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15DAA2">
            <w:pPr>
              <w:keepNext/>
              <w:keepLines w:val="0"/>
              <w:pageBreakBefore w:val="0"/>
              <w:widowControl/>
              <w:kinsoku/>
              <w:wordWrap/>
              <w:overflowPunct/>
              <w:topLinePunct w:val="0"/>
              <w:autoSpaceDE/>
              <w:autoSpaceDN/>
              <w:bidi w:val="0"/>
              <w:adjustRightInd/>
              <w:snapToGrid w:val="0"/>
              <w:spacing w:line="560" w:lineRule="exact"/>
              <w:ind w:left="0" w:leftChars="0" w:right="0" w:rightChars="0" w:firstLine="0" w:firstLineChars="0"/>
              <w:jc w:val="center"/>
              <w:rPr>
                <w:rFonts w:hint="default" w:ascii="Times New Roman" w:hAnsi="Times New Roman" w:eastAsia="仿宋_GB2312" w:cs="Times New Roman"/>
                <w:b/>
                <w:bCs/>
                <w:i w:val="0"/>
                <w:iCs w:val="0"/>
                <w:color w:val="auto"/>
                <w:sz w:val="21"/>
                <w:szCs w:val="21"/>
                <w:highlight w:val="none"/>
                <w:u w:val="none"/>
              </w:rPr>
            </w:pPr>
          </w:p>
        </w:tc>
        <w:tc>
          <w:tcPr>
            <w:tcW w:w="12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34435E">
            <w:pPr>
              <w:keepNext/>
              <w:keepLines w:val="0"/>
              <w:pageBreakBefore w:val="0"/>
              <w:widowControl/>
              <w:kinsoku/>
              <w:wordWrap/>
              <w:overflowPunct/>
              <w:topLinePunct w:val="0"/>
              <w:autoSpaceDE/>
              <w:autoSpaceDN/>
              <w:bidi w:val="0"/>
              <w:adjustRightInd/>
              <w:snapToGrid w:val="0"/>
              <w:spacing w:line="560" w:lineRule="exact"/>
              <w:ind w:left="0" w:leftChars="0" w:right="0" w:rightChars="0" w:firstLine="0" w:firstLineChars="0"/>
              <w:jc w:val="center"/>
              <w:rPr>
                <w:rFonts w:hint="default" w:ascii="Times New Roman" w:hAnsi="Times New Roman" w:eastAsia="仿宋_GB2312" w:cs="Times New Roman"/>
                <w:b/>
                <w:bCs/>
                <w:i w:val="0"/>
                <w:iCs w:val="0"/>
                <w:color w:val="auto"/>
                <w:sz w:val="21"/>
                <w:szCs w:val="21"/>
                <w:highlight w:val="none"/>
                <w:u w:val="none"/>
              </w:rPr>
            </w:pPr>
          </w:p>
        </w:tc>
        <w:tc>
          <w:tcPr>
            <w:tcW w:w="4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B7751E">
            <w:pPr>
              <w:keepNext/>
              <w:keepLines w:val="0"/>
              <w:pageBreakBefore w:val="0"/>
              <w:widowControl/>
              <w:kinsoku/>
              <w:wordWrap/>
              <w:overflowPunct/>
              <w:topLinePunct w:val="0"/>
              <w:autoSpaceDE/>
              <w:autoSpaceDN/>
              <w:bidi w:val="0"/>
              <w:adjustRightInd/>
              <w:snapToGrid w:val="0"/>
              <w:spacing w:line="560" w:lineRule="exact"/>
              <w:ind w:left="0" w:leftChars="0" w:right="0" w:rightChars="0" w:firstLine="0" w:firstLineChars="0"/>
              <w:jc w:val="center"/>
              <w:rPr>
                <w:rFonts w:hint="default" w:ascii="Times New Roman" w:hAnsi="Times New Roman" w:eastAsia="仿宋_GB2312" w:cs="Times New Roman"/>
                <w:b/>
                <w:bCs/>
                <w:i w:val="0"/>
                <w:iCs w:val="0"/>
                <w:color w:val="auto"/>
                <w:sz w:val="21"/>
                <w:szCs w:val="21"/>
                <w:highlight w:val="none"/>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909AB3">
            <w:pPr>
              <w:keepNext/>
              <w:keepLines w:val="0"/>
              <w:pageBreakBefore w:val="0"/>
              <w:widowControl/>
              <w:kinsoku/>
              <w:wordWrap/>
              <w:overflowPunct/>
              <w:topLinePunct w:val="0"/>
              <w:autoSpaceDE/>
              <w:autoSpaceDN/>
              <w:bidi w:val="0"/>
              <w:adjustRightInd/>
              <w:snapToGrid w:val="0"/>
              <w:spacing w:line="560" w:lineRule="exact"/>
              <w:ind w:left="0" w:leftChars="0" w:right="0" w:rightChars="0" w:firstLine="0" w:firstLineChars="0"/>
              <w:jc w:val="center"/>
              <w:rPr>
                <w:rFonts w:hint="default" w:ascii="Times New Roman" w:hAnsi="Times New Roman" w:eastAsia="仿宋_GB2312" w:cs="Times New Roman"/>
                <w:b/>
                <w:bCs/>
                <w:i w:val="0"/>
                <w:iCs w:val="0"/>
                <w:color w:val="auto"/>
                <w:sz w:val="21"/>
                <w:szCs w:val="21"/>
                <w:highlight w:val="none"/>
                <w:u w:val="none"/>
              </w:rPr>
            </w:pP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879F5">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bCs/>
                <w:i w:val="0"/>
                <w:iCs w:val="0"/>
                <w:color w:val="auto"/>
                <w:sz w:val="21"/>
                <w:szCs w:val="21"/>
                <w:highlight w:val="none"/>
                <w:u w:val="none"/>
              </w:rPr>
            </w:pPr>
            <w:r>
              <w:rPr>
                <w:rFonts w:hint="default" w:ascii="Times New Roman" w:hAnsi="Times New Roman" w:eastAsia="仿宋_GB2312" w:cs="Times New Roman"/>
                <w:b/>
                <w:bCs/>
                <w:i w:val="0"/>
                <w:iCs w:val="0"/>
                <w:color w:val="auto"/>
                <w:kern w:val="0"/>
                <w:sz w:val="21"/>
                <w:szCs w:val="21"/>
                <w:highlight w:val="none"/>
                <w:u w:val="none"/>
                <w:lang w:val="en-US" w:eastAsia="zh-CN" w:bidi="ar"/>
              </w:rPr>
              <w:t>2025年</w:t>
            </w:r>
          </w:p>
        </w:tc>
        <w:tc>
          <w:tcPr>
            <w:tcW w:w="5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E5639">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bCs/>
                <w:i w:val="0"/>
                <w:iCs w:val="0"/>
                <w:color w:val="auto"/>
                <w:sz w:val="21"/>
                <w:szCs w:val="21"/>
                <w:highlight w:val="none"/>
                <w:u w:val="none"/>
              </w:rPr>
            </w:pPr>
            <w:r>
              <w:rPr>
                <w:rFonts w:hint="default" w:ascii="Times New Roman" w:hAnsi="Times New Roman" w:eastAsia="仿宋_GB2312" w:cs="Times New Roman"/>
                <w:b/>
                <w:bCs/>
                <w:i w:val="0"/>
                <w:iCs w:val="0"/>
                <w:color w:val="auto"/>
                <w:kern w:val="0"/>
                <w:sz w:val="21"/>
                <w:szCs w:val="21"/>
                <w:highlight w:val="none"/>
                <w:u w:val="none"/>
                <w:lang w:val="en-US" w:eastAsia="zh-CN" w:bidi="ar"/>
              </w:rPr>
              <w:t>年均增长[累计]</w:t>
            </w:r>
          </w:p>
        </w:tc>
        <w:tc>
          <w:tcPr>
            <w:tcW w:w="6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CDA9EA">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bCs/>
                <w:i w:val="0"/>
                <w:iCs w:val="0"/>
                <w:color w:val="auto"/>
                <w:sz w:val="21"/>
                <w:szCs w:val="21"/>
                <w:highlight w:val="none"/>
                <w:u w:val="none"/>
              </w:rPr>
            </w:pPr>
            <w:r>
              <w:rPr>
                <w:rFonts w:hint="default" w:ascii="Times New Roman" w:hAnsi="Times New Roman" w:eastAsia="仿宋_GB2312" w:cs="Times New Roman"/>
                <w:b/>
                <w:bCs/>
                <w:i w:val="0"/>
                <w:iCs w:val="0"/>
                <w:color w:val="auto"/>
                <w:kern w:val="0"/>
                <w:sz w:val="21"/>
                <w:szCs w:val="21"/>
                <w:highlight w:val="none"/>
                <w:u w:val="none"/>
                <w:lang w:val="en-US" w:eastAsia="zh-CN" w:bidi="ar"/>
              </w:rPr>
              <w:t>2025年</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D3392">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bCs/>
                <w:i w:val="0"/>
                <w:iCs w:val="0"/>
                <w:color w:val="auto"/>
                <w:sz w:val="21"/>
                <w:szCs w:val="21"/>
                <w:highlight w:val="none"/>
                <w:u w:val="none"/>
              </w:rPr>
            </w:pPr>
            <w:r>
              <w:rPr>
                <w:rFonts w:hint="default" w:ascii="Times New Roman" w:hAnsi="Times New Roman" w:eastAsia="仿宋_GB2312" w:cs="Times New Roman"/>
                <w:b/>
                <w:bCs/>
                <w:i w:val="0"/>
                <w:iCs w:val="0"/>
                <w:color w:val="auto"/>
                <w:kern w:val="0"/>
                <w:sz w:val="21"/>
                <w:szCs w:val="21"/>
                <w:highlight w:val="none"/>
                <w:u w:val="none"/>
                <w:lang w:val="en-US" w:eastAsia="zh-CN" w:bidi="ar"/>
              </w:rPr>
              <w:t>年均增长[累计]</w:t>
            </w:r>
          </w:p>
        </w:tc>
      </w:tr>
      <w:tr w14:paraId="2459A4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57" w:type="dxa"/>
            <w:bottom w:w="0" w:type="dxa"/>
            <w:right w:w="57" w:type="dxa"/>
          </w:tblCellMar>
        </w:tblPrEx>
        <w:trPr>
          <w:trHeight w:val="482" w:hRule="atLeast"/>
          <w:jc w:val="center"/>
        </w:trPr>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77438">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1</w:t>
            </w:r>
          </w:p>
        </w:tc>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B94D12">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bCs/>
                <w:i w:val="0"/>
                <w:iCs w:val="0"/>
                <w:color w:val="auto"/>
                <w:sz w:val="21"/>
                <w:szCs w:val="21"/>
                <w:highlight w:val="none"/>
                <w:u w:val="none"/>
              </w:rPr>
            </w:pPr>
            <w:r>
              <w:rPr>
                <w:rFonts w:hint="default" w:ascii="Times New Roman" w:hAnsi="Times New Roman" w:eastAsia="仿宋_GB2312" w:cs="Times New Roman"/>
                <w:b/>
                <w:bCs/>
                <w:i w:val="0"/>
                <w:iCs w:val="0"/>
                <w:color w:val="auto"/>
                <w:kern w:val="0"/>
                <w:sz w:val="21"/>
                <w:szCs w:val="21"/>
                <w:highlight w:val="none"/>
                <w:u w:val="none"/>
                <w:lang w:val="en-US" w:eastAsia="zh-CN" w:bidi="ar"/>
              </w:rPr>
              <w:t>经济发展</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48214">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地区生产总值GDP（亿元）</w:t>
            </w:r>
          </w:p>
        </w:tc>
        <w:tc>
          <w:tcPr>
            <w:tcW w:w="4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E49C6">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预期性</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7AB31">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lang w:val="en-US"/>
              </w:rPr>
            </w:pPr>
            <w:r>
              <w:rPr>
                <w:rFonts w:hint="default" w:ascii="Times New Roman" w:hAnsi="Times New Roman" w:eastAsia="仿宋_GB2312" w:cs="Times New Roman"/>
                <w:i w:val="0"/>
                <w:iCs w:val="0"/>
                <w:color w:val="auto"/>
                <w:kern w:val="0"/>
                <w:sz w:val="21"/>
                <w:szCs w:val="21"/>
                <w:highlight w:val="none"/>
                <w:u w:val="none"/>
                <w:lang w:val="en-US" w:eastAsia="zh-CN" w:bidi="ar"/>
              </w:rPr>
              <w:t>29.</w:t>
            </w:r>
            <w:r>
              <w:rPr>
                <w:rFonts w:hint="eastAsia" w:ascii="Times New Roman" w:hAnsi="Times New Roman" w:eastAsia="仿宋_GB2312" w:cs="Times New Roman"/>
                <w:i w:val="0"/>
                <w:iCs w:val="0"/>
                <w:color w:val="auto"/>
                <w:kern w:val="0"/>
                <w:sz w:val="21"/>
                <w:szCs w:val="21"/>
                <w:highlight w:val="none"/>
                <w:u w:val="none"/>
                <w:lang w:val="en-US" w:eastAsia="zh-CN" w:bidi="ar"/>
              </w:rPr>
              <w:t>13</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0F4E6">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39.57</w:t>
            </w:r>
          </w:p>
        </w:tc>
        <w:tc>
          <w:tcPr>
            <w:tcW w:w="5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561383">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6.7</w:t>
            </w:r>
          </w:p>
        </w:tc>
        <w:tc>
          <w:tcPr>
            <w:tcW w:w="6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B28EEF">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lang w:val="en-US" w:eastAsia="zh-CN"/>
              </w:rPr>
            </w:pPr>
            <w:r>
              <w:rPr>
                <w:rFonts w:hint="eastAsia" w:cs="Times New Roman"/>
                <w:i w:val="0"/>
                <w:iCs w:val="0"/>
                <w:color w:val="auto"/>
                <w:sz w:val="21"/>
                <w:szCs w:val="21"/>
                <w:highlight w:val="none"/>
                <w:u w:val="none"/>
                <w:lang w:val="en-US" w:eastAsia="zh-CN"/>
              </w:rPr>
              <w:t>40.04</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4C380">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lang w:val="en-US"/>
              </w:rPr>
            </w:pPr>
            <w:r>
              <w:rPr>
                <w:rFonts w:hint="default" w:ascii="Times New Roman" w:hAnsi="Times New Roman" w:eastAsia="仿宋_GB2312" w:cs="Times New Roman"/>
                <w:i w:val="0"/>
                <w:iCs w:val="0"/>
                <w:color w:val="auto"/>
                <w:kern w:val="0"/>
                <w:sz w:val="21"/>
                <w:szCs w:val="21"/>
                <w:highlight w:val="none"/>
                <w:u w:val="none"/>
                <w:lang w:val="en-US" w:eastAsia="zh-CN" w:bidi="ar"/>
              </w:rPr>
              <w:t>6.</w:t>
            </w:r>
            <w:r>
              <w:rPr>
                <w:rFonts w:hint="eastAsia" w:cs="Times New Roman"/>
                <w:i w:val="0"/>
                <w:iCs w:val="0"/>
                <w:color w:val="auto"/>
                <w:kern w:val="0"/>
                <w:sz w:val="21"/>
                <w:szCs w:val="21"/>
                <w:highlight w:val="none"/>
                <w:u w:val="none"/>
                <w:lang w:val="en-US" w:eastAsia="zh-CN" w:bidi="ar"/>
              </w:rPr>
              <w:t>7</w:t>
            </w:r>
          </w:p>
        </w:tc>
      </w:tr>
      <w:tr w14:paraId="3110E8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57" w:type="dxa"/>
            <w:bottom w:w="0" w:type="dxa"/>
            <w:right w:w="57" w:type="dxa"/>
          </w:tblCellMar>
        </w:tblPrEx>
        <w:trPr>
          <w:trHeight w:val="482" w:hRule="atLeast"/>
          <w:jc w:val="center"/>
        </w:trPr>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3CF0B">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2</w:t>
            </w:r>
          </w:p>
        </w:tc>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DA544C">
            <w:pPr>
              <w:keepNext/>
              <w:keepLines w:val="0"/>
              <w:pageBreakBefore w:val="0"/>
              <w:widowControl/>
              <w:kinsoku/>
              <w:wordWrap/>
              <w:overflowPunct/>
              <w:topLinePunct w:val="0"/>
              <w:autoSpaceDE/>
              <w:autoSpaceDN/>
              <w:bidi w:val="0"/>
              <w:adjustRightInd/>
              <w:snapToGrid w:val="0"/>
              <w:spacing w:line="560" w:lineRule="exact"/>
              <w:ind w:left="0" w:leftChars="0" w:right="0" w:rightChars="0" w:firstLine="0" w:firstLineChars="0"/>
              <w:jc w:val="center"/>
              <w:rPr>
                <w:rFonts w:hint="default" w:ascii="Times New Roman" w:hAnsi="Times New Roman" w:eastAsia="仿宋_GB2312" w:cs="Times New Roman"/>
                <w:b/>
                <w:bCs/>
                <w:i w:val="0"/>
                <w:iCs w:val="0"/>
                <w:color w:val="auto"/>
                <w:sz w:val="21"/>
                <w:szCs w:val="21"/>
                <w:highlight w:val="none"/>
                <w:u w:val="none"/>
              </w:rPr>
            </w:pP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6A653">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五年累计固定资产投资（亿元）</w:t>
            </w:r>
          </w:p>
        </w:tc>
        <w:tc>
          <w:tcPr>
            <w:tcW w:w="4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36E4B">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预期性</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B8D21E">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19.69</w:t>
            </w:r>
          </w:p>
        </w:tc>
        <w:tc>
          <w:tcPr>
            <w:tcW w:w="10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8650CF">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100-120</w:t>
            </w:r>
          </w:p>
        </w:tc>
        <w:tc>
          <w:tcPr>
            <w:tcW w:w="6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C7B9A">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114.5</w:t>
            </w:r>
          </w:p>
        </w:tc>
        <w:tc>
          <w:tcPr>
            <w:tcW w:w="5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19632">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[114.5]</w:t>
            </w:r>
          </w:p>
        </w:tc>
      </w:tr>
      <w:tr w14:paraId="4B4D48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57" w:type="dxa"/>
            <w:bottom w:w="0" w:type="dxa"/>
            <w:right w:w="57" w:type="dxa"/>
          </w:tblCellMar>
        </w:tblPrEx>
        <w:trPr>
          <w:trHeight w:val="482" w:hRule="atLeast"/>
          <w:jc w:val="center"/>
        </w:trPr>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F1D233">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3</w:t>
            </w:r>
          </w:p>
        </w:tc>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9FDD0D">
            <w:pPr>
              <w:keepNext/>
              <w:keepLines w:val="0"/>
              <w:pageBreakBefore w:val="0"/>
              <w:widowControl/>
              <w:kinsoku/>
              <w:wordWrap/>
              <w:overflowPunct/>
              <w:topLinePunct w:val="0"/>
              <w:autoSpaceDE/>
              <w:autoSpaceDN/>
              <w:bidi w:val="0"/>
              <w:adjustRightInd/>
              <w:snapToGrid w:val="0"/>
              <w:spacing w:line="560" w:lineRule="exact"/>
              <w:ind w:left="0" w:leftChars="0" w:right="0" w:rightChars="0" w:firstLine="0" w:firstLineChars="0"/>
              <w:jc w:val="center"/>
              <w:rPr>
                <w:rFonts w:hint="default" w:ascii="Times New Roman" w:hAnsi="Times New Roman" w:eastAsia="仿宋_GB2312" w:cs="Times New Roman"/>
                <w:b/>
                <w:bCs/>
                <w:i w:val="0"/>
                <w:iCs w:val="0"/>
                <w:color w:val="auto"/>
                <w:sz w:val="21"/>
                <w:szCs w:val="21"/>
                <w:highlight w:val="none"/>
                <w:u w:val="none"/>
              </w:rPr>
            </w:pP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1390E">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地方财政一般预算收入（亿元）</w:t>
            </w:r>
          </w:p>
        </w:tc>
        <w:tc>
          <w:tcPr>
            <w:tcW w:w="4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98EFC">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预期性</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86265">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1.2</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018C96">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lang w:val="en-US"/>
              </w:rPr>
            </w:pPr>
            <w:r>
              <w:rPr>
                <w:rFonts w:hint="default" w:ascii="Times New Roman" w:hAnsi="Times New Roman" w:eastAsia="仿宋_GB2312" w:cs="Times New Roman"/>
                <w:i w:val="0"/>
                <w:iCs w:val="0"/>
                <w:color w:val="auto"/>
                <w:kern w:val="0"/>
                <w:sz w:val="21"/>
                <w:szCs w:val="21"/>
                <w:highlight w:val="none"/>
                <w:u w:val="none"/>
                <w:lang w:val="en-US" w:eastAsia="zh-CN" w:bidi="ar"/>
              </w:rPr>
              <w:t>1.</w:t>
            </w:r>
            <w:r>
              <w:rPr>
                <w:rFonts w:hint="eastAsia" w:ascii="Times New Roman" w:hAnsi="Times New Roman" w:eastAsia="仿宋_GB2312" w:cs="Times New Roman"/>
                <w:i w:val="0"/>
                <w:iCs w:val="0"/>
                <w:color w:val="auto"/>
                <w:kern w:val="0"/>
                <w:sz w:val="21"/>
                <w:szCs w:val="21"/>
                <w:highlight w:val="none"/>
                <w:u w:val="none"/>
                <w:lang w:val="en-US" w:eastAsia="zh-CN" w:bidi="ar"/>
              </w:rPr>
              <w:t>64</w:t>
            </w:r>
          </w:p>
        </w:tc>
        <w:tc>
          <w:tcPr>
            <w:tcW w:w="5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8A109">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6.5</w:t>
            </w:r>
          </w:p>
        </w:tc>
        <w:tc>
          <w:tcPr>
            <w:tcW w:w="6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7370E">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1.8</w:t>
            </w:r>
          </w:p>
        </w:tc>
        <w:tc>
          <w:tcPr>
            <w:tcW w:w="5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14E3B">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8.4</w:t>
            </w:r>
          </w:p>
        </w:tc>
      </w:tr>
      <w:tr w14:paraId="56FDCA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57" w:type="dxa"/>
            <w:bottom w:w="0" w:type="dxa"/>
            <w:right w:w="57" w:type="dxa"/>
          </w:tblCellMar>
        </w:tblPrEx>
        <w:trPr>
          <w:trHeight w:val="482" w:hRule="atLeast"/>
          <w:jc w:val="center"/>
        </w:trPr>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35A7B">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4</w:t>
            </w:r>
          </w:p>
        </w:tc>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628714">
            <w:pPr>
              <w:keepNext/>
              <w:keepLines w:val="0"/>
              <w:pageBreakBefore w:val="0"/>
              <w:widowControl/>
              <w:kinsoku/>
              <w:wordWrap/>
              <w:overflowPunct/>
              <w:topLinePunct w:val="0"/>
              <w:autoSpaceDE/>
              <w:autoSpaceDN/>
              <w:bidi w:val="0"/>
              <w:adjustRightInd/>
              <w:snapToGrid w:val="0"/>
              <w:spacing w:line="560" w:lineRule="exact"/>
              <w:ind w:left="0" w:leftChars="0" w:right="0" w:rightChars="0" w:firstLine="0" w:firstLineChars="0"/>
              <w:jc w:val="center"/>
              <w:rPr>
                <w:rFonts w:hint="default" w:ascii="Times New Roman" w:hAnsi="Times New Roman" w:eastAsia="仿宋_GB2312" w:cs="Times New Roman"/>
                <w:b/>
                <w:bCs/>
                <w:i w:val="0"/>
                <w:iCs w:val="0"/>
                <w:color w:val="auto"/>
                <w:sz w:val="21"/>
                <w:szCs w:val="21"/>
                <w:highlight w:val="none"/>
                <w:u w:val="none"/>
              </w:rPr>
            </w:pP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0767F">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社会消费品零售总额（亿元）</w:t>
            </w:r>
          </w:p>
        </w:tc>
        <w:tc>
          <w:tcPr>
            <w:tcW w:w="4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CCEBE">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预期性</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DBF40">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lang w:val="en-US"/>
              </w:rPr>
            </w:pPr>
            <w:r>
              <w:rPr>
                <w:rFonts w:hint="eastAsia" w:ascii="Times New Roman" w:hAnsi="Times New Roman" w:eastAsia="仿宋_GB2312" w:cs="Times New Roman"/>
                <w:i w:val="0"/>
                <w:iCs w:val="0"/>
                <w:color w:val="auto"/>
                <w:kern w:val="0"/>
                <w:sz w:val="21"/>
                <w:szCs w:val="21"/>
                <w:highlight w:val="none"/>
                <w:u w:val="none"/>
                <w:lang w:val="en-US" w:eastAsia="zh-CN" w:bidi="ar"/>
              </w:rPr>
              <w:t>4.8</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6B8CA">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7.8</w:t>
            </w:r>
          </w:p>
        </w:tc>
        <w:tc>
          <w:tcPr>
            <w:tcW w:w="5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462E2">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≥8</w:t>
            </w:r>
          </w:p>
        </w:tc>
        <w:tc>
          <w:tcPr>
            <w:tcW w:w="6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E1602">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lang w:val="en-US"/>
              </w:rPr>
            </w:pPr>
            <w:r>
              <w:rPr>
                <w:rFonts w:hint="default" w:ascii="Times New Roman" w:hAnsi="Times New Roman" w:eastAsia="仿宋_GB2312" w:cs="Times New Roman"/>
                <w:i w:val="0"/>
                <w:iCs w:val="0"/>
                <w:color w:val="auto"/>
                <w:kern w:val="0"/>
                <w:sz w:val="21"/>
                <w:szCs w:val="21"/>
                <w:highlight w:val="none"/>
                <w:u w:val="none"/>
                <w:lang w:val="en-US" w:eastAsia="zh-CN" w:bidi="ar"/>
              </w:rPr>
              <w:t>6.</w:t>
            </w:r>
            <w:r>
              <w:rPr>
                <w:rFonts w:hint="eastAsia" w:cs="Times New Roman"/>
                <w:i w:val="0"/>
                <w:iCs w:val="0"/>
                <w:color w:val="auto"/>
                <w:kern w:val="0"/>
                <w:sz w:val="21"/>
                <w:szCs w:val="21"/>
                <w:highlight w:val="none"/>
                <w:u w:val="none"/>
                <w:lang w:val="en-US" w:eastAsia="zh-CN" w:bidi="ar"/>
              </w:rPr>
              <w:t>2</w:t>
            </w:r>
          </w:p>
        </w:tc>
        <w:tc>
          <w:tcPr>
            <w:tcW w:w="5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C0D59">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lang w:val="en-US" w:eastAsia="zh-CN"/>
              </w:rPr>
            </w:pPr>
            <w:r>
              <w:rPr>
                <w:rFonts w:hint="eastAsia" w:cs="Times New Roman"/>
                <w:i w:val="0"/>
                <w:iCs w:val="0"/>
                <w:color w:val="auto"/>
                <w:sz w:val="21"/>
                <w:szCs w:val="21"/>
                <w:highlight w:val="none"/>
                <w:u w:val="none"/>
                <w:lang w:val="en-US" w:eastAsia="zh-CN"/>
              </w:rPr>
              <w:t>5.3</w:t>
            </w:r>
          </w:p>
        </w:tc>
      </w:tr>
      <w:tr w14:paraId="7DCF93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57" w:type="dxa"/>
            <w:bottom w:w="0" w:type="dxa"/>
            <w:right w:w="57" w:type="dxa"/>
          </w:tblCellMar>
        </w:tblPrEx>
        <w:trPr>
          <w:trHeight w:val="482" w:hRule="atLeast"/>
          <w:jc w:val="center"/>
        </w:trPr>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5A9AA">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5</w:t>
            </w:r>
          </w:p>
        </w:tc>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A763F7">
            <w:pPr>
              <w:keepNext/>
              <w:keepLines w:val="0"/>
              <w:pageBreakBefore w:val="0"/>
              <w:widowControl/>
              <w:kinsoku/>
              <w:wordWrap/>
              <w:overflowPunct/>
              <w:topLinePunct w:val="0"/>
              <w:autoSpaceDE/>
              <w:autoSpaceDN/>
              <w:bidi w:val="0"/>
              <w:adjustRightInd/>
              <w:snapToGrid w:val="0"/>
              <w:spacing w:line="560" w:lineRule="exact"/>
              <w:ind w:left="0" w:leftChars="0" w:right="0" w:rightChars="0" w:firstLine="0" w:firstLineChars="0"/>
              <w:jc w:val="center"/>
              <w:rPr>
                <w:rFonts w:hint="default" w:ascii="Times New Roman" w:hAnsi="Times New Roman" w:eastAsia="仿宋_GB2312" w:cs="Times New Roman"/>
                <w:b/>
                <w:bCs/>
                <w:i w:val="0"/>
                <w:iCs w:val="0"/>
                <w:color w:val="auto"/>
                <w:sz w:val="21"/>
                <w:szCs w:val="21"/>
                <w:highlight w:val="none"/>
                <w:u w:val="none"/>
              </w:rPr>
            </w:pP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CB1B21">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旅游接待人次（万人次）</w:t>
            </w:r>
          </w:p>
        </w:tc>
        <w:tc>
          <w:tcPr>
            <w:tcW w:w="4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B8D01F">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预期性</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F8CB1F">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552.8</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3EBB5">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680.5</w:t>
            </w:r>
          </w:p>
        </w:tc>
        <w:tc>
          <w:tcPr>
            <w:tcW w:w="5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3A743">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12</w:t>
            </w:r>
          </w:p>
        </w:tc>
        <w:tc>
          <w:tcPr>
            <w:tcW w:w="6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4B28B">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678</w:t>
            </w:r>
          </w:p>
        </w:tc>
        <w:tc>
          <w:tcPr>
            <w:tcW w:w="5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82DEC">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4.2</w:t>
            </w:r>
          </w:p>
        </w:tc>
      </w:tr>
      <w:tr w14:paraId="78F83F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57" w:type="dxa"/>
            <w:bottom w:w="0" w:type="dxa"/>
            <w:right w:w="57" w:type="dxa"/>
          </w:tblCellMar>
        </w:tblPrEx>
        <w:trPr>
          <w:trHeight w:val="482" w:hRule="atLeast"/>
          <w:jc w:val="center"/>
        </w:trPr>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5E913">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6</w:t>
            </w:r>
          </w:p>
        </w:tc>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BB1E29">
            <w:pPr>
              <w:keepNext/>
              <w:keepLines w:val="0"/>
              <w:pageBreakBefore w:val="0"/>
              <w:widowControl/>
              <w:kinsoku/>
              <w:wordWrap/>
              <w:overflowPunct/>
              <w:topLinePunct w:val="0"/>
              <w:autoSpaceDE/>
              <w:autoSpaceDN/>
              <w:bidi w:val="0"/>
              <w:adjustRightInd/>
              <w:snapToGrid w:val="0"/>
              <w:spacing w:line="560" w:lineRule="exact"/>
              <w:ind w:left="0" w:leftChars="0" w:right="0" w:rightChars="0" w:firstLine="0" w:firstLineChars="0"/>
              <w:jc w:val="center"/>
              <w:rPr>
                <w:rFonts w:hint="default" w:ascii="Times New Roman" w:hAnsi="Times New Roman" w:eastAsia="仿宋_GB2312" w:cs="Times New Roman"/>
                <w:b/>
                <w:bCs/>
                <w:i w:val="0"/>
                <w:iCs w:val="0"/>
                <w:color w:val="auto"/>
                <w:sz w:val="21"/>
                <w:szCs w:val="21"/>
                <w:highlight w:val="none"/>
                <w:u w:val="none"/>
              </w:rPr>
            </w:pP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A901C">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全社会旅游总收入（亿元）</w:t>
            </w:r>
          </w:p>
        </w:tc>
        <w:tc>
          <w:tcPr>
            <w:tcW w:w="4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26ADC">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预期性</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28303">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39.36</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16D764">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52</w:t>
            </w:r>
          </w:p>
        </w:tc>
        <w:tc>
          <w:tcPr>
            <w:tcW w:w="5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1885F">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13</w:t>
            </w:r>
          </w:p>
        </w:tc>
        <w:tc>
          <w:tcPr>
            <w:tcW w:w="6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86ACB6">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62.1</w:t>
            </w:r>
          </w:p>
        </w:tc>
        <w:tc>
          <w:tcPr>
            <w:tcW w:w="5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8F9A0">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9.5</w:t>
            </w:r>
          </w:p>
        </w:tc>
      </w:tr>
      <w:tr w14:paraId="17528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57" w:type="dxa"/>
            <w:bottom w:w="0" w:type="dxa"/>
            <w:right w:w="57" w:type="dxa"/>
          </w:tblCellMar>
        </w:tblPrEx>
        <w:trPr>
          <w:trHeight w:val="482" w:hRule="atLeast"/>
          <w:jc w:val="center"/>
        </w:trPr>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3D8ED7">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7</w:t>
            </w:r>
          </w:p>
        </w:tc>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81507E">
            <w:pPr>
              <w:keepNext/>
              <w:keepLines w:val="0"/>
              <w:pageBreakBefore w:val="0"/>
              <w:widowControl/>
              <w:kinsoku/>
              <w:wordWrap/>
              <w:overflowPunct/>
              <w:topLinePunct w:val="0"/>
              <w:autoSpaceDE/>
              <w:autoSpaceDN/>
              <w:bidi w:val="0"/>
              <w:adjustRightInd/>
              <w:snapToGrid w:val="0"/>
              <w:spacing w:line="560" w:lineRule="exact"/>
              <w:ind w:left="0" w:leftChars="0" w:right="0" w:rightChars="0" w:firstLine="0" w:firstLineChars="0"/>
              <w:jc w:val="center"/>
              <w:rPr>
                <w:rFonts w:hint="default" w:ascii="Times New Roman" w:hAnsi="Times New Roman" w:eastAsia="仿宋_GB2312" w:cs="Times New Roman"/>
                <w:b/>
                <w:bCs/>
                <w:i w:val="0"/>
                <w:iCs w:val="0"/>
                <w:color w:val="auto"/>
                <w:sz w:val="21"/>
                <w:szCs w:val="21"/>
                <w:highlight w:val="none"/>
                <w:u w:val="none"/>
              </w:rPr>
            </w:pP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D034A">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常住人口城镇化率（%）</w:t>
            </w:r>
          </w:p>
        </w:tc>
        <w:tc>
          <w:tcPr>
            <w:tcW w:w="4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CFAC0B">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预期性</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2B05F">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38.99</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2C99A">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41</w:t>
            </w:r>
          </w:p>
        </w:tc>
        <w:tc>
          <w:tcPr>
            <w:tcW w:w="5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98209">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w:t>
            </w:r>
          </w:p>
        </w:tc>
        <w:tc>
          <w:tcPr>
            <w:tcW w:w="6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18417">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41.9</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1FA62">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w:t>
            </w:r>
          </w:p>
        </w:tc>
      </w:tr>
      <w:tr w14:paraId="65F29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57" w:type="dxa"/>
            <w:bottom w:w="0" w:type="dxa"/>
            <w:right w:w="57" w:type="dxa"/>
          </w:tblCellMar>
        </w:tblPrEx>
        <w:trPr>
          <w:trHeight w:val="482" w:hRule="atLeast"/>
          <w:jc w:val="center"/>
        </w:trPr>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ECE8B0">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8</w:t>
            </w:r>
          </w:p>
        </w:tc>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7FA831">
            <w:pPr>
              <w:keepNext/>
              <w:keepLines w:val="0"/>
              <w:pageBreakBefore w:val="0"/>
              <w:widowControl/>
              <w:kinsoku/>
              <w:wordWrap/>
              <w:overflowPunct/>
              <w:topLinePunct w:val="0"/>
              <w:autoSpaceDE/>
              <w:autoSpaceDN/>
              <w:bidi w:val="0"/>
              <w:adjustRightInd/>
              <w:snapToGrid w:val="0"/>
              <w:spacing w:line="560" w:lineRule="exact"/>
              <w:ind w:left="0" w:leftChars="0" w:right="0" w:rightChars="0" w:firstLine="0" w:firstLineChars="0"/>
              <w:jc w:val="center"/>
              <w:rPr>
                <w:rFonts w:hint="default" w:ascii="Times New Roman" w:hAnsi="Times New Roman" w:eastAsia="仿宋_GB2312" w:cs="Times New Roman"/>
                <w:b/>
                <w:bCs/>
                <w:i w:val="0"/>
                <w:iCs w:val="0"/>
                <w:color w:val="auto"/>
                <w:sz w:val="21"/>
                <w:szCs w:val="21"/>
                <w:highlight w:val="none"/>
                <w:u w:val="none"/>
              </w:rPr>
            </w:pP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78867">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民营经济增加值占比（%）</w:t>
            </w:r>
          </w:p>
        </w:tc>
        <w:tc>
          <w:tcPr>
            <w:tcW w:w="4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C8F6D">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预期性</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1AB99">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44.24</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9B8AC">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44</w:t>
            </w:r>
          </w:p>
        </w:tc>
        <w:tc>
          <w:tcPr>
            <w:tcW w:w="5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3EA309">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w:t>
            </w:r>
          </w:p>
        </w:tc>
        <w:tc>
          <w:tcPr>
            <w:tcW w:w="6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36C2D">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44.8</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C8C42">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w:t>
            </w:r>
          </w:p>
        </w:tc>
      </w:tr>
      <w:tr w14:paraId="1693D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57" w:type="dxa"/>
            <w:bottom w:w="0" w:type="dxa"/>
            <w:right w:w="57" w:type="dxa"/>
          </w:tblCellMar>
        </w:tblPrEx>
        <w:trPr>
          <w:trHeight w:val="482" w:hRule="atLeast"/>
          <w:jc w:val="center"/>
        </w:trPr>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A8FE6">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9</w:t>
            </w:r>
          </w:p>
        </w:tc>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54FEE4">
            <w:pPr>
              <w:keepNext/>
              <w:keepLines w:val="0"/>
              <w:pageBreakBefore w:val="0"/>
              <w:widowControl/>
              <w:kinsoku/>
              <w:wordWrap/>
              <w:overflowPunct/>
              <w:topLinePunct w:val="0"/>
              <w:autoSpaceDE/>
              <w:autoSpaceDN/>
              <w:bidi w:val="0"/>
              <w:adjustRightInd/>
              <w:snapToGrid w:val="0"/>
              <w:spacing w:line="560" w:lineRule="exact"/>
              <w:ind w:left="0" w:leftChars="0" w:right="0" w:rightChars="0" w:firstLine="0" w:firstLineChars="0"/>
              <w:jc w:val="center"/>
              <w:rPr>
                <w:rFonts w:hint="default" w:ascii="Times New Roman" w:hAnsi="Times New Roman" w:eastAsia="仿宋_GB2312" w:cs="Times New Roman"/>
                <w:b/>
                <w:bCs/>
                <w:i w:val="0"/>
                <w:iCs w:val="0"/>
                <w:color w:val="auto"/>
                <w:sz w:val="21"/>
                <w:szCs w:val="21"/>
                <w:highlight w:val="none"/>
                <w:u w:val="none"/>
              </w:rPr>
            </w:pP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3BF076">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全员劳动生产率增长（%）</w:t>
            </w:r>
          </w:p>
        </w:tc>
        <w:tc>
          <w:tcPr>
            <w:tcW w:w="4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09489E">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预期性</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FFA86">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w:t>
            </w:r>
          </w:p>
        </w:tc>
        <w:tc>
          <w:tcPr>
            <w:tcW w:w="10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28F500">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7</w:t>
            </w:r>
          </w:p>
        </w:tc>
        <w:tc>
          <w:tcPr>
            <w:tcW w:w="6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86623">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6B5AB1">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w:t>
            </w:r>
          </w:p>
        </w:tc>
      </w:tr>
      <w:tr w14:paraId="453A97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57" w:type="dxa"/>
            <w:bottom w:w="0" w:type="dxa"/>
            <w:right w:w="57" w:type="dxa"/>
          </w:tblCellMar>
        </w:tblPrEx>
        <w:trPr>
          <w:trHeight w:val="482" w:hRule="atLeast"/>
          <w:jc w:val="center"/>
        </w:trPr>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C65B56">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10</w:t>
            </w:r>
          </w:p>
        </w:tc>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697B9F">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bCs/>
                <w:i w:val="0"/>
                <w:iCs w:val="0"/>
                <w:color w:val="auto"/>
                <w:sz w:val="21"/>
                <w:szCs w:val="21"/>
                <w:highlight w:val="none"/>
                <w:u w:val="none"/>
              </w:rPr>
            </w:pPr>
            <w:r>
              <w:rPr>
                <w:rFonts w:hint="default" w:ascii="Times New Roman" w:hAnsi="Times New Roman" w:eastAsia="仿宋_GB2312" w:cs="Times New Roman"/>
                <w:b/>
                <w:bCs/>
                <w:i w:val="0"/>
                <w:iCs w:val="0"/>
                <w:color w:val="auto"/>
                <w:kern w:val="0"/>
                <w:sz w:val="21"/>
                <w:szCs w:val="21"/>
                <w:highlight w:val="none"/>
                <w:u w:val="none"/>
                <w:lang w:val="en-US" w:eastAsia="zh-CN" w:bidi="ar"/>
              </w:rPr>
              <w:t>创新驱动</w:t>
            </w:r>
          </w:p>
        </w:tc>
        <w:tc>
          <w:tcPr>
            <w:tcW w:w="12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B6DDAA">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研发经费投入增长（%）</w:t>
            </w:r>
          </w:p>
        </w:tc>
        <w:tc>
          <w:tcPr>
            <w:tcW w:w="4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73D43">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预期性</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E0D37B">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w:t>
            </w:r>
          </w:p>
        </w:tc>
        <w:tc>
          <w:tcPr>
            <w:tcW w:w="10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0FDC8C">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6</w:t>
            </w:r>
          </w:p>
        </w:tc>
        <w:tc>
          <w:tcPr>
            <w:tcW w:w="6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A7714">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C4D8A">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w:t>
            </w:r>
          </w:p>
        </w:tc>
      </w:tr>
      <w:tr w14:paraId="4DD36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57" w:type="dxa"/>
            <w:bottom w:w="0" w:type="dxa"/>
            <w:right w:w="57" w:type="dxa"/>
          </w:tblCellMar>
        </w:tblPrEx>
        <w:trPr>
          <w:trHeight w:val="482" w:hRule="atLeast"/>
          <w:jc w:val="center"/>
        </w:trPr>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26B0DA">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11</w:t>
            </w:r>
          </w:p>
        </w:tc>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4B43A4">
            <w:pPr>
              <w:keepNext/>
              <w:keepLines w:val="0"/>
              <w:pageBreakBefore w:val="0"/>
              <w:widowControl/>
              <w:kinsoku/>
              <w:wordWrap/>
              <w:overflowPunct/>
              <w:topLinePunct w:val="0"/>
              <w:autoSpaceDE/>
              <w:autoSpaceDN/>
              <w:bidi w:val="0"/>
              <w:adjustRightInd/>
              <w:snapToGrid w:val="0"/>
              <w:spacing w:line="560" w:lineRule="exact"/>
              <w:ind w:left="0" w:leftChars="0" w:right="0" w:rightChars="0" w:firstLine="0" w:firstLineChars="0"/>
              <w:jc w:val="center"/>
              <w:rPr>
                <w:rFonts w:hint="default" w:ascii="Times New Roman" w:hAnsi="Times New Roman" w:eastAsia="仿宋_GB2312" w:cs="Times New Roman"/>
                <w:b/>
                <w:bCs/>
                <w:i w:val="0"/>
                <w:iCs w:val="0"/>
                <w:color w:val="auto"/>
                <w:sz w:val="21"/>
                <w:szCs w:val="21"/>
                <w:highlight w:val="none"/>
                <w:u w:val="none"/>
              </w:rPr>
            </w:pP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EC636">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研发经费投入强度（%）</w:t>
            </w:r>
          </w:p>
        </w:tc>
        <w:tc>
          <w:tcPr>
            <w:tcW w:w="4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E1D6B">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预期性</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0D8B21">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0.051</w:t>
            </w:r>
          </w:p>
        </w:tc>
        <w:tc>
          <w:tcPr>
            <w:tcW w:w="10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855225">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0.5</w:t>
            </w:r>
          </w:p>
        </w:tc>
        <w:tc>
          <w:tcPr>
            <w:tcW w:w="6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A9652">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0C391">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w:t>
            </w:r>
          </w:p>
        </w:tc>
      </w:tr>
      <w:tr w14:paraId="5B3754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57" w:type="dxa"/>
            <w:bottom w:w="0" w:type="dxa"/>
            <w:right w:w="57" w:type="dxa"/>
          </w:tblCellMar>
        </w:tblPrEx>
        <w:trPr>
          <w:trHeight w:val="482" w:hRule="atLeast"/>
          <w:jc w:val="center"/>
        </w:trPr>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A9198">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12</w:t>
            </w:r>
          </w:p>
        </w:tc>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1E523E">
            <w:pPr>
              <w:keepNext/>
              <w:keepLines w:val="0"/>
              <w:pageBreakBefore w:val="0"/>
              <w:widowControl/>
              <w:kinsoku/>
              <w:wordWrap/>
              <w:overflowPunct/>
              <w:topLinePunct w:val="0"/>
              <w:autoSpaceDE/>
              <w:autoSpaceDN/>
              <w:bidi w:val="0"/>
              <w:adjustRightInd/>
              <w:snapToGrid w:val="0"/>
              <w:spacing w:line="560" w:lineRule="exact"/>
              <w:ind w:left="0" w:leftChars="0" w:right="0" w:rightChars="0" w:firstLine="0" w:firstLineChars="0"/>
              <w:jc w:val="center"/>
              <w:rPr>
                <w:rFonts w:hint="default" w:ascii="Times New Roman" w:hAnsi="Times New Roman" w:eastAsia="仿宋_GB2312" w:cs="Times New Roman"/>
                <w:b/>
                <w:bCs/>
                <w:i w:val="0"/>
                <w:iCs w:val="0"/>
                <w:color w:val="auto"/>
                <w:sz w:val="21"/>
                <w:szCs w:val="21"/>
                <w:highlight w:val="none"/>
                <w:u w:val="none"/>
              </w:rPr>
            </w:pP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FC2250">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每万人口发明专利拥有量（件）</w:t>
            </w:r>
          </w:p>
        </w:tc>
        <w:tc>
          <w:tcPr>
            <w:tcW w:w="4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9971A7">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预期性</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254A8">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1</w:t>
            </w:r>
          </w:p>
        </w:tc>
        <w:tc>
          <w:tcPr>
            <w:tcW w:w="10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2F5F77">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3</w:t>
            </w:r>
          </w:p>
        </w:tc>
        <w:tc>
          <w:tcPr>
            <w:tcW w:w="6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F1AC8">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lang w:val="en-US" w:eastAsia="zh-CN"/>
              </w:rPr>
            </w:pPr>
            <w:r>
              <w:rPr>
                <w:rFonts w:hint="eastAsia" w:cs="Times New Roman"/>
                <w:i w:val="0"/>
                <w:iCs w:val="0"/>
                <w:color w:val="auto"/>
                <w:sz w:val="21"/>
                <w:szCs w:val="21"/>
                <w:highlight w:val="none"/>
                <w:u w:val="none"/>
                <w:lang w:val="en-US" w:eastAsia="zh-CN"/>
              </w:rPr>
              <w:t>2</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6D49F">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lang w:val="en-US" w:eastAsia="zh-CN"/>
              </w:rPr>
            </w:pPr>
            <w:r>
              <w:rPr>
                <w:rFonts w:hint="default" w:ascii="Times New Roman" w:hAnsi="Times New Roman" w:eastAsia="仿宋_GB2312" w:cs="Times New Roman"/>
                <w:i w:val="0"/>
                <w:iCs w:val="0"/>
                <w:color w:val="auto"/>
                <w:kern w:val="0"/>
                <w:sz w:val="21"/>
                <w:szCs w:val="21"/>
                <w:highlight w:val="none"/>
                <w:u w:val="none"/>
                <w:lang w:val="en-US" w:eastAsia="zh-CN" w:bidi="ar"/>
              </w:rPr>
              <w:t>-</w:t>
            </w:r>
          </w:p>
        </w:tc>
      </w:tr>
      <w:tr w14:paraId="402C2C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57" w:type="dxa"/>
            <w:bottom w:w="0" w:type="dxa"/>
            <w:right w:w="57" w:type="dxa"/>
          </w:tblCellMar>
        </w:tblPrEx>
        <w:trPr>
          <w:trHeight w:val="482" w:hRule="atLeast"/>
          <w:jc w:val="center"/>
        </w:trPr>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E4E60">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13</w:t>
            </w:r>
          </w:p>
        </w:tc>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F0F709">
            <w:pPr>
              <w:keepNext/>
              <w:keepLines w:val="0"/>
              <w:pageBreakBefore w:val="0"/>
              <w:widowControl/>
              <w:kinsoku/>
              <w:wordWrap/>
              <w:overflowPunct/>
              <w:topLinePunct w:val="0"/>
              <w:autoSpaceDE/>
              <w:autoSpaceDN/>
              <w:bidi w:val="0"/>
              <w:adjustRightInd/>
              <w:snapToGrid w:val="0"/>
              <w:spacing w:line="560" w:lineRule="exact"/>
              <w:ind w:left="0" w:leftChars="0" w:right="0" w:rightChars="0" w:firstLine="0" w:firstLineChars="0"/>
              <w:jc w:val="center"/>
              <w:rPr>
                <w:rFonts w:hint="default" w:ascii="Times New Roman" w:hAnsi="Times New Roman" w:eastAsia="仿宋_GB2312" w:cs="Times New Roman"/>
                <w:b/>
                <w:bCs/>
                <w:i w:val="0"/>
                <w:iCs w:val="0"/>
                <w:color w:val="auto"/>
                <w:sz w:val="21"/>
                <w:szCs w:val="21"/>
                <w:highlight w:val="none"/>
                <w:u w:val="none"/>
              </w:rPr>
            </w:pP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202CA1">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数字经济核心产业增加值占GDP比重（%）</w:t>
            </w:r>
          </w:p>
        </w:tc>
        <w:tc>
          <w:tcPr>
            <w:tcW w:w="4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CFBFF4">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预期性</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4A3CD">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w:t>
            </w:r>
          </w:p>
        </w:tc>
        <w:tc>
          <w:tcPr>
            <w:tcW w:w="10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8B2748">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8</w:t>
            </w:r>
          </w:p>
        </w:tc>
        <w:tc>
          <w:tcPr>
            <w:tcW w:w="6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CE87F9">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CA207F">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w:t>
            </w:r>
          </w:p>
        </w:tc>
      </w:tr>
      <w:tr w14:paraId="1497DC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57" w:type="dxa"/>
            <w:bottom w:w="0" w:type="dxa"/>
            <w:right w:w="57" w:type="dxa"/>
          </w:tblCellMar>
        </w:tblPrEx>
        <w:trPr>
          <w:trHeight w:val="482" w:hRule="atLeast"/>
          <w:jc w:val="center"/>
        </w:trPr>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C1B3D">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14</w:t>
            </w:r>
          </w:p>
        </w:tc>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1C4B73">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bCs/>
                <w:i w:val="0"/>
                <w:iCs w:val="0"/>
                <w:color w:val="auto"/>
                <w:sz w:val="21"/>
                <w:szCs w:val="21"/>
                <w:highlight w:val="none"/>
                <w:u w:val="none"/>
              </w:rPr>
            </w:pPr>
            <w:r>
              <w:rPr>
                <w:rFonts w:hint="default" w:ascii="Times New Roman" w:hAnsi="Times New Roman" w:eastAsia="仿宋_GB2312" w:cs="Times New Roman"/>
                <w:b/>
                <w:bCs/>
                <w:i w:val="0"/>
                <w:iCs w:val="0"/>
                <w:color w:val="auto"/>
                <w:kern w:val="0"/>
                <w:sz w:val="21"/>
                <w:szCs w:val="21"/>
                <w:highlight w:val="none"/>
                <w:u w:val="none"/>
                <w:lang w:val="en-US" w:eastAsia="zh-CN" w:bidi="ar"/>
              </w:rPr>
              <w:t>民生改善</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378FC6">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城镇居民人均可支配收入（元）</w:t>
            </w:r>
          </w:p>
        </w:tc>
        <w:tc>
          <w:tcPr>
            <w:tcW w:w="4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02EBD">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预期性</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0C088">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lang w:val="en-US"/>
              </w:rPr>
            </w:pPr>
            <w:r>
              <w:rPr>
                <w:rFonts w:hint="default" w:ascii="Times New Roman" w:hAnsi="Times New Roman" w:eastAsia="仿宋_GB2312" w:cs="Times New Roman"/>
                <w:i w:val="0"/>
                <w:iCs w:val="0"/>
                <w:color w:val="auto"/>
                <w:kern w:val="0"/>
                <w:sz w:val="21"/>
                <w:szCs w:val="21"/>
                <w:highlight w:val="none"/>
                <w:u w:val="none"/>
                <w:lang w:val="en-US" w:eastAsia="zh-CN" w:bidi="ar"/>
              </w:rPr>
              <w:t>33392</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F8559">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45000</w:t>
            </w:r>
          </w:p>
        </w:tc>
        <w:tc>
          <w:tcPr>
            <w:tcW w:w="5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F2CD7">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8</w:t>
            </w:r>
          </w:p>
        </w:tc>
        <w:tc>
          <w:tcPr>
            <w:tcW w:w="6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13E09">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sz w:val="21"/>
                <w:szCs w:val="21"/>
                <w:highlight w:val="none"/>
                <w:u w:val="none"/>
              </w:rPr>
              <w:t>43219</w:t>
            </w:r>
          </w:p>
        </w:tc>
        <w:tc>
          <w:tcPr>
            <w:tcW w:w="5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1224E">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lang w:val="en-US" w:eastAsia="zh-CN"/>
              </w:rPr>
            </w:pPr>
            <w:r>
              <w:rPr>
                <w:rFonts w:hint="default" w:ascii="Times New Roman" w:hAnsi="Times New Roman" w:eastAsia="仿宋_GB2312" w:cs="Times New Roman"/>
                <w:i w:val="0"/>
                <w:iCs w:val="0"/>
                <w:color w:val="auto"/>
                <w:kern w:val="0"/>
                <w:sz w:val="21"/>
                <w:szCs w:val="21"/>
                <w:highlight w:val="none"/>
                <w:u w:val="none"/>
                <w:lang w:val="en-US" w:eastAsia="zh-CN" w:bidi="ar"/>
              </w:rPr>
              <w:t>5.</w:t>
            </w:r>
            <w:r>
              <w:rPr>
                <w:rFonts w:hint="eastAsia" w:cs="Times New Roman"/>
                <w:i w:val="0"/>
                <w:iCs w:val="0"/>
                <w:color w:val="auto"/>
                <w:kern w:val="0"/>
                <w:sz w:val="21"/>
                <w:szCs w:val="21"/>
                <w:highlight w:val="none"/>
                <w:u w:val="none"/>
                <w:lang w:val="en-US" w:eastAsia="zh-CN" w:bidi="ar"/>
              </w:rPr>
              <w:t>3</w:t>
            </w:r>
          </w:p>
        </w:tc>
      </w:tr>
      <w:tr w14:paraId="0B391A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57" w:type="dxa"/>
            <w:bottom w:w="0" w:type="dxa"/>
            <w:right w:w="57" w:type="dxa"/>
          </w:tblCellMar>
        </w:tblPrEx>
        <w:trPr>
          <w:trHeight w:val="482" w:hRule="atLeast"/>
          <w:jc w:val="center"/>
        </w:trPr>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6DD0F9">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15</w:t>
            </w:r>
          </w:p>
        </w:tc>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9B4414">
            <w:pPr>
              <w:keepNext/>
              <w:keepLines w:val="0"/>
              <w:pageBreakBefore w:val="0"/>
              <w:widowControl/>
              <w:kinsoku/>
              <w:wordWrap/>
              <w:overflowPunct/>
              <w:topLinePunct w:val="0"/>
              <w:autoSpaceDE/>
              <w:autoSpaceDN/>
              <w:bidi w:val="0"/>
              <w:adjustRightInd/>
              <w:snapToGrid w:val="0"/>
              <w:spacing w:line="560" w:lineRule="exact"/>
              <w:ind w:left="0" w:leftChars="0" w:right="0" w:rightChars="0" w:firstLine="0" w:firstLineChars="0"/>
              <w:jc w:val="center"/>
              <w:rPr>
                <w:rFonts w:hint="default" w:ascii="Times New Roman" w:hAnsi="Times New Roman" w:eastAsia="仿宋_GB2312" w:cs="Times New Roman"/>
                <w:b/>
                <w:bCs/>
                <w:i w:val="0"/>
                <w:iCs w:val="0"/>
                <w:color w:val="auto"/>
                <w:sz w:val="21"/>
                <w:szCs w:val="21"/>
                <w:highlight w:val="none"/>
                <w:u w:val="none"/>
              </w:rPr>
            </w:pP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9738B">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农村居民人均可支配收入（元）</w:t>
            </w:r>
          </w:p>
        </w:tc>
        <w:tc>
          <w:tcPr>
            <w:tcW w:w="4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E6071">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预期性</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8F717">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lang w:val="en-US"/>
              </w:rPr>
            </w:pPr>
            <w:r>
              <w:rPr>
                <w:rFonts w:hint="default" w:ascii="Times New Roman" w:hAnsi="Times New Roman" w:eastAsia="仿宋_GB2312" w:cs="Times New Roman"/>
                <w:i w:val="0"/>
                <w:iCs w:val="0"/>
                <w:color w:val="auto"/>
                <w:kern w:val="0"/>
                <w:sz w:val="21"/>
                <w:szCs w:val="21"/>
                <w:highlight w:val="none"/>
                <w:u w:val="none"/>
                <w:lang w:val="en-US" w:eastAsia="zh-CN" w:bidi="ar"/>
              </w:rPr>
              <w:t>14331</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86B075">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21000</w:t>
            </w:r>
          </w:p>
        </w:tc>
        <w:tc>
          <w:tcPr>
            <w:tcW w:w="5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1DCB2">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10</w:t>
            </w:r>
          </w:p>
        </w:tc>
        <w:tc>
          <w:tcPr>
            <w:tcW w:w="6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853A7">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sz w:val="21"/>
                <w:szCs w:val="21"/>
                <w:highlight w:val="none"/>
                <w:u w:val="none"/>
              </w:rPr>
              <w:t>20486</w:t>
            </w:r>
          </w:p>
        </w:tc>
        <w:tc>
          <w:tcPr>
            <w:tcW w:w="5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9C92B">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lang w:val="en-US"/>
              </w:rPr>
            </w:pPr>
            <w:r>
              <w:rPr>
                <w:rFonts w:hint="default" w:ascii="Times New Roman" w:hAnsi="Times New Roman" w:eastAsia="仿宋_GB2312" w:cs="Times New Roman"/>
                <w:i w:val="0"/>
                <w:iCs w:val="0"/>
                <w:color w:val="auto"/>
                <w:kern w:val="0"/>
                <w:sz w:val="21"/>
                <w:szCs w:val="21"/>
                <w:highlight w:val="none"/>
                <w:u w:val="none"/>
                <w:lang w:val="en-US" w:eastAsia="zh-CN" w:bidi="ar"/>
              </w:rPr>
              <w:t>7.</w:t>
            </w:r>
            <w:r>
              <w:rPr>
                <w:rFonts w:hint="eastAsia" w:cs="Times New Roman"/>
                <w:i w:val="0"/>
                <w:iCs w:val="0"/>
                <w:color w:val="auto"/>
                <w:kern w:val="0"/>
                <w:sz w:val="21"/>
                <w:szCs w:val="21"/>
                <w:highlight w:val="none"/>
                <w:u w:val="none"/>
                <w:lang w:val="en-US" w:eastAsia="zh-CN" w:bidi="ar"/>
              </w:rPr>
              <w:t>4</w:t>
            </w:r>
          </w:p>
        </w:tc>
      </w:tr>
      <w:tr w14:paraId="3DCC9F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57" w:type="dxa"/>
            <w:bottom w:w="0" w:type="dxa"/>
            <w:right w:w="57" w:type="dxa"/>
          </w:tblCellMar>
        </w:tblPrEx>
        <w:trPr>
          <w:trHeight w:val="482" w:hRule="atLeast"/>
          <w:jc w:val="center"/>
        </w:trPr>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E20E8C">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16</w:t>
            </w:r>
          </w:p>
        </w:tc>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43CB7B">
            <w:pPr>
              <w:keepNext/>
              <w:keepLines w:val="0"/>
              <w:pageBreakBefore w:val="0"/>
              <w:widowControl/>
              <w:kinsoku/>
              <w:wordWrap/>
              <w:overflowPunct/>
              <w:topLinePunct w:val="0"/>
              <w:autoSpaceDE/>
              <w:autoSpaceDN/>
              <w:bidi w:val="0"/>
              <w:adjustRightInd/>
              <w:snapToGrid w:val="0"/>
              <w:spacing w:line="560" w:lineRule="exact"/>
              <w:ind w:left="0" w:leftChars="0" w:right="0" w:rightChars="0" w:firstLine="0" w:firstLineChars="0"/>
              <w:jc w:val="center"/>
              <w:rPr>
                <w:rFonts w:hint="default" w:ascii="Times New Roman" w:hAnsi="Times New Roman" w:eastAsia="仿宋_GB2312" w:cs="Times New Roman"/>
                <w:b/>
                <w:bCs/>
                <w:i w:val="0"/>
                <w:iCs w:val="0"/>
                <w:color w:val="auto"/>
                <w:sz w:val="21"/>
                <w:szCs w:val="21"/>
                <w:highlight w:val="none"/>
                <w:u w:val="none"/>
              </w:rPr>
            </w:pP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71079">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一般公共预算支出占GDP比重（%）</w:t>
            </w:r>
          </w:p>
        </w:tc>
        <w:tc>
          <w:tcPr>
            <w:tcW w:w="4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C0C83">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预期性</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C50615">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46.65</w:t>
            </w:r>
          </w:p>
        </w:tc>
        <w:tc>
          <w:tcPr>
            <w:tcW w:w="10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325FF0">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45.9</w:t>
            </w:r>
          </w:p>
        </w:tc>
        <w:tc>
          <w:tcPr>
            <w:tcW w:w="6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9ED25">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1CEED">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w:t>
            </w:r>
          </w:p>
        </w:tc>
      </w:tr>
      <w:tr w14:paraId="6DDD5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57" w:type="dxa"/>
            <w:bottom w:w="0" w:type="dxa"/>
            <w:right w:w="57" w:type="dxa"/>
          </w:tblCellMar>
        </w:tblPrEx>
        <w:trPr>
          <w:trHeight w:val="482" w:hRule="atLeast"/>
          <w:jc w:val="center"/>
        </w:trPr>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D0068">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17</w:t>
            </w:r>
          </w:p>
        </w:tc>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926E82">
            <w:pPr>
              <w:keepNext/>
              <w:keepLines w:val="0"/>
              <w:pageBreakBefore w:val="0"/>
              <w:widowControl/>
              <w:kinsoku/>
              <w:wordWrap/>
              <w:overflowPunct/>
              <w:topLinePunct w:val="0"/>
              <w:autoSpaceDE/>
              <w:autoSpaceDN/>
              <w:bidi w:val="0"/>
              <w:adjustRightInd/>
              <w:snapToGrid w:val="0"/>
              <w:spacing w:line="560" w:lineRule="exact"/>
              <w:ind w:left="0" w:leftChars="0" w:right="0" w:rightChars="0" w:firstLine="0" w:firstLineChars="0"/>
              <w:jc w:val="center"/>
              <w:rPr>
                <w:rFonts w:hint="default" w:ascii="Times New Roman" w:hAnsi="Times New Roman" w:eastAsia="仿宋_GB2312" w:cs="Times New Roman"/>
                <w:b/>
                <w:bCs/>
                <w:i w:val="0"/>
                <w:iCs w:val="0"/>
                <w:color w:val="auto"/>
                <w:sz w:val="21"/>
                <w:szCs w:val="21"/>
                <w:highlight w:val="none"/>
                <w:u w:val="none"/>
              </w:rPr>
            </w:pP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94D46">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恩格尔系数（%）</w:t>
            </w:r>
          </w:p>
        </w:tc>
        <w:tc>
          <w:tcPr>
            <w:tcW w:w="4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482D9">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预期性</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94459">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31.34</w:t>
            </w:r>
          </w:p>
        </w:tc>
        <w:tc>
          <w:tcPr>
            <w:tcW w:w="10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E0036D">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31</w:t>
            </w:r>
          </w:p>
        </w:tc>
        <w:tc>
          <w:tcPr>
            <w:tcW w:w="6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86C97">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0F7E84">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w:t>
            </w:r>
          </w:p>
        </w:tc>
      </w:tr>
      <w:tr w14:paraId="04E900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57" w:type="dxa"/>
            <w:bottom w:w="0" w:type="dxa"/>
            <w:right w:w="57" w:type="dxa"/>
          </w:tblCellMar>
        </w:tblPrEx>
        <w:trPr>
          <w:trHeight w:val="482" w:hRule="atLeast"/>
          <w:jc w:val="center"/>
        </w:trPr>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12695">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18</w:t>
            </w:r>
          </w:p>
        </w:tc>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38D4E5">
            <w:pPr>
              <w:keepNext/>
              <w:keepLines w:val="0"/>
              <w:pageBreakBefore w:val="0"/>
              <w:widowControl/>
              <w:kinsoku/>
              <w:wordWrap/>
              <w:overflowPunct/>
              <w:topLinePunct w:val="0"/>
              <w:autoSpaceDE/>
              <w:autoSpaceDN/>
              <w:bidi w:val="0"/>
              <w:adjustRightInd/>
              <w:snapToGrid w:val="0"/>
              <w:spacing w:line="560" w:lineRule="exact"/>
              <w:ind w:left="0" w:leftChars="0" w:right="0" w:rightChars="0" w:firstLine="0" w:firstLineChars="0"/>
              <w:jc w:val="center"/>
              <w:rPr>
                <w:rFonts w:hint="default" w:ascii="Times New Roman" w:hAnsi="Times New Roman" w:eastAsia="仿宋_GB2312" w:cs="Times New Roman"/>
                <w:b/>
                <w:bCs/>
                <w:i w:val="0"/>
                <w:iCs w:val="0"/>
                <w:color w:val="auto"/>
                <w:sz w:val="21"/>
                <w:szCs w:val="21"/>
                <w:highlight w:val="none"/>
                <w:u w:val="none"/>
              </w:rPr>
            </w:pP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4C806">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劳动年龄人口平均受教育年限（年）</w:t>
            </w:r>
          </w:p>
        </w:tc>
        <w:tc>
          <w:tcPr>
            <w:tcW w:w="4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E7C305">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约束性</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3FCE9">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2FB8B">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14.2</w:t>
            </w:r>
          </w:p>
        </w:tc>
        <w:tc>
          <w:tcPr>
            <w:tcW w:w="5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7B090">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14.5</w:t>
            </w:r>
          </w:p>
        </w:tc>
        <w:tc>
          <w:tcPr>
            <w:tcW w:w="6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92EC5E">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B5EEE">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w:t>
            </w:r>
          </w:p>
        </w:tc>
      </w:tr>
      <w:tr w14:paraId="2E6944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57" w:type="dxa"/>
            <w:bottom w:w="0" w:type="dxa"/>
            <w:right w:w="57" w:type="dxa"/>
          </w:tblCellMar>
        </w:tblPrEx>
        <w:trPr>
          <w:trHeight w:val="482" w:hRule="atLeast"/>
          <w:jc w:val="center"/>
        </w:trPr>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5CB70">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19</w:t>
            </w:r>
          </w:p>
        </w:tc>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5600C5">
            <w:pPr>
              <w:keepNext/>
              <w:keepLines w:val="0"/>
              <w:pageBreakBefore w:val="0"/>
              <w:widowControl/>
              <w:kinsoku/>
              <w:wordWrap/>
              <w:overflowPunct/>
              <w:topLinePunct w:val="0"/>
              <w:autoSpaceDE/>
              <w:autoSpaceDN/>
              <w:bidi w:val="0"/>
              <w:adjustRightInd/>
              <w:snapToGrid w:val="0"/>
              <w:spacing w:line="560" w:lineRule="exact"/>
              <w:ind w:left="0" w:leftChars="0" w:right="0" w:rightChars="0" w:firstLine="0" w:firstLineChars="0"/>
              <w:jc w:val="center"/>
              <w:rPr>
                <w:rFonts w:hint="default" w:ascii="Times New Roman" w:hAnsi="Times New Roman" w:eastAsia="仿宋_GB2312" w:cs="Times New Roman"/>
                <w:b/>
                <w:bCs/>
                <w:i w:val="0"/>
                <w:iCs w:val="0"/>
                <w:color w:val="auto"/>
                <w:sz w:val="21"/>
                <w:szCs w:val="21"/>
                <w:highlight w:val="none"/>
                <w:u w:val="none"/>
              </w:rPr>
            </w:pP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A5BF3">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人均预期寿命（岁）</w:t>
            </w:r>
          </w:p>
        </w:tc>
        <w:tc>
          <w:tcPr>
            <w:tcW w:w="4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8693C">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预期性</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417E84">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76.6</w:t>
            </w:r>
          </w:p>
        </w:tc>
        <w:tc>
          <w:tcPr>
            <w:tcW w:w="10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593B63">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76.6</w:t>
            </w:r>
          </w:p>
        </w:tc>
        <w:tc>
          <w:tcPr>
            <w:tcW w:w="6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D7290">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80.4</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E27AC">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w:t>
            </w:r>
          </w:p>
        </w:tc>
      </w:tr>
      <w:tr w14:paraId="6B31F7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57" w:type="dxa"/>
            <w:bottom w:w="0" w:type="dxa"/>
            <w:right w:w="57" w:type="dxa"/>
          </w:tblCellMar>
        </w:tblPrEx>
        <w:trPr>
          <w:trHeight w:val="482" w:hRule="atLeast"/>
          <w:jc w:val="center"/>
        </w:trPr>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DA22B6">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20</w:t>
            </w:r>
          </w:p>
        </w:tc>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3D5C30">
            <w:pPr>
              <w:keepNext/>
              <w:keepLines w:val="0"/>
              <w:pageBreakBefore w:val="0"/>
              <w:widowControl/>
              <w:kinsoku/>
              <w:wordWrap/>
              <w:overflowPunct/>
              <w:topLinePunct w:val="0"/>
              <w:autoSpaceDE/>
              <w:autoSpaceDN/>
              <w:bidi w:val="0"/>
              <w:adjustRightInd/>
              <w:snapToGrid w:val="0"/>
              <w:spacing w:line="560" w:lineRule="exact"/>
              <w:ind w:left="0" w:leftChars="0" w:right="0" w:rightChars="0" w:firstLine="0" w:firstLineChars="0"/>
              <w:jc w:val="center"/>
              <w:rPr>
                <w:rFonts w:hint="default" w:ascii="Times New Roman" w:hAnsi="Times New Roman" w:eastAsia="仿宋_GB2312" w:cs="Times New Roman"/>
                <w:b/>
                <w:bCs/>
                <w:i w:val="0"/>
                <w:iCs w:val="0"/>
                <w:color w:val="auto"/>
                <w:sz w:val="21"/>
                <w:szCs w:val="21"/>
                <w:highlight w:val="none"/>
                <w:u w:val="none"/>
              </w:rPr>
            </w:pP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15B15">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城镇新增就业（人）</w:t>
            </w:r>
          </w:p>
        </w:tc>
        <w:tc>
          <w:tcPr>
            <w:tcW w:w="4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C64B08">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预期性</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4FE7B">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439</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BE12E4">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420</w:t>
            </w:r>
          </w:p>
        </w:tc>
        <w:tc>
          <w:tcPr>
            <w:tcW w:w="5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0B1DE">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5</w:t>
            </w:r>
          </w:p>
        </w:tc>
        <w:tc>
          <w:tcPr>
            <w:tcW w:w="6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3B08E">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420</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646DC">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w:t>
            </w:r>
          </w:p>
        </w:tc>
      </w:tr>
      <w:tr w14:paraId="054857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57" w:type="dxa"/>
            <w:bottom w:w="0" w:type="dxa"/>
            <w:right w:w="57" w:type="dxa"/>
          </w:tblCellMar>
        </w:tblPrEx>
        <w:trPr>
          <w:trHeight w:val="482" w:hRule="atLeast"/>
          <w:jc w:val="center"/>
        </w:trPr>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8EBB2">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21</w:t>
            </w:r>
          </w:p>
        </w:tc>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921840">
            <w:pPr>
              <w:keepNext/>
              <w:keepLines w:val="0"/>
              <w:pageBreakBefore w:val="0"/>
              <w:widowControl/>
              <w:kinsoku/>
              <w:wordWrap/>
              <w:overflowPunct/>
              <w:topLinePunct w:val="0"/>
              <w:autoSpaceDE/>
              <w:autoSpaceDN/>
              <w:bidi w:val="0"/>
              <w:adjustRightInd/>
              <w:snapToGrid w:val="0"/>
              <w:spacing w:line="560" w:lineRule="exact"/>
              <w:ind w:left="0" w:leftChars="0" w:right="0" w:rightChars="0" w:firstLine="0" w:firstLineChars="0"/>
              <w:jc w:val="center"/>
              <w:rPr>
                <w:rFonts w:hint="default" w:ascii="Times New Roman" w:hAnsi="Times New Roman" w:eastAsia="仿宋_GB2312" w:cs="Times New Roman"/>
                <w:b/>
                <w:bCs/>
                <w:i w:val="0"/>
                <w:iCs w:val="0"/>
                <w:color w:val="auto"/>
                <w:sz w:val="21"/>
                <w:szCs w:val="21"/>
                <w:highlight w:val="none"/>
                <w:u w:val="none"/>
              </w:rPr>
            </w:pP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A5D78">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基本养老保险参保率（%）</w:t>
            </w:r>
          </w:p>
        </w:tc>
        <w:tc>
          <w:tcPr>
            <w:tcW w:w="4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C277A0">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预期性</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1F927">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94.7</w:t>
            </w:r>
          </w:p>
        </w:tc>
        <w:tc>
          <w:tcPr>
            <w:tcW w:w="10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329266">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95</w:t>
            </w:r>
          </w:p>
        </w:tc>
        <w:tc>
          <w:tcPr>
            <w:tcW w:w="6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17DB9">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95</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9B07A">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w:t>
            </w:r>
          </w:p>
        </w:tc>
      </w:tr>
      <w:tr w14:paraId="57D97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57" w:type="dxa"/>
            <w:bottom w:w="0" w:type="dxa"/>
            <w:right w:w="57" w:type="dxa"/>
          </w:tblCellMar>
        </w:tblPrEx>
        <w:trPr>
          <w:trHeight w:val="482" w:hRule="atLeast"/>
          <w:jc w:val="center"/>
        </w:trPr>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36F94A">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22</w:t>
            </w:r>
          </w:p>
        </w:tc>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C6F69A">
            <w:pPr>
              <w:keepNext/>
              <w:keepLines w:val="0"/>
              <w:pageBreakBefore w:val="0"/>
              <w:widowControl/>
              <w:kinsoku/>
              <w:wordWrap/>
              <w:overflowPunct/>
              <w:topLinePunct w:val="0"/>
              <w:autoSpaceDE/>
              <w:autoSpaceDN/>
              <w:bidi w:val="0"/>
              <w:adjustRightInd/>
              <w:snapToGrid w:val="0"/>
              <w:spacing w:line="560" w:lineRule="exact"/>
              <w:ind w:left="0" w:leftChars="0" w:right="0" w:rightChars="0" w:firstLine="0" w:firstLineChars="0"/>
              <w:jc w:val="center"/>
              <w:rPr>
                <w:rFonts w:hint="default" w:ascii="Times New Roman" w:hAnsi="Times New Roman" w:eastAsia="仿宋_GB2312" w:cs="Times New Roman"/>
                <w:b/>
                <w:bCs/>
                <w:i w:val="0"/>
                <w:iCs w:val="0"/>
                <w:color w:val="auto"/>
                <w:sz w:val="21"/>
                <w:szCs w:val="21"/>
                <w:highlight w:val="none"/>
                <w:u w:val="none"/>
              </w:rPr>
            </w:pP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A42ED">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城镇调查失业率（%）</w:t>
            </w:r>
          </w:p>
        </w:tc>
        <w:tc>
          <w:tcPr>
            <w:tcW w:w="4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A7BFC">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预期性</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A1D643">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3.63</w:t>
            </w:r>
          </w:p>
        </w:tc>
        <w:tc>
          <w:tcPr>
            <w:tcW w:w="10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6C172C">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5.7</w:t>
            </w:r>
          </w:p>
        </w:tc>
        <w:tc>
          <w:tcPr>
            <w:tcW w:w="6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71840">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控制在州下达指标</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6DCC44">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w:t>
            </w:r>
          </w:p>
        </w:tc>
      </w:tr>
      <w:tr w14:paraId="7159C8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57" w:type="dxa"/>
            <w:bottom w:w="0" w:type="dxa"/>
            <w:right w:w="57" w:type="dxa"/>
          </w:tblCellMar>
        </w:tblPrEx>
        <w:trPr>
          <w:trHeight w:val="482" w:hRule="atLeast"/>
          <w:jc w:val="center"/>
        </w:trPr>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A77D2">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23</w:t>
            </w:r>
          </w:p>
        </w:tc>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2352EF">
            <w:pPr>
              <w:keepNext/>
              <w:keepLines w:val="0"/>
              <w:pageBreakBefore w:val="0"/>
              <w:widowControl/>
              <w:kinsoku/>
              <w:wordWrap/>
              <w:overflowPunct/>
              <w:topLinePunct w:val="0"/>
              <w:autoSpaceDE/>
              <w:autoSpaceDN/>
              <w:bidi w:val="0"/>
              <w:adjustRightInd/>
              <w:snapToGrid w:val="0"/>
              <w:spacing w:line="560" w:lineRule="exact"/>
              <w:ind w:left="0" w:leftChars="0" w:right="0" w:rightChars="0" w:firstLine="0" w:firstLineChars="0"/>
              <w:jc w:val="center"/>
              <w:rPr>
                <w:rFonts w:hint="default" w:ascii="Times New Roman" w:hAnsi="Times New Roman" w:eastAsia="仿宋_GB2312" w:cs="Times New Roman"/>
                <w:b/>
                <w:bCs/>
                <w:i w:val="0"/>
                <w:iCs w:val="0"/>
                <w:color w:val="auto"/>
                <w:sz w:val="21"/>
                <w:szCs w:val="21"/>
                <w:highlight w:val="none"/>
                <w:u w:val="none"/>
              </w:rPr>
            </w:pP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A0C71">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每千人口拥有执业（助理）医师数（人）</w:t>
            </w:r>
          </w:p>
        </w:tc>
        <w:tc>
          <w:tcPr>
            <w:tcW w:w="4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32992">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预期性</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89857">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3.51</w:t>
            </w:r>
          </w:p>
        </w:tc>
        <w:tc>
          <w:tcPr>
            <w:tcW w:w="10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04CAB7">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3.2</w:t>
            </w:r>
          </w:p>
        </w:tc>
        <w:tc>
          <w:tcPr>
            <w:tcW w:w="6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F6E6C">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3.68</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A8F18">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w:t>
            </w:r>
          </w:p>
        </w:tc>
      </w:tr>
      <w:tr w14:paraId="61FEE6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57" w:type="dxa"/>
            <w:bottom w:w="0" w:type="dxa"/>
            <w:right w:w="57" w:type="dxa"/>
          </w:tblCellMar>
        </w:tblPrEx>
        <w:trPr>
          <w:trHeight w:val="482" w:hRule="atLeast"/>
          <w:jc w:val="center"/>
        </w:trPr>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7016E">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24</w:t>
            </w:r>
          </w:p>
        </w:tc>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897FDF">
            <w:pPr>
              <w:keepNext/>
              <w:keepLines w:val="0"/>
              <w:pageBreakBefore w:val="0"/>
              <w:widowControl/>
              <w:kinsoku/>
              <w:wordWrap/>
              <w:overflowPunct/>
              <w:topLinePunct w:val="0"/>
              <w:autoSpaceDE/>
              <w:autoSpaceDN/>
              <w:bidi w:val="0"/>
              <w:adjustRightInd/>
              <w:snapToGrid w:val="0"/>
              <w:spacing w:line="560" w:lineRule="exact"/>
              <w:ind w:left="0" w:leftChars="0" w:right="0" w:rightChars="0" w:firstLine="0" w:firstLineChars="0"/>
              <w:jc w:val="center"/>
              <w:rPr>
                <w:rFonts w:hint="default" w:ascii="Times New Roman" w:hAnsi="Times New Roman" w:eastAsia="仿宋_GB2312" w:cs="Times New Roman"/>
                <w:b/>
                <w:bCs/>
                <w:i w:val="0"/>
                <w:iCs w:val="0"/>
                <w:color w:val="auto"/>
                <w:sz w:val="21"/>
                <w:szCs w:val="21"/>
                <w:highlight w:val="none"/>
                <w:u w:val="none"/>
              </w:rPr>
            </w:pP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A5783">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每千人口拥有3岁以下婴幼儿的托位数（个）</w:t>
            </w:r>
          </w:p>
        </w:tc>
        <w:tc>
          <w:tcPr>
            <w:tcW w:w="4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18F39">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预期性</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A5EEE">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w:t>
            </w:r>
          </w:p>
        </w:tc>
        <w:tc>
          <w:tcPr>
            <w:tcW w:w="10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2BFCBE">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1.5</w:t>
            </w:r>
          </w:p>
        </w:tc>
        <w:tc>
          <w:tcPr>
            <w:tcW w:w="6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BF83D">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7FC1B">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w:t>
            </w:r>
          </w:p>
        </w:tc>
      </w:tr>
      <w:tr w14:paraId="72B850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57" w:type="dxa"/>
            <w:bottom w:w="0" w:type="dxa"/>
            <w:right w:w="57" w:type="dxa"/>
          </w:tblCellMar>
        </w:tblPrEx>
        <w:trPr>
          <w:trHeight w:val="482" w:hRule="atLeast"/>
          <w:jc w:val="center"/>
        </w:trPr>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5C8F37">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25</w:t>
            </w:r>
          </w:p>
        </w:tc>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E275A3">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bCs/>
                <w:i w:val="0"/>
                <w:iCs w:val="0"/>
                <w:color w:val="auto"/>
                <w:sz w:val="21"/>
                <w:szCs w:val="21"/>
                <w:highlight w:val="none"/>
                <w:u w:val="none"/>
              </w:rPr>
            </w:pPr>
            <w:r>
              <w:rPr>
                <w:rFonts w:hint="default" w:ascii="Times New Roman" w:hAnsi="Times New Roman" w:eastAsia="仿宋_GB2312" w:cs="Times New Roman"/>
                <w:b/>
                <w:bCs/>
                <w:i w:val="0"/>
                <w:iCs w:val="0"/>
                <w:color w:val="auto"/>
                <w:kern w:val="0"/>
                <w:sz w:val="21"/>
                <w:szCs w:val="21"/>
                <w:highlight w:val="none"/>
                <w:u w:val="none"/>
                <w:lang w:val="en-US" w:eastAsia="zh-CN" w:bidi="ar"/>
              </w:rPr>
              <w:t>生态环境</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40901">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森林覆盖率（%）</w:t>
            </w:r>
          </w:p>
        </w:tc>
        <w:tc>
          <w:tcPr>
            <w:tcW w:w="4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382738">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约束性</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410D3">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43.82</w:t>
            </w:r>
          </w:p>
        </w:tc>
        <w:tc>
          <w:tcPr>
            <w:tcW w:w="10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D4BF5C">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43.92</w:t>
            </w:r>
          </w:p>
        </w:tc>
        <w:tc>
          <w:tcPr>
            <w:tcW w:w="6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C7BCF">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完成州下达目标任务</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1DA71">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w:t>
            </w:r>
          </w:p>
        </w:tc>
      </w:tr>
      <w:tr w14:paraId="435745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57" w:type="dxa"/>
            <w:bottom w:w="0" w:type="dxa"/>
            <w:right w:w="57" w:type="dxa"/>
          </w:tblCellMar>
        </w:tblPrEx>
        <w:trPr>
          <w:trHeight w:val="482" w:hRule="atLeast"/>
          <w:jc w:val="center"/>
        </w:trPr>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7DA80">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26</w:t>
            </w:r>
          </w:p>
        </w:tc>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2AF8B8">
            <w:pPr>
              <w:keepNext/>
              <w:keepLines w:val="0"/>
              <w:pageBreakBefore w:val="0"/>
              <w:widowControl/>
              <w:kinsoku/>
              <w:wordWrap/>
              <w:overflowPunct/>
              <w:topLinePunct w:val="0"/>
              <w:autoSpaceDE/>
              <w:autoSpaceDN/>
              <w:bidi w:val="0"/>
              <w:adjustRightInd/>
              <w:snapToGrid w:val="0"/>
              <w:spacing w:line="560" w:lineRule="exact"/>
              <w:ind w:left="0" w:leftChars="0" w:right="0" w:rightChars="0" w:firstLine="0" w:firstLineChars="0"/>
              <w:jc w:val="center"/>
              <w:rPr>
                <w:rFonts w:hint="default" w:ascii="Times New Roman" w:hAnsi="Times New Roman" w:eastAsia="仿宋_GB2312" w:cs="Times New Roman"/>
                <w:b/>
                <w:bCs/>
                <w:i w:val="0"/>
                <w:iCs w:val="0"/>
                <w:color w:val="auto"/>
                <w:sz w:val="21"/>
                <w:szCs w:val="21"/>
                <w:highlight w:val="none"/>
                <w:u w:val="none"/>
              </w:rPr>
            </w:pP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94EDF">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森林草原综合植被覆盖度（%）</w:t>
            </w:r>
          </w:p>
        </w:tc>
        <w:tc>
          <w:tcPr>
            <w:tcW w:w="4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2DD076">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约束性</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33B46">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87.3</w:t>
            </w:r>
          </w:p>
        </w:tc>
        <w:tc>
          <w:tcPr>
            <w:tcW w:w="10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0B2F52">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68.69</w:t>
            </w:r>
          </w:p>
        </w:tc>
        <w:tc>
          <w:tcPr>
            <w:tcW w:w="6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19797">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完成州下达目标任务</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6980A">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w:t>
            </w:r>
          </w:p>
        </w:tc>
      </w:tr>
      <w:tr w14:paraId="6AC2D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57" w:type="dxa"/>
            <w:bottom w:w="0" w:type="dxa"/>
            <w:right w:w="57" w:type="dxa"/>
          </w:tblCellMar>
        </w:tblPrEx>
        <w:trPr>
          <w:trHeight w:val="482" w:hRule="atLeast"/>
          <w:jc w:val="center"/>
        </w:trPr>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CA285">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27</w:t>
            </w:r>
          </w:p>
        </w:tc>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FF0F84">
            <w:pPr>
              <w:keepNext/>
              <w:keepLines w:val="0"/>
              <w:pageBreakBefore w:val="0"/>
              <w:widowControl/>
              <w:kinsoku/>
              <w:wordWrap/>
              <w:overflowPunct/>
              <w:topLinePunct w:val="0"/>
              <w:autoSpaceDE/>
              <w:autoSpaceDN/>
              <w:bidi w:val="0"/>
              <w:adjustRightInd/>
              <w:snapToGrid w:val="0"/>
              <w:spacing w:line="560" w:lineRule="exact"/>
              <w:ind w:left="0" w:leftChars="0" w:right="0" w:rightChars="0" w:firstLine="0" w:firstLineChars="0"/>
              <w:jc w:val="center"/>
              <w:rPr>
                <w:rFonts w:hint="default" w:ascii="Times New Roman" w:hAnsi="Times New Roman" w:eastAsia="仿宋_GB2312" w:cs="Times New Roman"/>
                <w:b/>
                <w:bCs/>
                <w:i w:val="0"/>
                <w:iCs w:val="0"/>
                <w:color w:val="auto"/>
                <w:sz w:val="21"/>
                <w:szCs w:val="21"/>
                <w:highlight w:val="none"/>
                <w:u w:val="none"/>
              </w:rPr>
            </w:pP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17C68">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森林蓄积量（万立方米）</w:t>
            </w:r>
          </w:p>
        </w:tc>
        <w:tc>
          <w:tcPr>
            <w:tcW w:w="4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CFF91">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约束性</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31ABD">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3758.13</w:t>
            </w:r>
          </w:p>
        </w:tc>
        <w:tc>
          <w:tcPr>
            <w:tcW w:w="10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20C0FB">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3788.53</w:t>
            </w:r>
          </w:p>
        </w:tc>
        <w:tc>
          <w:tcPr>
            <w:tcW w:w="6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82D1FF">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完成州下达目标任务</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D7B763">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w:t>
            </w:r>
          </w:p>
        </w:tc>
      </w:tr>
      <w:tr w14:paraId="63CC18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57" w:type="dxa"/>
            <w:bottom w:w="0" w:type="dxa"/>
            <w:right w:w="57" w:type="dxa"/>
          </w:tblCellMar>
        </w:tblPrEx>
        <w:trPr>
          <w:trHeight w:val="482" w:hRule="atLeast"/>
          <w:jc w:val="center"/>
        </w:trPr>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4D62F9">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28</w:t>
            </w:r>
          </w:p>
        </w:tc>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0EBBD4">
            <w:pPr>
              <w:keepNext/>
              <w:keepLines w:val="0"/>
              <w:pageBreakBefore w:val="0"/>
              <w:widowControl/>
              <w:kinsoku/>
              <w:wordWrap/>
              <w:overflowPunct/>
              <w:topLinePunct w:val="0"/>
              <w:autoSpaceDE/>
              <w:autoSpaceDN/>
              <w:bidi w:val="0"/>
              <w:adjustRightInd/>
              <w:snapToGrid w:val="0"/>
              <w:spacing w:line="560" w:lineRule="exact"/>
              <w:ind w:left="0" w:leftChars="0" w:right="0" w:rightChars="0" w:firstLine="0" w:firstLineChars="0"/>
              <w:jc w:val="center"/>
              <w:rPr>
                <w:rFonts w:hint="default" w:ascii="Times New Roman" w:hAnsi="Times New Roman" w:eastAsia="仿宋_GB2312" w:cs="Times New Roman"/>
                <w:b/>
                <w:bCs/>
                <w:i w:val="0"/>
                <w:iCs w:val="0"/>
                <w:color w:val="auto"/>
                <w:sz w:val="21"/>
                <w:szCs w:val="21"/>
                <w:highlight w:val="none"/>
                <w:u w:val="none"/>
              </w:rPr>
            </w:pP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AD082">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国土开发强度（%）</w:t>
            </w:r>
          </w:p>
        </w:tc>
        <w:tc>
          <w:tcPr>
            <w:tcW w:w="4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EE6F4">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预期性</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E9C8A">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0.44</w:t>
            </w:r>
          </w:p>
        </w:tc>
        <w:tc>
          <w:tcPr>
            <w:tcW w:w="10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47B0FA">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0.6</w:t>
            </w:r>
          </w:p>
        </w:tc>
        <w:tc>
          <w:tcPr>
            <w:tcW w:w="6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45B44">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8C1E0">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w:t>
            </w:r>
          </w:p>
        </w:tc>
      </w:tr>
      <w:tr w14:paraId="060BD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57" w:type="dxa"/>
            <w:bottom w:w="0" w:type="dxa"/>
            <w:right w:w="57" w:type="dxa"/>
          </w:tblCellMar>
        </w:tblPrEx>
        <w:trPr>
          <w:trHeight w:val="482" w:hRule="atLeast"/>
          <w:jc w:val="center"/>
        </w:trPr>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BC882">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29</w:t>
            </w:r>
          </w:p>
        </w:tc>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2CFA5E">
            <w:pPr>
              <w:keepNext/>
              <w:keepLines w:val="0"/>
              <w:pageBreakBefore w:val="0"/>
              <w:widowControl/>
              <w:kinsoku/>
              <w:wordWrap/>
              <w:overflowPunct/>
              <w:topLinePunct w:val="0"/>
              <w:autoSpaceDE/>
              <w:autoSpaceDN/>
              <w:bidi w:val="0"/>
              <w:adjustRightInd/>
              <w:snapToGrid w:val="0"/>
              <w:spacing w:line="560" w:lineRule="exact"/>
              <w:ind w:left="0" w:leftChars="0" w:right="0" w:rightChars="0" w:firstLine="0" w:firstLineChars="0"/>
              <w:jc w:val="center"/>
              <w:rPr>
                <w:rFonts w:hint="default" w:ascii="Times New Roman" w:hAnsi="Times New Roman" w:eastAsia="仿宋_GB2312" w:cs="Times New Roman"/>
                <w:b/>
                <w:bCs/>
                <w:i w:val="0"/>
                <w:iCs w:val="0"/>
                <w:color w:val="auto"/>
                <w:sz w:val="21"/>
                <w:szCs w:val="21"/>
                <w:highlight w:val="none"/>
                <w:u w:val="none"/>
              </w:rPr>
            </w:pP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55902">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耕地保有量（平方千米）</w:t>
            </w:r>
          </w:p>
        </w:tc>
        <w:tc>
          <w:tcPr>
            <w:tcW w:w="4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FDB02">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预期性</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2FB05">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15.68</w:t>
            </w:r>
          </w:p>
        </w:tc>
        <w:tc>
          <w:tcPr>
            <w:tcW w:w="10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BD2036">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≥15.68</w:t>
            </w:r>
          </w:p>
        </w:tc>
        <w:tc>
          <w:tcPr>
            <w:tcW w:w="6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2EF72">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完成州下达目标任务</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3BE2C3">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w:t>
            </w:r>
          </w:p>
        </w:tc>
      </w:tr>
      <w:tr w14:paraId="2BFFCB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57" w:type="dxa"/>
            <w:bottom w:w="0" w:type="dxa"/>
            <w:right w:w="57" w:type="dxa"/>
          </w:tblCellMar>
        </w:tblPrEx>
        <w:trPr>
          <w:trHeight w:val="482" w:hRule="atLeast"/>
          <w:jc w:val="center"/>
        </w:trPr>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2995C">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30</w:t>
            </w:r>
          </w:p>
        </w:tc>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72B794">
            <w:pPr>
              <w:keepNext/>
              <w:keepLines w:val="0"/>
              <w:pageBreakBefore w:val="0"/>
              <w:widowControl/>
              <w:kinsoku/>
              <w:wordWrap/>
              <w:overflowPunct/>
              <w:topLinePunct w:val="0"/>
              <w:autoSpaceDE/>
              <w:autoSpaceDN/>
              <w:bidi w:val="0"/>
              <w:adjustRightInd/>
              <w:snapToGrid w:val="0"/>
              <w:spacing w:line="560" w:lineRule="exact"/>
              <w:ind w:left="0" w:leftChars="0" w:right="0" w:rightChars="0" w:firstLine="0" w:firstLineChars="0"/>
              <w:jc w:val="center"/>
              <w:rPr>
                <w:rFonts w:hint="default" w:ascii="Times New Roman" w:hAnsi="Times New Roman" w:eastAsia="仿宋_GB2312" w:cs="Times New Roman"/>
                <w:b/>
                <w:bCs/>
                <w:i w:val="0"/>
                <w:iCs w:val="0"/>
                <w:color w:val="auto"/>
                <w:sz w:val="21"/>
                <w:szCs w:val="21"/>
                <w:highlight w:val="none"/>
                <w:u w:val="none"/>
              </w:rPr>
            </w:pP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39082">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基本农田保护面积（平方千米）</w:t>
            </w:r>
          </w:p>
        </w:tc>
        <w:tc>
          <w:tcPr>
            <w:tcW w:w="4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C9CA5">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预期性</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FE8463">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9.01</w:t>
            </w:r>
          </w:p>
        </w:tc>
        <w:tc>
          <w:tcPr>
            <w:tcW w:w="10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8965DB">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≥9.01</w:t>
            </w:r>
          </w:p>
        </w:tc>
        <w:tc>
          <w:tcPr>
            <w:tcW w:w="6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172A5">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完成州下达目标任务</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62201">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w:t>
            </w:r>
          </w:p>
        </w:tc>
      </w:tr>
      <w:tr w14:paraId="7B4257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57" w:type="dxa"/>
            <w:bottom w:w="0" w:type="dxa"/>
            <w:right w:w="57" w:type="dxa"/>
          </w:tblCellMar>
        </w:tblPrEx>
        <w:trPr>
          <w:trHeight w:val="482" w:hRule="atLeast"/>
          <w:jc w:val="center"/>
        </w:trPr>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DA8CE">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31</w:t>
            </w:r>
          </w:p>
        </w:tc>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278FC1">
            <w:pPr>
              <w:keepNext/>
              <w:keepLines w:val="0"/>
              <w:pageBreakBefore w:val="0"/>
              <w:widowControl/>
              <w:kinsoku/>
              <w:wordWrap/>
              <w:overflowPunct/>
              <w:topLinePunct w:val="0"/>
              <w:autoSpaceDE/>
              <w:autoSpaceDN/>
              <w:bidi w:val="0"/>
              <w:adjustRightInd/>
              <w:snapToGrid w:val="0"/>
              <w:spacing w:line="560" w:lineRule="exact"/>
              <w:ind w:left="0" w:leftChars="0" w:right="0" w:rightChars="0" w:firstLine="0" w:firstLineChars="0"/>
              <w:jc w:val="center"/>
              <w:rPr>
                <w:rFonts w:hint="default" w:ascii="Times New Roman" w:hAnsi="Times New Roman" w:eastAsia="仿宋_GB2312" w:cs="Times New Roman"/>
                <w:b/>
                <w:bCs/>
                <w:i w:val="0"/>
                <w:iCs w:val="0"/>
                <w:color w:val="auto"/>
                <w:sz w:val="21"/>
                <w:szCs w:val="21"/>
                <w:highlight w:val="none"/>
                <w:u w:val="none"/>
              </w:rPr>
            </w:pP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D12D8">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基本草原面积（万亩）</w:t>
            </w:r>
          </w:p>
        </w:tc>
        <w:tc>
          <w:tcPr>
            <w:tcW w:w="4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DC7A45">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预期性</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8E5B3">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130.3</w:t>
            </w:r>
          </w:p>
        </w:tc>
        <w:tc>
          <w:tcPr>
            <w:tcW w:w="10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8B6CB8">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130.3</w:t>
            </w:r>
          </w:p>
        </w:tc>
        <w:tc>
          <w:tcPr>
            <w:tcW w:w="6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8CB8C">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完成州下达目标任务</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D5C28">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w:t>
            </w:r>
          </w:p>
        </w:tc>
      </w:tr>
      <w:tr w14:paraId="113957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57" w:type="dxa"/>
            <w:bottom w:w="0" w:type="dxa"/>
            <w:right w:w="57" w:type="dxa"/>
          </w:tblCellMar>
        </w:tblPrEx>
        <w:trPr>
          <w:trHeight w:val="482" w:hRule="atLeast"/>
          <w:jc w:val="center"/>
        </w:trPr>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3EF3A">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32</w:t>
            </w:r>
          </w:p>
        </w:tc>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2673DC">
            <w:pPr>
              <w:keepNext/>
              <w:keepLines w:val="0"/>
              <w:pageBreakBefore w:val="0"/>
              <w:widowControl/>
              <w:kinsoku/>
              <w:wordWrap/>
              <w:overflowPunct/>
              <w:topLinePunct w:val="0"/>
              <w:autoSpaceDE/>
              <w:autoSpaceDN/>
              <w:bidi w:val="0"/>
              <w:adjustRightInd/>
              <w:snapToGrid w:val="0"/>
              <w:spacing w:line="560" w:lineRule="exact"/>
              <w:ind w:left="0" w:leftChars="0" w:right="0" w:rightChars="0" w:firstLine="0" w:firstLineChars="0"/>
              <w:jc w:val="center"/>
              <w:rPr>
                <w:rFonts w:hint="default" w:ascii="Times New Roman" w:hAnsi="Times New Roman" w:eastAsia="仿宋_GB2312" w:cs="Times New Roman"/>
                <w:b/>
                <w:bCs/>
                <w:i w:val="0"/>
                <w:iCs w:val="0"/>
                <w:color w:val="auto"/>
                <w:sz w:val="21"/>
                <w:szCs w:val="21"/>
                <w:highlight w:val="none"/>
                <w:u w:val="none"/>
              </w:rPr>
            </w:pP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A53E1">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生态红线面积（平方千米）</w:t>
            </w:r>
          </w:p>
        </w:tc>
        <w:tc>
          <w:tcPr>
            <w:tcW w:w="4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CE3798">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预期性</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16E35">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2084</w:t>
            </w:r>
          </w:p>
        </w:tc>
        <w:tc>
          <w:tcPr>
            <w:tcW w:w="10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8F2CD8">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≥2084</w:t>
            </w:r>
          </w:p>
        </w:tc>
        <w:tc>
          <w:tcPr>
            <w:tcW w:w="6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C36A2">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完成州下达目标任务</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3B2DB">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w:t>
            </w:r>
          </w:p>
        </w:tc>
      </w:tr>
      <w:tr w14:paraId="7C0E59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57" w:type="dxa"/>
            <w:bottom w:w="0" w:type="dxa"/>
            <w:right w:w="57" w:type="dxa"/>
          </w:tblCellMar>
        </w:tblPrEx>
        <w:trPr>
          <w:trHeight w:val="482" w:hRule="atLeast"/>
          <w:jc w:val="center"/>
        </w:trPr>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6E6F7">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33</w:t>
            </w:r>
          </w:p>
        </w:tc>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D4B1A0">
            <w:pPr>
              <w:keepNext/>
              <w:keepLines w:val="0"/>
              <w:pageBreakBefore w:val="0"/>
              <w:widowControl/>
              <w:kinsoku/>
              <w:wordWrap/>
              <w:overflowPunct/>
              <w:topLinePunct w:val="0"/>
              <w:autoSpaceDE/>
              <w:autoSpaceDN/>
              <w:bidi w:val="0"/>
              <w:adjustRightInd/>
              <w:snapToGrid w:val="0"/>
              <w:spacing w:line="560" w:lineRule="exact"/>
              <w:ind w:left="0" w:leftChars="0" w:right="0" w:rightChars="0" w:firstLine="0" w:firstLineChars="0"/>
              <w:jc w:val="center"/>
              <w:rPr>
                <w:rFonts w:hint="default" w:ascii="Times New Roman" w:hAnsi="Times New Roman" w:eastAsia="仿宋_GB2312" w:cs="Times New Roman"/>
                <w:b/>
                <w:bCs/>
                <w:i w:val="0"/>
                <w:iCs w:val="0"/>
                <w:color w:val="auto"/>
                <w:sz w:val="21"/>
                <w:szCs w:val="21"/>
                <w:highlight w:val="none"/>
                <w:u w:val="none"/>
              </w:rPr>
            </w:pP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21C24">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治理水土流失面积（平方公里）</w:t>
            </w:r>
          </w:p>
        </w:tc>
        <w:tc>
          <w:tcPr>
            <w:tcW w:w="4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53121C">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预期性</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0F04B">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42.877</w:t>
            </w:r>
          </w:p>
        </w:tc>
        <w:tc>
          <w:tcPr>
            <w:tcW w:w="10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148BA4">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85</w:t>
            </w:r>
          </w:p>
        </w:tc>
        <w:tc>
          <w:tcPr>
            <w:tcW w:w="6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C608D2">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C3CB2">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w:t>
            </w:r>
          </w:p>
        </w:tc>
      </w:tr>
      <w:tr w14:paraId="2782FC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57" w:type="dxa"/>
            <w:bottom w:w="0" w:type="dxa"/>
            <w:right w:w="57" w:type="dxa"/>
          </w:tblCellMar>
        </w:tblPrEx>
        <w:trPr>
          <w:trHeight w:val="482" w:hRule="atLeast"/>
          <w:jc w:val="center"/>
        </w:trPr>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F8472">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34</w:t>
            </w:r>
          </w:p>
        </w:tc>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3D231E">
            <w:pPr>
              <w:keepNext/>
              <w:keepLines w:val="0"/>
              <w:pageBreakBefore w:val="0"/>
              <w:widowControl/>
              <w:kinsoku/>
              <w:wordWrap/>
              <w:overflowPunct/>
              <w:topLinePunct w:val="0"/>
              <w:autoSpaceDE/>
              <w:autoSpaceDN/>
              <w:bidi w:val="0"/>
              <w:adjustRightInd/>
              <w:snapToGrid w:val="0"/>
              <w:spacing w:line="560" w:lineRule="exact"/>
              <w:ind w:left="0" w:leftChars="0" w:right="0" w:rightChars="0" w:firstLine="0" w:firstLineChars="0"/>
              <w:jc w:val="center"/>
              <w:rPr>
                <w:rFonts w:hint="default" w:ascii="Times New Roman" w:hAnsi="Times New Roman" w:eastAsia="仿宋_GB2312" w:cs="Times New Roman"/>
                <w:b/>
                <w:bCs/>
                <w:i w:val="0"/>
                <w:iCs w:val="0"/>
                <w:color w:val="auto"/>
                <w:sz w:val="21"/>
                <w:szCs w:val="21"/>
                <w:highlight w:val="none"/>
                <w:u w:val="none"/>
              </w:rPr>
            </w:pP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BA0169">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单位GDP能源消耗降低（%）</w:t>
            </w:r>
          </w:p>
        </w:tc>
        <w:tc>
          <w:tcPr>
            <w:tcW w:w="4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075CFF">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约束性</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58B36">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-0.3</w:t>
            </w:r>
          </w:p>
        </w:tc>
        <w:tc>
          <w:tcPr>
            <w:tcW w:w="10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E0C08B">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15.5</w:t>
            </w:r>
          </w:p>
        </w:tc>
        <w:tc>
          <w:tcPr>
            <w:tcW w:w="6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82C6A">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达标</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9E7F03">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w:t>
            </w:r>
          </w:p>
        </w:tc>
      </w:tr>
      <w:tr w14:paraId="631C19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57" w:type="dxa"/>
            <w:bottom w:w="0" w:type="dxa"/>
            <w:right w:w="57" w:type="dxa"/>
          </w:tblCellMar>
        </w:tblPrEx>
        <w:trPr>
          <w:trHeight w:val="482" w:hRule="atLeast"/>
          <w:jc w:val="center"/>
        </w:trPr>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664AC">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35</w:t>
            </w:r>
          </w:p>
        </w:tc>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D1B563">
            <w:pPr>
              <w:keepNext/>
              <w:keepLines w:val="0"/>
              <w:pageBreakBefore w:val="0"/>
              <w:widowControl/>
              <w:kinsoku/>
              <w:wordWrap/>
              <w:overflowPunct/>
              <w:topLinePunct w:val="0"/>
              <w:autoSpaceDE/>
              <w:autoSpaceDN/>
              <w:bidi w:val="0"/>
              <w:adjustRightInd/>
              <w:snapToGrid w:val="0"/>
              <w:spacing w:line="560" w:lineRule="exact"/>
              <w:ind w:left="0" w:leftChars="0" w:right="0" w:rightChars="0" w:firstLine="0" w:firstLineChars="0"/>
              <w:jc w:val="center"/>
              <w:rPr>
                <w:rFonts w:hint="default" w:ascii="Times New Roman" w:hAnsi="Times New Roman" w:eastAsia="仿宋_GB2312" w:cs="Times New Roman"/>
                <w:b/>
                <w:bCs/>
                <w:i w:val="0"/>
                <w:iCs w:val="0"/>
                <w:color w:val="auto"/>
                <w:sz w:val="21"/>
                <w:szCs w:val="21"/>
                <w:highlight w:val="none"/>
                <w:u w:val="none"/>
              </w:rPr>
            </w:pP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6DE1D">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单位GDP二氧化碳排放降低（%）</w:t>
            </w:r>
          </w:p>
        </w:tc>
        <w:tc>
          <w:tcPr>
            <w:tcW w:w="4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D4C037">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约束性</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8D2484">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达标</w:t>
            </w:r>
          </w:p>
        </w:tc>
        <w:tc>
          <w:tcPr>
            <w:tcW w:w="10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06ED63">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达标</w:t>
            </w:r>
          </w:p>
        </w:tc>
        <w:tc>
          <w:tcPr>
            <w:tcW w:w="6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F30293">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达标</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E3257">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w:t>
            </w:r>
          </w:p>
        </w:tc>
      </w:tr>
      <w:tr w14:paraId="44C0D0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57" w:type="dxa"/>
            <w:bottom w:w="0" w:type="dxa"/>
            <w:right w:w="57" w:type="dxa"/>
          </w:tblCellMar>
        </w:tblPrEx>
        <w:trPr>
          <w:trHeight w:val="482" w:hRule="atLeast"/>
          <w:jc w:val="center"/>
        </w:trPr>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C52086">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36</w:t>
            </w:r>
          </w:p>
        </w:tc>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721EAB">
            <w:pPr>
              <w:keepNext/>
              <w:keepLines w:val="0"/>
              <w:pageBreakBefore w:val="0"/>
              <w:widowControl/>
              <w:kinsoku/>
              <w:wordWrap/>
              <w:overflowPunct/>
              <w:topLinePunct w:val="0"/>
              <w:autoSpaceDE/>
              <w:autoSpaceDN/>
              <w:bidi w:val="0"/>
              <w:adjustRightInd/>
              <w:snapToGrid w:val="0"/>
              <w:spacing w:line="560" w:lineRule="exact"/>
              <w:ind w:left="0" w:leftChars="0" w:right="0" w:rightChars="0" w:firstLine="0" w:firstLineChars="0"/>
              <w:jc w:val="center"/>
              <w:rPr>
                <w:rFonts w:hint="default" w:ascii="Times New Roman" w:hAnsi="Times New Roman" w:eastAsia="仿宋_GB2312" w:cs="Times New Roman"/>
                <w:b/>
                <w:bCs/>
                <w:i w:val="0"/>
                <w:iCs w:val="0"/>
                <w:color w:val="auto"/>
                <w:sz w:val="21"/>
                <w:szCs w:val="21"/>
                <w:highlight w:val="none"/>
                <w:u w:val="none"/>
              </w:rPr>
            </w:pP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10779C">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环境空气质量达标率（%）</w:t>
            </w:r>
          </w:p>
        </w:tc>
        <w:tc>
          <w:tcPr>
            <w:tcW w:w="4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7730A">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预期性</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6AD38">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p>
        </w:tc>
        <w:tc>
          <w:tcPr>
            <w:tcW w:w="10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CC3CBE">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≥95</w:t>
            </w:r>
          </w:p>
        </w:tc>
        <w:tc>
          <w:tcPr>
            <w:tcW w:w="6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94DDD">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87AEF">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w:t>
            </w:r>
          </w:p>
        </w:tc>
      </w:tr>
      <w:tr w14:paraId="13181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57" w:type="dxa"/>
            <w:bottom w:w="0" w:type="dxa"/>
            <w:right w:w="57" w:type="dxa"/>
          </w:tblCellMar>
        </w:tblPrEx>
        <w:trPr>
          <w:trHeight w:val="482" w:hRule="atLeast"/>
          <w:jc w:val="center"/>
        </w:trPr>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0765A">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37</w:t>
            </w:r>
          </w:p>
        </w:tc>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C4AC3A">
            <w:pPr>
              <w:keepNext/>
              <w:keepLines w:val="0"/>
              <w:pageBreakBefore w:val="0"/>
              <w:widowControl/>
              <w:kinsoku/>
              <w:wordWrap/>
              <w:overflowPunct/>
              <w:topLinePunct w:val="0"/>
              <w:autoSpaceDE/>
              <w:autoSpaceDN/>
              <w:bidi w:val="0"/>
              <w:adjustRightInd/>
              <w:snapToGrid w:val="0"/>
              <w:spacing w:line="560" w:lineRule="exact"/>
              <w:ind w:left="0" w:leftChars="0" w:right="0" w:rightChars="0" w:firstLine="0" w:firstLineChars="0"/>
              <w:jc w:val="center"/>
              <w:rPr>
                <w:rFonts w:hint="default" w:ascii="Times New Roman" w:hAnsi="Times New Roman" w:eastAsia="仿宋_GB2312" w:cs="Times New Roman"/>
                <w:b/>
                <w:bCs/>
                <w:i w:val="0"/>
                <w:iCs w:val="0"/>
                <w:color w:val="auto"/>
                <w:sz w:val="21"/>
                <w:szCs w:val="21"/>
                <w:highlight w:val="none"/>
                <w:u w:val="none"/>
              </w:rPr>
            </w:pP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6D63C">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集中式饮用水源水质达标率（%）</w:t>
            </w:r>
          </w:p>
        </w:tc>
        <w:tc>
          <w:tcPr>
            <w:tcW w:w="4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1856F">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预期性</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84100D">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p>
        </w:tc>
        <w:tc>
          <w:tcPr>
            <w:tcW w:w="10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402C25">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p>
        </w:tc>
        <w:tc>
          <w:tcPr>
            <w:tcW w:w="6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EB6537">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7CA2FC">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w:t>
            </w:r>
          </w:p>
        </w:tc>
      </w:tr>
      <w:tr w14:paraId="4B1964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57" w:type="dxa"/>
            <w:bottom w:w="0" w:type="dxa"/>
            <w:right w:w="57" w:type="dxa"/>
          </w:tblCellMar>
        </w:tblPrEx>
        <w:trPr>
          <w:trHeight w:val="482" w:hRule="atLeast"/>
          <w:jc w:val="center"/>
        </w:trPr>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4B9C2E">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38</w:t>
            </w:r>
          </w:p>
        </w:tc>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6A5D11">
            <w:pPr>
              <w:keepNext/>
              <w:keepLines w:val="0"/>
              <w:pageBreakBefore w:val="0"/>
              <w:widowControl/>
              <w:kinsoku/>
              <w:wordWrap/>
              <w:overflowPunct/>
              <w:topLinePunct w:val="0"/>
              <w:autoSpaceDE/>
              <w:autoSpaceDN/>
              <w:bidi w:val="0"/>
              <w:adjustRightInd/>
              <w:snapToGrid w:val="0"/>
              <w:spacing w:line="560" w:lineRule="exact"/>
              <w:ind w:left="0" w:leftChars="0" w:right="0" w:rightChars="0" w:firstLine="0" w:firstLineChars="0"/>
              <w:jc w:val="center"/>
              <w:rPr>
                <w:rFonts w:hint="default" w:ascii="Times New Roman" w:hAnsi="Times New Roman" w:eastAsia="仿宋_GB2312" w:cs="Times New Roman"/>
                <w:b/>
                <w:bCs/>
                <w:i w:val="0"/>
                <w:iCs w:val="0"/>
                <w:color w:val="auto"/>
                <w:sz w:val="21"/>
                <w:szCs w:val="21"/>
                <w:highlight w:val="none"/>
                <w:u w:val="none"/>
              </w:rPr>
            </w:pP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279087">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县城及以上城市空气优良天数比率（%）</w:t>
            </w:r>
          </w:p>
        </w:tc>
        <w:tc>
          <w:tcPr>
            <w:tcW w:w="4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9F045">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约束性</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702FB">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p>
        </w:tc>
        <w:tc>
          <w:tcPr>
            <w:tcW w:w="10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F33F9C">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≥95</w:t>
            </w:r>
          </w:p>
        </w:tc>
        <w:tc>
          <w:tcPr>
            <w:tcW w:w="6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9244A">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B1EF8">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w:t>
            </w:r>
          </w:p>
        </w:tc>
      </w:tr>
      <w:tr w14:paraId="21056A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57" w:type="dxa"/>
            <w:bottom w:w="0" w:type="dxa"/>
            <w:right w:w="57" w:type="dxa"/>
          </w:tblCellMar>
        </w:tblPrEx>
        <w:trPr>
          <w:trHeight w:val="482" w:hRule="atLeast"/>
          <w:jc w:val="center"/>
        </w:trPr>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471CF">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39</w:t>
            </w:r>
          </w:p>
        </w:tc>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608712">
            <w:pPr>
              <w:keepNext/>
              <w:keepLines w:val="0"/>
              <w:pageBreakBefore w:val="0"/>
              <w:widowControl/>
              <w:kinsoku/>
              <w:wordWrap/>
              <w:overflowPunct/>
              <w:topLinePunct w:val="0"/>
              <w:autoSpaceDE/>
              <w:autoSpaceDN/>
              <w:bidi w:val="0"/>
              <w:adjustRightInd/>
              <w:snapToGrid w:val="0"/>
              <w:spacing w:line="560" w:lineRule="exact"/>
              <w:ind w:left="0" w:leftChars="0" w:right="0" w:rightChars="0" w:firstLine="0" w:firstLineChars="0"/>
              <w:jc w:val="center"/>
              <w:rPr>
                <w:rFonts w:hint="default" w:ascii="Times New Roman" w:hAnsi="Times New Roman" w:eastAsia="仿宋_GB2312" w:cs="Times New Roman"/>
                <w:b/>
                <w:bCs/>
                <w:i w:val="0"/>
                <w:iCs w:val="0"/>
                <w:color w:val="auto"/>
                <w:sz w:val="21"/>
                <w:szCs w:val="21"/>
                <w:highlight w:val="none"/>
                <w:u w:val="none"/>
              </w:rPr>
            </w:pP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414E49">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地表水质量达到或好于Ш类水体比例</w:t>
            </w:r>
          </w:p>
        </w:tc>
        <w:tc>
          <w:tcPr>
            <w:tcW w:w="4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C77F2">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约束性</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18522">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达标</w:t>
            </w:r>
          </w:p>
        </w:tc>
        <w:tc>
          <w:tcPr>
            <w:tcW w:w="10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4CA405">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达标</w:t>
            </w:r>
          </w:p>
        </w:tc>
        <w:tc>
          <w:tcPr>
            <w:tcW w:w="6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6452B">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达标</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FCFB6E">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w:t>
            </w:r>
          </w:p>
        </w:tc>
      </w:tr>
      <w:tr w14:paraId="0FDEA5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57" w:type="dxa"/>
            <w:bottom w:w="0" w:type="dxa"/>
            <w:right w:w="57" w:type="dxa"/>
          </w:tblCellMar>
        </w:tblPrEx>
        <w:trPr>
          <w:trHeight w:val="482" w:hRule="atLeast"/>
          <w:jc w:val="center"/>
        </w:trPr>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C41B9">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40</w:t>
            </w:r>
          </w:p>
        </w:tc>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3AE125">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bCs/>
                <w:i w:val="0"/>
                <w:iCs w:val="0"/>
                <w:color w:val="auto"/>
                <w:sz w:val="21"/>
                <w:szCs w:val="21"/>
                <w:highlight w:val="none"/>
                <w:u w:val="none"/>
              </w:rPr>
            </w:pPr>
            <w:r>
              <w:rPr>
                <w:rFonts w:hint="default" w:ascii="Times New Roman" w:hAnsi="Times New Roman" w:eastAsia="仿宋_GB2312" w:cs="Times New Roman"/>
                <w:b/>
                <w:bCs/>
                <w:i w:val="0"/>
                <w:iCs w:val="0"/>
                <w:color w:val="auto"/>
                <w:kern w:val="0"/>
                <w:sz w:val="21"/>
                <w:szCs w:val="21"/>
                <w:highlight w:val="none"/>
                <w:u w:val="none"/>
                <w:lang w:val="en-US" w:eastAsia="zh-CN" w:bidi="ar"/>
              </w:rPr>
              <w:t>安全保障</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0B572C">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粮食综合生产能力（吨）</w:t>
            </w:r>
          </w:p>
        </w:tc>
        <w:tc>
          <w:tcPr>
            <w:tcW w:w="4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1DB8C">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约束性</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3FF21">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7189</w:t>
            </w:r>
          </w:p>
        </w:tc>
        <w:tc>
          <w:tcPr>
            <w:tcW w:w="10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9DBDEE">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7200</w:t>
            </w:r>
          </w:p>
        </w:tc>
        <w:tc>
          <w:tcPr>
            <w:tcW w:w="6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20FA60">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7420</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10ABD">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w:t>
            </w:r>
          </w:p>
        </w:tc>
      </w:tr>
      <w:tr w14:paraId="537653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57" w:type="dxa"/>
            <w:bottom w:w="0" w:type="dxa"/>
            <w:right w:w="57" w:type="dxa"/>
          </w:tblCellMar>
        </w:tblPrEx>
        <w:trPr>
          <w:trHeight w:val="482" w:hRule="atLeast"/>
          <w:jc w:val="center"/>
        </w:trPr>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03F942">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41</w:t>
            </w:r>
          </w:p>
        </w:tc>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C05CAD">
            <w:pPr>
              <w:keepNext/>
              <w:keepLines w:val="0"/>
              <w:pageBreakBefore w:val="0"/>
              <w:widowControl/>
              <w:kinsoku/>
              <w:wordWrap/>
              <w:overflowPunct/>
              <w:topLinePunct w:val="0"/>
              <w:autoSpaceDE/>
              <w:autoSpaceDN/>
              <w:bidi w:val="0"/>
              <w:adjustRightInd/>
              <w:snapToGrid w:val="0"/>
              <w:spacing w:line="560" w:lineRule="exact"/>
              <w:ind w:left="0" w:leftChars="0" w:right="0" w:rightChars="0" w:firstLine="0" w:firstLineChars="0"/>
              <w:jc w:val="center"/>
              <w:rPr>
                <w:rFonts w:hint="default" w:ascii="Times New Roman" w:hAnsi="Times New Roman" w:eastAsia="仿宋_GB2312" w:cs="Times New Roman"/>
                <w:b/>
                <w:bCs/>
                <w:i w:val="0"/>
                <w:iCs w:val="0"/>
                <w:color w:val="auto"/>
                <w:sz w:val="21"/>
                <w:szCs w:val="21"/>
                <w:highlight w:val="none"/>
                <w:u w:val="none"/>
              </w:rPr>
            </w:pP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66D5A">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能源综合生产能力（万吨标准煤）</w:t>
            </w:r>
          </w:p>
        </w:tc>
        <w:tc>
          <w:tcPr>
            <w:tcW w:w="4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D7DDE">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约束性</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BD8626">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w:t>
            </w:r>
          </w:p>
        </w:tc>
        <w:tc>
          <w:tcPr>
            <w:tcW w:w="10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FDF050">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60</w:t>
            </w:r>
          </w:p>
        </w:tc>
        <w:tc>
          <w:tcPr>
            <w:tcW w:w="6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EEFD8C">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61.83</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D7992">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w:t>
            </w:r>
          </w:p>
        </w:tc>
      </w:tr>
      <w:tr w14:paraId="4E0ECF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57" w:type="dxa"/>
            <w:bottom w:w="0" w:type="dxa"/>
            <w:right w:w="57" w:type="dxa"/>
          </w:tblCellMar>
        </w:tblPrEx>
        <w:trPr>
          <w:trHeight w:val="482" w:hRule="atLeast"/>
          <w:jc w:val="center"/>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D50AF23">
            <w:pPr>
              <w:keepNext/>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备注：“*”表示暂未获取相关统计数据</w:t>
            </w:r>
            <w:r>
              <w:rPr>
                <w:rFonts w:hint="eastAsia" w:cs="Times New Roman"/>
                <w:i w:val="0"/>
                <w:iCs w:val="0"/>
                <w:color w:val="auto"/>
                <w:kern w:val="0"/>
                <w:sz w:val="21"/>
                <w:szCs w:val="21"/>
                <w:highlight w:val="none"/>
                <w:u w:val="none"/>
                <w:lang w:val="en-US" w:eastAsia="zh-CN" w:bidi="ar"/>
              </w:rPr>
              <w:t>，GDP增速按现价计算</w:t>
            </w:r>
            <w:r>
              <w:rPr>
                <w:rFonts w:hint="default" w:ascii="Times New Roman" w:hAnsi="Times New Roman" w:eastAsia="仿宋_GB2312" w:cs="Times New Roman"/>
                <w:i w:val="0"/>
                <w:iCs w:val="0"/>
                <w:color w:val="auto"/>
                <w:kern w:val="0"/>
                <w:sz w:val="21"/>
                <w:szCs w:val="21"/>
                <w:highlight w:val="none"/>
                <w:u w:val="none"/>
                <w:lang w:val="en-US" w:eastAsia="zh-CN" w:bidi="ar"/>
              </w:rPr>
              <w:t>。</w:t>
            </w:r>
          </w:p>
        </w:tc>
      </w:tr>
      <w:bookmarkEnd w:id="12"/>
      <w:bookmarkEnd w:id="13"/>
      <w:bookmarkEnd w:id="14"/>
      <w:bookmarkEnd w:id="15"/>
      <w:bookmarkEnd w:id="16"/>
      <w:bookmarkEnd w:id="17"/>
      <w:bookmarkEnd w:id="18"/>
    </w:tbl>
    <w:p w14:paraId="0E891F7C">
      <w:pPr>
        <w:keepNext/>
        <w:widowControl w:val="0"/>
        <w:numPr>
          <w:ilvl w:val="0"/>
          <w:numId w:val="2"/>
        </w:numPr>
        <w:bidi w:val="0"/>
        <w:snapToGrid w:val="0"/>
        <w:spacing w:before="100" w:beforeLines="100" w:after="100" w:afterLines="100" w:line="560" w:lineRule="exact"/>
        <w:ind w:left="0" w:leftChars="0"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19" w:name="_Toc23275"/>
      <w:bookmarkStart w:id="20" w:name="_Toc15406"/>
      <w:bookmarkStart w:id="21" w:name="_Toc4034"/>
      <w:bookmarkStart w:id="22" w:name="_Toc12408"/>
      <w:r>
        <w:rPr>
          <w:rFonts w:hint="default" w:ascii="Times New Roman" w:hAnsi="Times New Roman" w:eastAsia="楷体_GB2312" w:cs="Times New Roman"/>
          <w:b/>
          <w:bCs w:val="0"/>
          <w:color w:val="auto"/>
          <w:kern w:val="2"/>
          <w:sz w:val="32"/>
          <w:szCs w:val="32"/>
          <w:highlight w:val="none"/>
          <w:lang w:val="en-US" w:eastAsia="zh-CN" w:bidi="ar-SA"/>
        </w:rPr>
        <w:t>发展环境</w:t>
      </w:r>
      <w:bookmarkEnd w:id="19"/>
      <w:bookmarkEnd w:id="20"/>
      <w:bookmarkEnd w:id="21"/>
      <w:bookmarkEnd w:id="22"/>
    </w:p>
    <w:p w14:paraId="2359E4B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面临新机遇</w:t>
      </w:r>
      <w:r>
        <w:rPr>
          <w:rFonts w:hint="default" w:ascii="Times New Roman" w:hAnsi="Times New Roman" w:eastAsia="仿宋_GB2312" w:cs="Times New Roman"/>
          <w:b w:val="0"/>
          <w:bCs w:val="0"/>
          <w:color w:val="auto"/>
          <w:sz w:val="32"/>
          <w:szCs w:val="32"/>
          <w:highlight w:val="none"/>
          <w:lang w:val="en-US" w:eastAsia="zh-CN"/>
        </w:rPr>
        <w:t>。“十五五”时期，理县处于多重国家级战略交汇叠加的黄金窗口期。一方面，当前国内大循环为主体的新发展格局纵深推进，康养、文旅需求不断升级，西部地区依托特色资源禀赋承接东部消费市场，融入全国价值链。理县地处成渝2小时经济圈范围与川西北门户枢纽，既能承接康养文旅需求，又可输出特色农牧产品，依托“资源</w:t>
      </w:r>
      <w:r>
        <w:rPr>
          <w:rFonts w:hint="eastAsia" w:ascii="仿宋_GB2312" w:hAnsi="仿宋_GB2312" w:eastAsia="仿宋_GB2312" w:cs="仿宋_GB2312"/>
          <w:b w:val="0"/>
          <w:bCs w:val="0"/>
          <w:color w:val="auto"/>
          <w:sz w:val="32"/>
          <w:szCs w:val="32"/>
          <w:highlight w:val="none"/>
          <w:lang w:val="en-US" w:eastAsia="zh-CN"/>
        </w:rPr>
        <w:t>—</w:t>
      </w:r>
      <w:r>
        <w:rPr>
          <w:rFonts w:hint="default" w:ascii="Times New Roman" w:hAnsi="Times New Roman" w:eastAsia="仿宋_GB2312" w:cs="Times New Roman"/>
          <w:b w:val="0"/>
          <w:bCs w:val="0"/>
          <w:color w:val="auto"/>
          <w:sz w:val="32"/>
          <w:szCs w:val="32"/>
          <w:highlight w:val="none"/>
          <w:lang w:val="en-US" w:eastAsia="zh-CN"/>
        </w:rPr>
        <w:t>产品</w:t>
      </w:r>
      <w:r>
        <w:rPr>
          <w:rFonts w:hint="eastAsia" w:ascii="仿宋_GB2312" w:hAnsi="仿宋_GB2312" w:eastAsia="仿宋_GB2312" w:cs="仿宋_GB2312"/>
          <w:b w:val="0"/>
          <w:bCs w:val="0"/>
          <w:color w:val="auto"/>
          <w:sz w:val="32"/>
          <w:szCs w:val="32"/>
          <w:highlight w:val="none"/>
          <w:lang w:val="en-US" w:eastAsia="zh-CN"/>
        </w:rPr>
        <w:t>—</w:t>
      </w:r>
      <w:r>
        <w:rPr>
          <w:rFonts w:hint="default" w:ascii="Times New Roman" w:hAnsi="Times New Roman" w:eastAsia="仿宋_GB2312" w:cs="Times New Roman"/>
          <w:b w:val="0"/>
          <w:bCs w:val="0"/>
          <w:color w:val="auto"/>
          <w:sz w:val="32"/>
          <w:szCs w:val="32"/>
          <w:highlight w:val="none"/>
          <w:lang w:val="en-US" w:eastAsia="zh-CN"/>
        </w:rPr>
        <w:t>市场”全链通道，将本地优势与全国内需精准对接，为高质量发展注入新动能。另一方面，国家持续加大对民族地区的差别化扶持，基础设施补短板、特色产业升级、乡村振兴项目密集落地，理县可借助东西部协作机制，建设飞地园区和文旅融合示范区，提升自我造血能力。更为重要的是，成渝地区双城经济圈建设步入深度推进新阶段，产业、创新、生态、民生“四位一体”协同加速，理县凭借</w:t>
      </w:r>
      <w:r>
        <w:rPr>
          <w:rFonts w:hint="eastAsia" w:cs="Times New Roman"/>
          <w:b w:val="0"/>
          <w:bCs w:val="0"/>
          <w:color w:val="auto"/>
          <w:sz w:val="32"/>
          <w:szCs w:val="32"/>
          <w:highlight w:val="none"/>
          <w:lang w:val="en-US" w:eastAsia="zh-CN"/>
        </w:rPr>
        <w:t>地处</w:t>
      </w:r>
      <w:r>
        <w:rPr>
          <w:rFonts w:hint="default" w:ascii="Times New Roman" w:hAnsi="Times New Roman" w:eastAsia="仿宋_GB2312" w:cs="Times New Roman"/>
          <w:b w:val="0"/>
          <w:bCs w:val="0"/>
          <w:color w:val="auto"/>
          <w:sz w:val="32"/>
          <w:szCs w:val="32"/>
          <w:highlight w:val="none"/>
          <w:lang w:val="en-US" w:eastAsia="zh-CN"/>
        </w:rPr>
        <w:t>成都2小时经济圈的门户区位和川西北民族枢纽功能，能够率先承接技术、资本、人才外溢，打造川渝产业协作先行区；同时，四川建设“两高地、两基地、一屏障”，在初级产品保供、生态安全屏障、向西开放高地建设上将全面发力，为理县发挥清洁能源、林草碳汇、特色农牧资源禀赋提供了政策与资金双重加持。此外，省州推动文旅深度融合发展，</w:t>
      </w:r>
      <w:r>
        <w:rPr>
          <w:rFonts w:hint="default" w:ascii="Times New Roman" w:hAnsi="Times New Roman" w:eastAsia="仿宋_GB2312" w:cs="Times New Roman"/>
          <w:color w:val="auto"/>
          <w:sz w:val="32"/>
          <w:szCs w:val="22"/>
          <w:highlight w:val="none"/>
          <w:lang w:val="en-US" w:eastAsia="zh-CN"/>
        </w:rPr>
        <w:t>明确支持将桃坪羌寨</w:t>
      </w:r>
      <w:r>
        <w:rPr>
          <w:rFonts w:hint="eastAsia" w:cs="Times New Roman"/>
          <w:color w:val="auto"/>
          <w:sz w:val="32"/>
          <w:szCs w:val="22"/>
          <w:highlight w:val="none"/>
          <w:lang w:val="en-US" w:eastAsia="zh-CN"/>
        </w:rPr>
        <w:t>高标准建设</w:t>
      </w:r>
      <w:r>
        <w:rPr>
          <w:rFonts w:hint="default" w:ascii="Times New Roman" w:hAnsi="Times New Roman" w:eastAsia="仿宋_GB2312" w:cs="Times New Roman"/>
          <w:color w:val="auto"/>
          <w:sz w:val="32"/>
          <w:szCs w:val="22"/>
          <w:highlight w:val="none"/>
          <w:lang w:val="en-US" w:eastAsia="zh-CN"/>
        </w:rPr>
        <w:t>“世界最佳旅游乡村”、将“理小路”自驾精品线打造成世界级旅游风景道、</w:t>
      </w:r>
      <w:r>
        <w:rPr>
          <w:rFonts w:hint="eastAsia" w:cs="Times New Roman"/>
          <w:color w:val="auto"/>
          <w:sz w:val="32"/>
          <w:szCs w:val="22"/>
          <w:highlight w:val="none"/>
          <w:lang w:val="en-US" w:eastAsia="zh-CN"/>
        </w:rPr>
        <w:t>将</w:t>
      </w:r>
      <w:r>
        <w:rPr>
          <w:rFonts w:hint="default" w:ascii="Times New Roman" w:hAnsi="Times New Roman" w:eastAsia="仿宋_GB2312" w:cs="Times New Roman"/>
          <w:color w:val="auto"/>
          <w:sz w:val="32"/>
          <w:szCs w:val="22"/>
          <w:highlight w:val="none"/>
          <w:lang w:val="en-US" w:eastAsia="zh-CN"/>
        </w:rPr>
        <w:t>理县建设</w:t>
      </w:r>
      <w:r>
        <w:rPr>
          <w:rFonts w:hint="eastAsia" w:cs="Times New Roman"/>
          <w:color w:val="auto"/>
          <w:sz w:val="32"/>
          <w:szCs w:val="22"/>
          <w:highlight w:val="none"/>
          <w:lang w:val="en-US" w:eastAsia="zh-CN"/>
        </w:rPr>
        <w:t>为</w:t>
      </w:r>
      <w:r>
        <w:rPr>
          <w:rFonts w:hint="default" w:ascii="Times New Roman" w:hAnsi="Times New Roman" w:eastAsia="仿宋_GB2312" w:cs="Times New Roman"/>
          <w:color w:val="auto"/>
          <w:sz w:val="32"/>
          <w:szCs w:val="22"/>
          <w:highlight w:val="none"/>
          <w:lang w:val="en-US" w:eastAsia="zh-CN"/>
        </w:rPr>
        <w:t>国际化冰雪旅游度假区，并与汶川、茂县协同共建康养休闲民宿引领区</w:t>
      </w:r>
      <w:r>
        <w:rPr>
          <w:rFonts w:hint="eastAsia" w:cs="Times New Roman"/>
          <w:color w:val="auto"/>
          <w:sz w:val="32"/>
          <w:szCs w:val="22"/>
          <w:highlight w:val="none"/>
          <w:lang w:val="en-US" w:eastAsia="zh-CN"/>
        </w:rPr>
        <w:t>，</w:t>
      </w:r>
      <w:r>
        <w:rPr>
          <w:rFonts w:hint="default" w:ascii="Times New Roman" w:hAnsi="Times New Roman" w:eastAsia="仿宋_GB2312" w:cs="Times New Roman"/>
          <w:color w:val="auto"/>
          <w:sz w:val="32"/>
          <w:szCs w:val="22"/>
          <w:highlight w:val="none"/>
          <w:lang w:val="en-US" w:eastAsia="zh-CN"/>
        </w:rPr>
        <w:t>为理县在推动县域经济高质量发展进程中全面开启文旅深度融合新篇章提供重要战略指引。</w:t>
      </w:r>
      <w:r>
        <w:rPr>
          <w:rFonts w:hint="default" w:ascii="Times New Roman" w:hAnsi="Times New Roman" w:eastAsia="仿宋_GB2312" w:cs="Times New Roman"/>
          <w:b w:val="0"/>
          <w:bCs w:val="0"/>
          <w:color w:val="auto"/>
          <w:sz w:val="32"/>
          <w:szCs w:val="32"/>
          <w:highlight w:val="none"/>
          <w:lang w:val="en-US" w:eastAsia="zh-CN"/>
        </w:rPr>
        <w:t>多重机遇交汇下，理县有望在产业能级、开放功能、生态价值、民族团结等方面实现系统性跃升，打造服务国家战略、带动区域协同、促进共同富裕的高原地区高质量发展样板。</w:t>
      </w:r>
    </w:p>
    <w:p w14:paraId="720D6C77">
      <w:pPr>
        <w:bidi w:val="0"/>
        <w:spacing w:line="560" w:lineRule="exact"/>
        <w:ind w:firstLine="643" w:firstLineChars="200"/>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发展新阶段</w:t>
      </w:r>
      <w:r>
        <w:rPr>
          <w:rFonts w:hint="default" w:ascii="Times New Roman" w:hAnsi="Times New Roman" w:eastAsia="仿宋_GB2312" w:cs="Times New Roman"/>
          <w:b w:val="0"/>
          <w:bCs w:val="0"/>
          <w:color w:val="auto"/>
          <w:sz w:val="32"/>
          <w:szCs w:val="32"/>
          <w:highlight w:val="none"/>
          <w:lang w:val="en-US" w:eastAsia="zh-CN"/>
        </w:rPr>
        <w:t>。“十五五”时期，理县正处于新旧动能转换全面提速、开放能级跨越跃升、生态文明建设纵深突破、城市内涵式提质转型“四期交汇”的历史关口：一方面，以数字智能、绿色低碳的新质生产力为牵引，统筹清洁能源扩容、特色农牧延链、文旅消费升级，系统破解“规模小、结构散、效益低”的瓶颈，构建接续有序、协同高效的现代产业新体系；另一方面，依托G317旅游走廊与川甘青新交通大动脉交汇的区位优势，叠加中央对口帮扶、东西部协作、省内结对帮扶政策红利，推动由过境节点向要素集聚枢纽转变，实现从“被动受援”到“主动融入”的开放能级跃升；同时，紧扣国家“双碳”战略，以碳排放总量和强度“双控”为杠杆，以法治化、市场化手段打通生态产品价值实现通道，促进山水林田湖草沙一体化保护和系统治理由“碎片化修复”迈向“全域零碳化示范”；并以城市更新为抓手，通过空间重构、功能复合、文脉赓续、韧性提升，破解河谷地形约束，打造小而美、小而精、小而韧的现代化河谷示范城，为全省民族地区共同富裕提供县域样板。</w:t>
      </w:r>
    </w:p>
    <w:p w14:paraId="775B2EA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困难与挑战</w:t>
      </w:r>
      <w:r>
        <w:rPr>
          <w:rFonts w:hint="default" w:ascii="Times New Roman" w:hAnsi="Times New Roman" w:eastAsia="仿宋_GB2312" w:cs="Times New Roman"/>
          <w:b w:val="0"/>
          <w:bCs w:val="0"/>
          <w:color w:val="auto"/>
          <w:sz w:val="32"/>
          <w:szCs w:val="32"/>
          <w:highlight w:val="none"/>
          <w:lang w:val="en-US" w:eastAsia="zh-CN"/>
        </w:rPr>
        <w:t>。当前和今后一个时期，理县在推进高质量发展进程中仍面临多重结构性、制度性与阶段性矛盾交织叠加的严峻挑战。一是产业发展质效有待提升，农业以传统种植业为主，农产品精深加工、冷链仓储等产业附加值高端环节布局不足；</w:t>
      </w:r>
      <w:r>
        <w:rPr>
          <w:rFonts w:hint="default" w:ascii="Times New Roman" w:hAnsi="Times New Roman" w:eastAsia="仿宋_GB2312" w:cs="Times New Roman"/>
          <w:color w:val="auto"/>
          <w:sz w:val="32"/>
          <w:szCs w:val="22"/>
          <w:highlight w:val="none"/>
          <w:lang w:val="en-US" w:eastAsia="zh-CN"/>
        </w:rPr>
        <w:t>工业发展仍以传统产业为主，</w:t>
      </w:r>
      <w:r>
        <w:rPr>
          <w:rFonts w:hint="default" w:ascii="Times New Roman" w:hAnsi="Times New Roman" w:eastAsia="仿宋_GB2312" w:cs="Times New Roman"/>
          <w:b w:val="0"/>
          <w:bCs w:val="0"/>
          <w:color w:val="auto"/>
          <w:sz w:val="32"/>
          <w:szCs w:val="32"/>
          <w:highlight w:val="none"/>
          <w:lang w:val="en-US" w:eastAsia="zh-CN"/>
        </w:rPr>
        <w:t>绿色转型缓慢。服务业发展层级较低，商业载体建设滞后，商贸流通体系尚不完善；旅游发展仍处于观光旅游初级阶段，“六大旅游目的地”核心业态尚未形成规模，</w:t>
      </w:r>
      <w:r>
        <w:rPr>
          <w:rFonts w:hint="default" w:ascii="Times New Roman" w:hAnsi="Times New Roman" w:eastAsia="仿宋_GB2312" w:cs="Times New Roman"/>
          <w:color w:val="auto"/>
          <w:sz w:val="32"/>
          <w:szCs w:val="22"/>
          <w:highlight w:val="none"/>
          <w:lang w:val="en-US" w:eastAsia="zh-CN"/>
        </w:rPr>
        <w:t>农旅、交旅、文旅融合深度不足，尚未形成协同发展局面</w:t>
      </w:r>
      <w:r>
        <w:rPr>
          <w:rFonts w:hint="default" w:ascii="Times New Roman" w:hAnsi="Times New Roman" w:eastAsia="仿宋_GB2312" w:cs="Times New Roman"/>
          <w:b w:val="0"/>
          <w:bCs w:val="0"/>
          <w:color w:val="auto"/>
          <w:sz w:val="32"/>
          <w:szCs w:val="32"/>
          <w:highlight w:val="none"/>
          <w:lang w:val="en-US" w:eastAsia="zh-CN"/>
        </w:rPr>
        <w:t>。二是公服扩面提质还需加强，</w:t>
      </w:r>
      <w:r>
        <w:rPr>
          <w:rFonts w:hint="default" w:ascii="Times New Roman" w:hAnsi="Times New Roman" w:eastAsia="仿宋_GB2312" w:cs="Times New Roman"/>
          <w:b w:val="0"/>
          <w:bCs w:val="0"/>
          <w:color w:val="auto"/>
          <w:sz w:val="32"/>
          <w:szCs w:val="22"/>
          <w:highlight w:val="none"/>
          <w:lang w:val="en-US" w:eastAsia="zh-CN"/>
        </w:rPr>
        <w:t>城乡优质教育资源差距显著，县城教育园区硬件设施、师资水平明显优于农村地区；县域内高端诊疗能力存在短板，医疗消费外溢现象突出，基层医疗服务基础薄弱；养老托育供给总量存在缺口，基层文体设施效能发挥不足。</w:t>
      </w:r>
      <w:r>
        <w:rPr>
          <w:rFonts w:hint="default" w:ascii="Times New Roman" w:hAnsi="Times New Roman" w:eastAsia="仿宋_GB2312" w:cs="Times New Roman"/>
          <w:b w:val="0"/>
          <w:bCs w:val="0"/>
          <w:color w:val="auto"/>
          <w:sz w:val="32"/>
          <w:szCs w:val="32"/>
          <w:highlight w:val="none"/>
          <w:lang w:val="en-US" w:eastAsia="zh-CN"/>
        </w:rPr>
        <w:t>三是城乡融合发展任重道远，城乡产业协同发展水平不足，难以形成“城镇带动农村、农村支撑城镇”的联动发展格局；城乡基础设施建设短板仍然突出，</w:t>
      </w:r>
      <w:r>
        <w:rPr>
          <w:rFonts w:hint="default" w:ascii="Times New Roman" w:hAnsi="Times New Roman" w:eastAsia="仿宋_GB2312" w:cs="Times New Roman"/>
          <w:color w:val="auto"/>
          <w:sz w:val="32"/>
          <w:szCs w:val="22"/>
          <w:highlight w:val="none"/>
          <w:lang w:val="en-US" w:eastAsia="zh-CN"/>
        </w:rPr>
        <w:t>道路建设等级不高，水、电、气等配套需求仍有缺口，水利基础设施仍需提档升级</w:t>
      </w:r>
      <w:r>
        <w:rPr>
          <w:rFonts w:hint="default" w:ascii="Times New Roman" w:hAnsi="Times New Roman" w:eastAsia="仿宋_GB2312" w:cs="Times New Roman"/>
          <w:b w:val="0"/>
          <w:bCs w:val="0"/>
          <w:color w:val="auto"/>
          <w:sz w:val="32"/>
          <w:szCs w:val="32"/>
          <w:highlight w:val="none"/>
          <w:lang w:val="en-US" w:eastAsia="zh-CN"/>
        </w:rPr>
        <w:t>。四是资源环境约束日益加剧，地质灾害隐患点数量多、生态脆弱区域占县域总面积近四成，干旱河谷水土流失与草原退化等环境问题持续交织，“三区三线”刚性管控导致</w:t>
      </w:r>
      <w:r>
        <w:rPr>
          <w:rFonts w:hint="default" w:ascii="Times New Roman" w:hAnsi="Times New Roman" w:eastAsia="仿宋_GB2312" w:cs="Times New Roman"/>
          <w:color w:val="auto"/>
          <w:sz w:val="32"/>
          <w:szCs w:val="22"/>
          <w:highlight w:val="none"/>
          <w:lang w:val="en-US" w:eastAsia="zh-CN"/>
        </w:rPr>
        <w:t>未来城市空间可拓展区域进一步收缩</w:t>
      </w:r>
      <w:r>
        <w:rPr>
          <w:rFonts w:hint="default" w:ascii="Times New Roman" w:hAnsi="Times New Roman" w:eastAsia="仿宋_GB2312" w:cs="Times New Roman"/>
          <w:b w:val="0"/>
          <w:bCs w:val="0"/>
          <w:color w:val="auto"/>
          <w:sz w:val="32"/>
          <w:szCs w:val="32"/>
          <w:highlight w:val="none"/>
          <w:lang w:val="en-US" w:eastAsia="zh-CN"/>
        </w:rPr>
        <w:t>。五是区域同质化竞争异常激烈，毗邻县市资源禀赋相似、产业路径雷同、扶持政策高度一致，错位差异发展要求刻不容缓。</w:t>
      </w:r>
    </w:p>
    <w:p w14:paraId="26BD178F">
      <w:pPr>
        <w:keepNext/>
        <w:widowControl w:val="0"/>
        <w:numPr>
          <w:ilvl w:val="0"/>
          <w:numId w:val="1"/>
        </w:numPr>
        <w:bidi w:val="0"/>
        <w:snapToGrid w:val="0"/>
        <w:spacing w:before="100" w:beforeLines="100" w:after="100" w:afterLines="100" w:line="560" w:lineRule="exact"/>
        <w:ind w:left="0" w:leftChars="0" w:firstLine="0" w:firstLineChars="0"/>
        <w:jc w:val="center"/>
        <w:outlineLvl w:val="1"/>
        <w:rPr>
          <w:rFonts w:hint="default" w:ascii="Times New Roman" w:hAnsi="Times New Roman" w:eastAsia="黑体" w:cs="Times New Roman"/>
          <w:color w:val="auto"/>
          <w:kern w:val="2"/>
          <w:sz w:val="32"/>
          <w:szCs w:val="24"/>
          <w:highlight w:val="none"/>
          <w:lang w:val="en-US" w:eastAsia="zh-CN" w:bidi="ar-SA"/>
        </w:rPr>
      </w:pPr>
      <w:r>
        <w:rPr>
          <w:rFonts w:hint="default" w:ascii="Times New Roman" w:hAnsi="Times New Roman" w:eastAsia="黑体" w:cs="Times New Roman"/>
          <w:color w:val="auto"/>
          <w:kern w:val="2"/>
          <w:sz w:val="32"/>
          <w:szCs w:val="24"/>
          <w:highlight w:val="none"/>
          <w:lang w:val="en-US" w:eastAsia="zh-CN" w:bidi="ar-SA"/>
        </w:rPr>
        <w:t xml:space="preserve"> </w:t>
      </w:r>
      <w:bookmarkStart w:id="23" w:name="_Toc13062"/>
      <w:bookmarkStart w:id="24" w:name="_Toc1718"/>
      <w:bookmarkStart w:id="25" w:name="_Toc20608"/>
      <w:bookmarkStart w:id="26" w:name="_Toc24897"/>
      <w:r>
        <w:rPr>
          <w:rFonts w:hint="default" w:ascii="Times New Roman" w:hAnsi="Times New Roman" w:eastAsia="黑体" w:cs="Times New Roman"/>
          <w:color w:val="auto"/>
          <w:kern w:val="2"/>
          <w:sz w:val="32"/>
          <w:szCs w:val="24"/>
          <w:highlight w:val="none"/>
          <w:lang w:val="en-US" w:eastAsia="zh-CN" w:bidi="ar-SA"/>
        </w:rPr>
        <w:t>总体要求</w:t>
      </w:r>
      <w:bookmarkEnd w:id="23"/>
      <w:bookmarkEnd w:id="24"/>
      <w:bookmarkEnd w:id="25"/>
      <w:bookmarkEnd w:id="26"/>
    </w:p>
    <w:p w14:paraId="585A0AF5">
      <w:pPr>
        <w:keepNext/>
        <w:widowControl w:val="0"/>
        <w:numPr>
          <w:ilvl w:val="0"/>
          <w:numId w:val="4"/>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27" w:name="_Toc10501"/>
      <w:bookmarkStart w:id="28" w:name="_Toc9142"/>
      <w:bookmarkStart w:id="29" w:name="_Toc32665"/>
      <w:bookmarkStart w:id="30" w:name="_Toc13178"/>
      <w:r>
        <w:rPr>
          <w:rFonts w:hint="default" w:ascii="Times New Roman" w:hAnsi="Times New Roman" w:eastAsia="楷体_GB2312" w:cs="Times New Roman"/>
          <w:b/>
          <w:bCs w:val="0"/>
          <w:color w:val="auto"/>
          <w:kern w:val="2"/>
          <w:sz w:val="32"/>
          <w:szCs w:val="32"/>
          <w:highlight w:val="none"/>
          <w:lang w:val="en-US" w:eastAsia="zh-CN" w:bidi="ar-SA"/>
        </w:rPr>
        <w:fldChar w:fldCharType="begin"/>
      </w:r>
      <w:r>
        <w:rPr>
          <w:rFonts w:hint="default" w:ascii="Times New Roman" w:hAnsi="Times New Roman" w:eastAsia="楷体_GB2312" w:cs="Times New Roman"/>
          <w:b/>
          <w:bCs w:val="0"/>
          <w:color w:val="auto"/>
          <w:kern w:val="2"/>
          <w:sz w:val="32"/>
          <w:szCs w:val="32"/>
          <w:highlight w:val="none"/>
          <w:lang w:val="en-US" w:eastAsia="zh-CN" w:bidi="ar-SA"/>
        </w:rPr>
        <w:instrText xml:space="preserve"> HYPERLINK \l "_Toc63164187" </w:instrText>
      </w:r>
      <w:r>
        <w:rPr>
          <w:rFonts w:hint="default" w:ascii="Times New Roman" w:hAnsi="Times New Roman" w:eastAsia="楷体_GB2312" w:cs="Times New Roman"/>
          <w:b/>
          <w:bCs w:val="0"/>
          <w:color w:val="auto"/>
          <w:kern w:val="2"/>
          <w:sz w:val="32"/>
          <w:szCs w:val="32"/>
          <w:highlight w:val="none"/>
          <w:lang w:val="en-US" w:eastAsia="zh-CN" w:bidi="ar-SA"/>
        </w:rPr>
        <w:fldChar w:fldCharType="separate"/>
      </w:r>
      <w:r>
        <w:rPr>
          <w:rFonts w:hint="default" w:ascii="Times New Roman" w:hAnsi="Times New Roman" w:eastAsia="楷体_GB2312" w:cs="Times New Roman"/>
          <w:b/>
          <w:bCs w:val="0"/>
          <w:color w:val="auto"/>
          <w:kern w:val="2"/>
          <w:sz w:val="32"/>
          <w:szCs w:val="32"/>
          <w:highlight w:val="none"/>
          <w:lang w:val="en-US" w:eastAsia="zh-CN" w:bidi="ar-SA"/>
        </w:rPr>
        <w:t>指导思想</w:t>
      </w:r>
      <w:r>
        <w:rPr>
          <w:rFonts w:hint="default" w:ascii="Times New Roman" w:hAnsi="Times New Roman" w:eastAsia="楷体_GB2312" w:cs="Times New Roman"/>
          <w:b/>
          <w:bCs w:val="0"/>
          <w:color w:val="auto"/>
          <w:kern w:val="2"/>
          <w:sz w:val="32"/>
          <w:szCs w:val="32"/>
          <w:highlight w:val="none"/>
          <w:lang w:val="en-US" w:eastAsia="zh-CN" w:bidi="ar-SA"/>
        </w:rPr>
        <w:fldChar w:fldCharType="end"/>
      </w:r>
      <w:bookmarkEnd w:id="27"/>
      <w:bookmarkEnd w:id="28"/>
      <w:bookmarkEnd w:id="29"/>
      <w:bookmarkEnd w:id="30"/>
    </w:p>
    <w:p w14:paraId="640520D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坚持马克思列宁主义、毛泽东思想、邓小平理论、“三个代表”重要思想、科学发展观，全面贯彻习近平新时代中国特色社会主义思想，坚定贯彻习近平总书记对四川对阿坝工作系列重要指示批示精神，全面落实党的二十大和二十届</w:t>
      </w:r>
      <w:r>
        <w:rPr>
          <w:rFonts w:hint="eastAsia" w:cs="Times New Roman"/>
          <w:b w:val="0"/>
          <w:bCs w:val="0"/>
          <w:color w:val="auto"/>
          <w:sz w:val="32"/>
          <w:szCs w:val="32"/>
          <w:highlight w:val="none"/>
          <w:lang w:val="en-US" w:eastAsia="zh-CN"/>
        </w:rPr>
        <w:t>历次</w:t>
      </w:r>
      <w:r>
        <w:rPr>
          <w:rFonts w:hint="default" w:ascii="Times New Roman" w:hAnsi="Times New Roman" w:eastAsia="仿宋_GB2312" w:cs="Times New Roman"/>
          <w:b w:val="0"/>
          <w:bCs w:val="0"/>
          <w:color w:val="auto"/>
          <w:sz w:val="32"/>
          <w:szCs w:val="32"/>
          <w:highlight w:val="none"/>
          <w:lang w:val="en-US" w:eastAsia="zh-CN"/>
        </w:rPr>
        <w:t>全会精神，深刻领悟新时代党的治藏方略，认真落实省委</w:t>
      </w:r>
      <w:r>
        <w:rPr>
          <w:rFonts w:hint="eastAsia" w:cs="Times New Roman"/>
          <w:b w:val="0"/>
          <w:bCs w:val="0"/>
          <w:color w:val="auto"/>
          <w:sz w:val="32"/>
          <w:szCs w:val="32"/>
          <w:highlight w:val="none"/>
          <w:lang w:val="en-US" w:eastAsia="zh-CN"/>
        </w:rPr>
        <w:t>、</w:t>
      </w:r>
      <w:r>
        <w:rPr>
          <w:rFonts w:hint="default" w:ascii="Times New Roman" w:hAnsi="Times New Roman" w:eastAsia="仿宋_GB2312" w:cs="Times New Roman"/>
          <w:b w:val="0"/>
          <w:bCs w:val="0"/>
          <w:color w:val="auto"/>
          <w:sz w:val="32"/>
          <w:szCs w:val="32"/>
          <w:highlight w:val="none"/>
          <w:lang w:val="en-US" w:eastAsia="zh-CN"/>
        </w:rPr>
        <w:t>州委十二届历次全会精神和决策部署，坚持稳中求进工作总基调，全面贯彻新发展理念，加快构建新发展格局，积极落实州委“1610”系统部署，以推进民族地区高质量发展为主题，以培育发展新质生产力为主线，以主动融入服务国家战略腹地建设和成渝地区双城经济圈建设为总牵引，以满足人民群众对更美好生活的向往为根本目的，统筹发展和安全，锚定“一廊三区·吉祥理县”新思路新布局，加快建成生态理县、人文理县、兴业理县、和美理县，以经济社会高质量发展惠及各族群众，全面建成阿坝典范“理县样板”。</w:t>
      </w:r>
    </w:p>
    <w:p w14:paraId="0A30423C">
      <w:pPr>
        <w:keepNext/>
        <w:widowControl w:val="0"/>
        <w:numPr>
          <w:ilvl w:val="0"/>
          <w:numId w:val="4"/>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31" w:name="_Toc7638"/>
      <w:bookmarkStart w:id="32" w:name="_Toc28704"/>
      <w:r>
        <w:rPr>
          <w:rFonts w:hint="default" w:ascii="Times New Roman" w:hAnsi="Times New Roman" w:eastAsia="楷体_GB2312" w:cs="Times New Roman"/>
          <w:b/>
          <w:bCs w:val="0"/>
          <w:color w:val="auto"/>
          <w:kern w:val="2"/>
          <w:sz w:val="32"/>
          <w:szCs w:val="32"/>
          <w:highlight w:val="none"/>
          <w:lang w:val="en-US" w:eastAsia="zh-CN" w:bidi="ar-SA"/>
        </w:rPr>
        <w:t>基本原则</w:t>
      </w:r>
      <w:bookmarkEnd w:id="31"/>
      <w:bookmarkEnd w:id="32"/>
    </w:p>
    <w:p w14:paraId="2ED34BA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坚持党的全面领导。</w:t>
      </w:r>
      <w:r>
        <w:rPr>
          <w:rFonts w:hint="default" w:ascii="Times New Roman" w:hAnsi="Times New Roman" w:eastAsia="仿宋_GB2312" w:cs="Times New Roman"/>
          <w:b w:val="0"/>
          <w:bCs w:val="0"/>
          <w:color w:val="auto"/>
          <w:sz w:val="32"/>
          <w:szCs w:val="32"/>
          <w:highlight w:val="none"/>
          <w:lang w:val="en-US" w:eastAsia="zh-CN"/>
        </w:rPr>
        <w:t>坚决维护党中央权威和集中统一领导，提高党把方向、谋大局、定政策、促改革能力，把党的领导贯穿经济社会发展各方面全过程，切实做好从思想上、政治上、组织上引导教育党员和群众工作。完善党委领导经济社会发展的体制机制，深化对发展规律的认识，提高领导发展能力和水平，带领全县人民同心同德、共创“十五五”伟业。</w:t>
      </w:r>
    </w:p>
    <w:p w14:paraId="3528D4E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坚持绿色低碳高质量发展。</w:t>
      </w:r>
      <w:r>
        <w:rPr>
          <w:rFonts w:hint="default" w:ascii="Times New Roman" w:hAnsi="Times New Roman" w:eastAsia="仿宋_GB2312" w:cs="Times New Roman"/>
          <w:b w:val="0"/>
          <w:bCs w:val="0"/>
          <w:color w:val="auto"/>
          <w:sz w:val="32"/>
          <w:szCs w:val="32"/>
          <w:highlight w:val="none"/>
          <w:lang w:val="en-US" w:eastAsia="zh-CN"/>
        </w:rPr>
        <w:t>以创新、协调、绿色、开放、共享</w:t>
      </w:r>
      <w:r>
        <w:rPr>
          <w:rFonts w:hint="eastAsia" w:cs="Times New Roman"/>
          <w:b w:val="0"/>
          <w:bCs w:val="0"/>
          <w:color w:val="auto"/>
          <w:sz w:val="32"/>
          <w:szCs w:val="32"/>
          <w:highlight w:val="none"/>
          <w:lang w:val="en-US" w:eastAsia="zh-CN"/>
        </w:rPr>
        <w:t>的</w:t>
      </w:r>
      <w:r>
        <w:rPr>
          <w:rFonts w:hint="default" w:ascii="Times New Roman" w:hAnsi="Times New Roman" w:eastAsia="仿宋_GB2312" w:cs="Times New Roman"/>
          <w:b w:val="0"/>
          <w:bCs w:val="0"/>
          <w:color w:val="auto"/>
          <w:sz w:val="32"/>
          <w:szCs w:val="32"/>
          <w:highlight w:val="none"/>
          <w:lang w:val="en-US" w:eastAsia="zh-CN"/>
        </w:rPr>
        <w:t>新发展理念引领发展，着力构建以全域旅游、生态农业和绿色低碳工业为支柱的现代化产业体系，因地制宜发展新质生产力，积极培育适合理县的新兴产业和发展模式，促进经济结构优化升级，做优增量、盘活存量，推动经济持续健康发展和社会全面进步。</w:t>
      </w:r>
    </w:p>
    <w:p w14:paraId="69136F8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坚持人民至上。</w:t>
      </w:r>
      <w:r>
        <w:rPr>
          <w:rFonts w:hint="default" w:ascii="Times New Roman" w:hAnsi="Times New Roman" w:eastAsia="仿宋_GB2312" w:cs="Times New Roman"/>
          <w:b w:val="0"/>
          <w:bCs w:val="0"/>
          <w:color w:val="auto"/>
          <w:sz w:val="32"/>
          <w:szCs w:val="32"/>
          <w:highlight w:val="none"/>
          <w:lang w:val="en-US" w:eastAsia="zh-CN"/>
        </w:rPr>
        <w:t>坚持人民主体地位，坚持共同富裕方向，始终做到发展为了人民、发展依靠人民、发展成果由人民共享，维护人民根本利益，激发全体人民积极性、主动性、创造性，促进社会公平，增进民生福祉，不断提高各族人民的获得感、幸福感、安全感。</w:t>
      </w:r>
    </w:p>
    <w:p w14:paraId="0CEEFA1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坚持全面深化改革开放。</w:t>
      </w:r>
      <w:r>
        <w:rPr>
          <w:rFonts w:hint="default" w:ascii="Times New Roman" w:hAnsi="Times New Roman" w:eastAsia="仿宋_GB2312" w:cs="Times New Roman"/>
          <w:b w:val="0"/>
          <w:bCs w:val="0"/>
          <w:color w:val="auto"/>
          <w:sz w:val="32"/>
          <w:szCs w:val="32"/>
          <w:highlight w:val="none"/>
          <w:lang w:val="en-US" w:eastAsia="zh-CN"/>
        </w:rPr>
        <w:t>坚持以深化改革激发新发展活力，以全面开放推动区域</w:t>
      </w:r>
      <w:r>
        <w:rPr>
          <w:rFonts w:hint="eastAsia" w:cs="Times New Roman"/>
          <w:b w:val="0"/>
          <w:bCs w:val="0"/>
          <w:color w:val="auto"/>
          <w:sz w:val="32"/>
          <w:szCs w:val="32"/>
          <w:highlight w:val="none"/>
          <w:lang w:val="en-US" w:eastAsia="zh-CN"/>
        </w:rPr>
        <w:t>协调发展</w:t>
      </w:r>
      <w:r>
        <w:rPr>
          <w:rFonts w:hint="default" w:ascii="Times New Roman" w:hAnsi="Times New Roman" w:eastAsia="仿宋_GB2312" w:cs="Times New Roman"/>
          <w:b w:val="0"/>
          <w:bCs w:val="0"/>
          <w:color w:val="auto"/>
          <w:sz w:val="32"/>
          <w:szCs w:val="32"/>
          <w:highlight w:val="none"/>
          <w:lang w:val="en-US" w:eastAsia="zh-CN"/>
        </w:rPr>
        <w:t>，构建资源共享、优势互补、利益联结的共赢发展态势，破除影响高质量发展、高品质生活的体制机制障碍，激发市场主体活力，提高资源配置效率和全要素生产率。深化东西部协作，强化县内县外区域联动发展，拓展发展空间，持续增强发展动力和活力。</w:t>
      </w:r>
    </w:p>
    <w:p w14:paraId="11FDD17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坚持统筹发展和安全。</w:t>
      </w:r>
      <w:r>
        <w:rPr>
          <w:rFonts w:hint="default" w:ascii="Times New Roman" w:hAnsi="Times New Roman" w:eastAsia="仿宋_GB2312" w:cs="Times New Roman"/>
          <w:b w:val="0"/>
          <w:bCs w:val="0"/>
          <w:color w:val="auto"/>
          <w:sz w:val="32"/>
          <w:szCs w:val="32"/>
          <w:highlight w:val="none"/>
          <w:lang w:val="en-US" w:eastAsia="zh-CN"/>
        </w:rPr>
        <w:t>牢固树立和全面落实总体国家安全观，将安全发展贯穿于县域经济社会发展各领域全过程，有效防范化解生态、经济、社会、公共卫生等各类风险，增强经济和社会韧性，以高水平安全、高水平保护支撑高质量发展，以新安全格局保障新发展格局。</w:t>
      </w:r>
    </w:p>
    <w:p w14:paraId="451E86FF">
      <w:pPr>
        <w:keepNext/>
        <w:widowControl w:val="0"/>
        <w:numPr>
          <w:ilvl w:val="0"/>
          <w:numId w:val="4"/>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33" w:name="_Toc18909"/>
      <w:bookmarkStart w:id="34" w:name="_Toc3605"/>
      <w:bookmarkStart w:id="35" w:name="_Toc743"/>
      <w:bookmarkStart w:id="36" w:name="_Toc28512"/>
      <w:r>
        <w:rPr>
          <w:rFonts w:hint="default" w:ascii="Times New Roman" w:hAnsi="Times New Roman" w:eastAsia="楷体_GB2312" w:cs="Times New Roman"/>
          <w:b/>
          <w:bCs w:val="0"/>
          <w:color w:val="auto"/>
          <w:kern w:val="2"/>
          <w:sz w:val="32"/>
          <w:szCs w:val="32"/>
          <w:highlight w:val="none"/>
          <w:lang w:val="en-US" w:eastAsia="zh-CN" w:bidi="ar-SA"/>
        </w:rPr>
        <w:t>发展目标</w:t>
      </w:r>
      <w:bookmarkEnd w:id="33"/>
      <w:bookmarkEnd w:id="34"/>
      <w:bookmarkEnd w:id="35"/>
      <w:bookmarkEnd w:id="36"/>
    </w:p>
    <w:p w14:paraId="1952A820">
      <w:pPr>
        <w:bidi w:val="0"/>
        <w:spacing w:line="576" w:lineRule="exact"/>
        <w:ind w:firstLine="643"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b/>
          <w:bCs/>
          <w:color w:val="auto"/>
          <w:sz w:val="32"/>
          <w:szCs w:val="22"/>
          <w:highlight w:val="none"/>
          <w:lang w:val="en-US" w:eastAsia="zh-CN"/>
        </w:rPr>
        <w:t>经济实力迈上新台阶。</w:t>
      </w:r>
      <w:r>
        <w:rPr>
          <w:rFonts w:hint="default" w:ascii="Times New Roman" w:hAnsi="Times New Roman" w:eastAsia="仿宋_GB2312" w:cs="Times New Roman"/>
          <w:color w:val="auto"/>
          <w:sz w:val="32"/>
          <w:szCs w:val="22"/>
          <w:highlight w:val="none"/>
          <w:lang w:val="en-US" w:eastAsia="zh-CN"/>
        </w:rPr>
        <w:t>到2030年，全县地区生产总值突破50亿元，三次产业结构持续优化，现代农牧业基本成型，农牧产业基地发展成效显著，“藏羌理物”融入“净土阿坝”农特产品标准体系；清洁能源大力开发，水、风、光互补的现代能源体系逐步构建，绿色低碳环保工业园区基本建成；现代服务业体系基本建成。</w:t>
      </w:r>
    </w:p>
    <w:p w14:paraId="4DC4B290">
      <w:pPr>
        <w:bidi w:val="0"/>
        <w:spacing w:line="576" w:lineRule="exact"/>
        <w:ind w:firstLine="643"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b/>
          <w:bCs/>
          <w:color w:val="auto"/>
          <w:sz w:val="32"/>
          <w:szCs w:val="22"/>
          <w:highlight w:val="none"/>
          <w:lang w:val="en-US" w:eastAsia="zh-CN"/>
        </w:rPr>
        <w:t>全域旅游取得新进展。</w:t>
      </w:r>
      <w:r>
        <w:rPr>
          <w:rFonts w:hint="default" w:ascii="Times New Roman" w:hAnsi="Times New Roman" w:eastAsia="仿宋_GB2312" w:cs="Times New Roman"/>
          <w:color w:val="auto"/>
          <w:sz w:val="32"/>
          <w:szCs w:val="22"/>
          <w:highlight w:val="none"/>
          <w:lang w:val="en-US" w:eastAsia="zh-CN"/>
        </w:rPr>
        <w:t>文化体验旅游、生态观光旅游、康养休闲旅游、冰雪温泉旅游、魅力自驾旅游、户外运动旅游不断做强，毕棚沟景区、桃坪羌寨·甘堡藏寨景区、米亚罗景区、古尔沟温泉、孟屯河谷的影响力和美誉度显著提升，“</w:t>
      </w:r>
      <w:r>
        <w:rPr>
          <w:rFonts w:hint="default" w:ascii="Times New Roman" w:hAnsi="Times New Roman" w:eastAsia="仿宋_GB2312" w:cs="Times New Roman"/>
          <w:b w:val="0"/>
          <w:bCs/>
          <w:color w:val="auto"/>
          <w:sz w:val="32"/>
          <w:szCs w:val="32"/>
          <w:highlight w:val="none"/>
          <w:lang w:val="en-US" w:eastAsia="zh-CN"/>
        </w:rPr>
        <w:t>六大旅游目的地</w:t>
      </w:r>
      <w:r>
        <w:rPr>
          <w:rFonts w:hint="default" w:ascii="Times New Roman" w:hAnsi="Times New Roman" w:eastAsia="仿宋_GB2312" w:cs="Times New Roman"/>
          <w:color w:val="auto"/>
          <w:sz w:val="32"/>
          <w:szCs w:val="22"/>
          <w:highlight w:val="none"/>
          <w:lang w:val="en-US" w:eastAsia="zh-CN"/>
        </w:rPr>
        <w:t>”逐步建成，川西北全域旅游示范地初步建成。</w:t>
      </w:r>
    </w:p>
    <w:p w14:paraId="01B117CC">
      <w:pPr>
        <w:bidi w:val="0"/>
        <w:spacing w:line="576" w:lineRule="exact"/>
        <w:ind w:firstLine="643"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b/>
          <w:bCs/>
          <w:color w:val="auto"/>
          <w:sz w:val="32"/>
          <w:szCs w:val="22"/>
          <w:highlight w:val="none"/>
          <w:lang w:val="en-US" w:eastAsia="zh-CN"/>
        </w:rPr>
        <w:t>生态建设实现新突破。</w:t>
      </w:r>
      <w:r>
        <w:rPr>
          <w:rFonts w:hint="default" w:ascii="Times New Roman" w:hAnsi="Times New Roman" w:eastAsia="仿宋_GB2312" w:cs="Times New Roman"/>
          <w:color w:val="auto"/>
          <w:sz w:val="32"/>
          <w:szCs w:val="22"/>
          <w:highlight w:val="none"/>
          <w:lang w:val="en-US" w:eastAsia="zh-CN"/>
        </w:rPr>
        <w:t>生态系统保护持续推进，全方位、全地域、全过程山水林田湖草沙系统治理水平不断提高，农村厕所、垃圾、污水“三大革命”持续推进，县城污水处理率、生活垃圾无害化处理率实现达标，农村生活垃圾无害化处理实现全覆盖，生态文明制度体系基本建成。</w:t>
      </w:r>
    </w:p>
    <w:p w14:paraId="400FDE44">
      <w:pPr>
        <w:bidi w:val="0"/>
        <w:spacing w:line="576" w:lineRule="exact"/>
        <w:ind w:firstLine="643"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b/>
          <w:bCs/>
          <w:color w:val="auto"/>
          <w:sz w:val="32"/>
          <w:szCs w:val="22"/>
          <w:highlight w:val="none"/>
          <w:lang w:val="en-US" w:eastAsia="zh-CN"/>
        </w:rPr>
        <w:t>改革开放谱写新篇章。</w:t>
      </w:r>
      <w:r>
        <w:rPr>
          <w:rFonts w:hint="default" w:ascii="Times New Roman" w:hAnsi="Times New Roman" w:eastAsia="仿宋_GB2312" w:cs="Times New Roman"/>
          <w:color w:val="auto"/>
          <w:sz w:val="32"/>
          <w:szCs w:val="22"/>
          <w:highlight w:val="none"/>
          <w:lang w:val="en-US" w:eastAsia="zh-CN"/>
        </w:rPr>
        <w:t>成渝地区双城经济圈深度融入，汶理茂一体化协同推进，对口支援帮扶协作不断深入，营商环境持续改善，重点领域改革实现更大突破，对外经贸科教合作交流水平不断提升，成渝地区西向开放战略枢纽加快建成。</w:t>
      </w:r>
    </w:p>
    <w:p w14:paraId="675F4311">
      <w:pPr>
        <w:bidi w:val="0"/>
        <w:spacing w:line="576" w:lineRule="exact"/>
        <w:ind w:firstLine="643"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b/>
          <w:bCs/>
          <w:color w:val="auto"/>
          <w:sz w:val="32"/>
          <w:szCs w:val="22"/>
          <w:highlight w:val="none"/>
          <w:lang w:val="en-US" w:eastAsia="zh-CN"/>
        </w:rPr>
        <w:t>城乡融合呈现新格局。</w:t>
      </w:r>
      <w:r>
        <w:rPr>
          <w:rFonts w:hint="default" w:ascii="Times New Roman" w:hAnsi="Times New Roman" w:eastAsia="仿宋_GB2312" w:cs="Times New Roman"/>
          <w:color w:val="auto"/>
          <w:sz w:val="32"/>
          <w:szCs w:val="22"/>
          <w:highlight w:val="none"/>
          <w:lang w:val="en-US" w:eastAsia="zh-CN"/>
        </w:rPr>
        <w:t>高原新型城镇化建设稳步推进，城镇等级体系不断完善，城镇功能品质持续提升。乡村振兴战略深入实施，基本建成一批具有藏羌特色的宜居宜业和美乡村。城乡要素实现双向流动，城乡公共服务更加均等优质，城乡互补、全面融合、共同繁荣的城乡发展格局基本形成。</w:t>
      </w:r>
    </w:p>
    <w:p w14:paraId="66188E80">
      <w:pPr>
        <w:bidi w:val="0"/>
        <w:spacing w:line="576" w:lineRule="exact"/>
        <w:ind w:firstLine="643"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b/>
          <w:bCs/>
          <w:color w:val="auto"/>
          <w:sz w:val="32"/>
          <w:szCs w:val="22"/>
          <w:highlight w:val="none"/>
          <w:lang w:val="en-US" w:eastAsia="zh-CN"/>
        </w:rPr>
        <w:t>民生福祉达到新高度。</w:t>
      </w:r>
      <w:r>
        <w:rPr>
          <w:rFonts w:hint="default" w:ascii="Times New Roman" w:hAnsi="Times New Roman" w:eastAsia="仿宋_GB2312" w:cs="Times New Roman"/>
          <w:color w:val="auto"/>
          <w:sz w:val="32"/>
          <w:szCs w:val="22"/>
          <w:highlight w:val="none"/>
          <w:lang w:val="en-US" w:eastAsia="zh-CN"/>
        </w:rPr>
        <w:t>道路交通、市政水利、电力通信等基础设施大幅改善，集中集约校点布局基本成型，医疗卫生服务体系持续完善，就业创业环境不断优化，社会保障扩面提质，社会救助兜底保障体系基本建成，社会福利水平不断提高。</w:t>
      </w:r>
    </w:p>
    <w:p w14:paraId="3DD76CB5">
      <w:pPr>
        <w:bidi w:val="0"/>
        <w:spacing w:line="576" w:lineRule="exact"/>
        <w:ind w:firstLine="643"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b/>
          <w:bCs/>
          <w:color w:val="auto"/>
          <w:sz w:val="32"/>
          <w:szCs w:val="22"/>
          <w:highlight w:val="none"/>
          <w:lang w:val="en-US" w:eastAsia="zh-CN"/>
        </w:rPr>
        <w:t>社会治理跃上新水平。</w:t>
      </w:r>
      <w:r>
        <w:rPr>
          <w:rFonts w:hint="default" w:ascii="Times New Roman" w:hAnsi="Times New Roman" w:eastAsia="仿宋_GB2312" w:cs="Times New Roman"/>
          <w:color w:val="auto"/>
          <w:sz w:val="32"/>
          <w:szCs w:val="22"/>
          <w:highlight w:val="none"/>
          <w:lang w:val="en-US" w:eastAsia="zh-CN"/>
        </w:rPr>
        <w:t>村级组织治理体系更加完善，“微网实格”治理模式更趋成熟，“双联双进”</w:t>
      </w:r>
      <w:r>
        <w:rPr>
          <w:rFonts w:hint="eastAsia" w:ascii="Times New Roman" w:hAnsi="Times New Roman" w:eastAsia="仿宋_GB2312" w:cs="Times New Roman"/>
          <w:color w:val="auto"/>
          <w:sz w:val="32"/>
          <w:szCs w:val="22"/>
          <w:highlight w:val="none"/>
          <w:lang w:val="en-US" w:eastAsia="zh-CN"/>
        </w:rPr>
        <w:t>巩固深化</w:t>
      </w:r>
      <w:r>
        <w:rPr>
          <w:rFonts w:hint="default" w:ascii="Times New Roman" w:hAnsi="Times New Roman" w:eastAsia="仿宋_GB2312" w:cs="Times New Roman"/>
          <w:color w:val="auto"/>
          <w:sz w:val="32"/>
          <w:szCs w:val="22"/>
          <w:highlight w:val="none"/>
          <w:lang w:val="en-US" w:eastAsia="zh-CN"/>
        </w:rPr>
        <w:t>，干部+僧人寺庙“微网实格”管理服务体系进一步完善，“一核五治、五治融合、多元共治”纵深推进，法治理县、平安理县基本建成。</w:t>
      </w:r>
    </w:p>
    <w:tbl>
      <w:tblPr>
        <w:tblStyle w:val="1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57" w:type="dxa"/>
          <w:bottom w:w="0" w:type="dxa"/>
          <w:right w:w="57" w:type="dxa"/>
        </w:tblCellMar>
      </w:tblPr>
      <w:tblGrid>
        <w:gridCol w:w="634"/>
        <w:gridCol w:w="569"/>
        <w:gridCol w:w="2089"/>
        <w:gridCol w:w="1532"/>
        <w:gridCol w:w="865"/>
        <w:gridCol w:w="1055"/>
        <w:gridCol w:w="1068"/>
        <w:gridCol w:w="1147"/>
      </w:tblGrid>
      <w:tr w14:paraId="0A8C4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trPr>
        <w:tc>
          <w:tcPr>
            <w:tcW w:w="5000" w:type="pct"/>
            <w:gridSpan w:val="8"/>
            <w:shd w:val="clear" w:color="auto" w:fill="7F7F7F" w:themeFill="text1" w:themeFillTint="7F"/>
            <w:noWrap/>
            <w:vAlign w:val="center"/>
          </w:tcPr>
          <w:p w14:paraId="086FB451">
            <w:pPr>
              <w:keepNext w:val="0"/>
              <w:keepLines w:val="0"/>
              <w:pageBreakBefore w:val="0"/>
              <w:widowControl/>
              <w:suppressLineNumbers w:val="0"/>
              <w:kinsoku/>
              <w:wordWrap/>
              <w:overflowPunct/>
              <w:topLinePunct w:val="0"/>
              <w:autoSpaceDE/>
              <w:autoSpaceDN/>
              <w:bidi w:val="0"/>
              <w:adjustRightInd/>
              <w:snapToGrid/>
              <w:spacing w:line="560" w:lineRule="exact"/>
              <w:ind w:firstLine="0" w:firstLineChars="0"/>
              <w:jc w:val="center"/>
              <w:textAlignment w:val="center"/>
              <w:rPr>
                <w:rFonts w:hint="default" w:ascii="Times New Roman" w:hAnsi="Times New Roman" w:eastAsia="方正仿宋_GB2312" w:cs="Times New Roman"/>
                <w:b/>
                <w:bCs/>
                <w:i w:val="0"/>
                <w:iCs w:val="0"/>
                <w:color w:val="auto"/>
                <w:kern w:val="0"/>
                <w:sz w:val="21"/>
                <w:szCs w:val="21"/>
                <w:highlight w:val="none"/>
                <w:u w:val="none"/>
                <w:lang w:val="en-US" w:eastAsia="zh-CN" w:bidi="ar"/>
              </w:rPr>
            </w:pPr>
            <w:r>
              <w:rPr>
                <w:rFonts w:hint="default" w:ascii="Times New Roman" w:hAnsi="Times New Roman" w:eastAsia="黑体" w:cs="Times New Roman"/>
                <w:b/>
                <w:bCs/>
                <w:color w:val="auto"/>
                <w:kern w:val="0"/>
                <w:sz w:val="28"/>
                <w:szCs w:val="28"/>
                <w:highlight w:val="none"/>
                <w:shd w:val="clear"/>
                <w:lang w:bidi="ar"/>
              </w:rPr>
              <w:t>专栏</w:t>
            </w:r>
            <w:r>
              <w:rPr>
                <w:rFonts w:hint="default" w:ascii="Times New Roman" w:hAnsi="Times New Roman" w:eastAsia="黑体" w:cs="Times New Roman"/>
                <w:b/>
                <w:bCs/>
                <w:color w:val="auto"/>
                <w:kern w:val="0"/>
                <w:sz w:val="28"/>
                <w:szCs w:val="28"/>
                <w:highlight w:val="none"/>
                <w:shd w:val="clear"/>
                <w:lang w:val="en-US" w:eastAsia="zh-CN" w:bidi="ar"/>
              </w:rPr>
              <w:t>2  “十五五”时期理县经济社会发展主要目标</w:t>
            </w:r>
          </w:p>
        </w:tc>
      </w:tr>
      <w:tr w14:paraId="56110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482" w:hRule="atLeast"/>
        </w:trPr>
        <w:tc>
          <w:tcPr>
            <w:tcW w:w="353" w:type="pct"/>
            <w:shd w:val="clear" w:color="auto" w:fill="auto"/>
            <w:noWrap/>
            <w:vAlign w:val="center"/>
          </w:tcPr>
          <w:p w14:paraId="22CFD4F3">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b/>
                <w:bCs/>
                <w:i w:val="0"/>
                <w:iCs w:val="0"/>
                <w:color w:val="auto"/>
                <w:sz w:val="21"/>
                <w:szCs w:val="21"/>
                <w:highlight w:val="none"/>
                <w:u w:val="none"/>
              </w:rPr>
            </w:pPr>
            <w:r>
              <w:rPr>
                <w:rFonts w:hint="default" w:ascii="Times New Roman" w:hAnsi="Times New Roman" w:eastAsia="仿宋_GB2312" w:cs="Times New Roman"/>
                <w:b/>
                <w:bCs/>
                <w:i w:val="0"/>
                <w:iCs w:val="0"/>
                <w:color w:val="auto"/>
                <w:kern w:val="0"/>
                <w:sz w:val="21"/>
                <w:szCs w:val="21"/>
                <w:highlight w:val="none"/>
                <w:u w:val="none"/>
                <w:lang w:val="en-US" w:eastAsia="zh-CN" w:bidi="ar"/>
              </w:rPr>
              <w:t>类别</w:t>
            </w:r>
          </w:p>
        </w:tc>
        <w:tc>
          <w:tcPr>
            <w:tcW w:w="317" w:type="pct"/>
            <w:shd w:val="clear" w:color="auto" w:fill="auto"/>
            <w:noWrap/>
            <w:vAlign w:val="center"/>
          </w:tcPr>
          <w:p w14:paraId="77AD0AD2">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b/>
                <w:bCs/>
                <w:i w:val="0"/>
                <w:iCs w:val="0"/>
                <w:color w:val="auto"/>
                <w:sz w:val="21"/>
                <w:szCs w:val="21"/>
                <w:highlight w:val="none"/>
                <w:u w:val="none"/>
              </w:rPr>
            </w:pPr>
            <w:r>
              <w:rPr>
                <w:rFonts w:hint="default" w:ascii="Times New Roman" w:hAnsi="Times New Roman" w:eastAsia="仿宋_GB2312" w:cs="Times New Roman"/>
                <w:b/>
                <w:bCs/>
                <w:i w:val="0"/>
                <w:iCs w:val="0"/>
                <w:color w:val="auto"/>
                <w:kern w:val="0"/>
                <w:sz w:val="21"/>
                <w:szCs w:val="21"/>
                <w:highlight w:val="none"/>
                <w:u w:val="none"/>
                <w:lang w:val="en-US" w:eastAsia="zh-CN" w:bidi="ar"/>
              </w:rPr>
              <w:t>序号</w:t>
            </w:r>
          </w:p>
        </w:tc>
        <w:tc>
          <w:tcPr>
            <w:tcW w:w="2020" w:type="pct"/>
            <w:gridSpan w:val="2"/>
            <w:shd w:val="clear" w:color="auto" w:fill="auto"/>
            <w:vAlign w:val="center"/>
          </w:tcPr>
          <w:p w14:paraId="6A3CF953">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b/>
                <w:bCs/>
                <w:i w:val="0"/>
                <w:iCs w:val="0"/>
                <w:color w:val="auto"/>
                <w:sz w:val="21"/>
                <w:szCs w:val="21"/>
                <w:highlight w:val="none"/>
                <w:u w:val="none"/>
              </w:rPr>
            </w:pPr>
            <w:r>
              <w:rPr>
                <w:rFonts w:hint="default" w:ascii="Times New Roman" w:hAnsi="Times New Roman" w:eastAsia="仿宋_GB2312" w:cs="Times New Roman"/>
                <w:b/>
                <w:bCs/>
                <w:i w:val="0"/>
                <w:iCs w:val="0"/>
                <w:color w:val="auto"/>
                <w:kern w:val="0"/>
                <w:sz w:val="21"/>
                <w:szCs w:val="21"/>
                <w:highlight w:val="none"/>
                <w:u w:val="none"/>
                <w:lang w:val="en-US" w:eastAsia="zh-CN" w:bidi="ar"/>
              </w:rPr>
              <w:t>指标名称</w:t>
            </w:r>
          </w:p>
        </w:tc>
        <w:tc>
          <w:tcPr>
            <w:tcW w:w="482" w:type="pct"/>
            <w:shd w:val="clear" w:color="auto" w:fill="auto"/>
            <w:noWrap/>
            <w:vAlign w:val="center"/>
          </w:tcPr>
          <w:p w14:paraId="790F9CD2">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b/>
                <w:bCs/>
                <w:i w:val="0"/>
                <w:iCs w:val="0"/>
                <w:color w:val="auto"/>
                <w:kern w:val="0"/>
                <w:sz w:val="21"/>
                <w:szCs w:val="21"/>
                <w:highlight w:val="none"/>
                <w:u w:val="none"/>
                <w:lang w:val="en-US" w:eastAsia="zh-CN" w:bidi="ar"/>
              </w:rPr>
            </w:pPr>
            <w:r>
              <w:rPr>
                <w:rFonts w:hint="default" w:ascii="Times New Roman" w:hAnsi="Times New Roman" w:eastAsia="仿宋_GB2312" w:cs="Times New Roman"/>
                <w:b/>
                <w:bCs/>
                <w:i w:val="0"/>
                <w:iCs w:val="0"/>
                <w:color w:val="auto"/>
                <w:kern w:val="0"/>
                <w:sz w:val="21"/>
                <w:szCs w:val="21"/>
                <w:highlight w:val="none"/>
                <w:u w:val="none"/>
                <w:lang w:val="en-US" w:eastAsia="zh-CN" w:bidi="ar"/>
              </w:rPr>
              <w:t>指标</w:t>
            </w:r>
          </w:p>
          <w:p w14:paraId="6D37C3AF">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b/>
                <w:bCs/>
                <w:i w:val="0"/>
                <w:iCs w:val="0"/>
                <w:color w:val="auto"/>
                <w:sz w:val="21"/>
                <w:szCs w:val="21"/>
                <w:highlight w:val="none"/>
                <w:u w:val="none"/>
                <w:lang w:val="en-US"/>
              </w:rPr>
            </w:pPr>
            <w:r>
              <w:rPr>
                <w:rFonts w:hint="default" w:ascii="Times New Roman" w:hAnsi="Times New Roman" w:eastAsia="仿宋_GB2312" w:cs="Times New Roman"/>
                <w:b/>
                <w:bCs/>
                <w:i w:val="0"/>
                <w:iCs w:val="0"/>
                <w:color w:val="auto"/>
                <w:kern w:val="0"/>
                <w:sz w:val="21"/>
                <w:szCs w:val="21"/>
                <w:highlight w:val="none"/>
                <w:u w:val="none"/>
                <w:lang w:val="en-US" w:eastAsia="zh-CN" w:bidi="ar"/>
              </w:rPr>
              <w:t>属性</w:t>
            </w:r>
          </w:p>
        </w:tc>
        <w:tc>
          <w:tcPr>
            <w:tcW w:w="588" w:type="pct"/>
            <w:shd w:val="clear" w:color="auto" w:fill="auto"/>
            <w:noWrap/>
            <w:vAlign w:val="center"/>
          </w:tcPr>
          <w:p w14:paraId="64BBAC44">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b/>
                <w:bCs/>
                <w:i w:val="0"/>
                <w:iCs w:val="0"/>
                <w:color w:val="auto"/>
                <w:kern w:val="0"/>
                <w:sz w:val="21"/>
                <w:szCs w:val="21"/>
                <w:highlight w:val="none"/>
                <w:u w:val="none"/>
                <w:lang w:val="en-US" w:eastAsia="zh-CN" w:bidi="ar"/>
              </w:rPr>
            </w:pPr>
            <w:r>
              <w:rPr>
                <w:rFonts w:hint="default" w:ascii="Times New Roman" w:hAnsi="Times New Roman" w:eastAsia="仿宋_GB2312" w:cs="Times New Roman"/>
                <w:b/>
                <w:bCs/>
                <w:i w:val="0"/>
                <w:iCs w:val="0"/>
                <w:color w:val="auto"/>
                <w:kern w:val="0"/>
                <w:sz w:val="21"/>
                <w:szCs w:val="21"/>
                <w:highlight w:val="none"/>
                <w:u w:val="none"/>
                <w:lang w:val="en-US" w:eastAsia="zh-CN" w:bidi="ar"/>
              </w:rPr>
              <w:t>2025年</w:t>
            </w:r>
          </w:p>
          <w:p w14:paraId="0F33998D">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b/>
                <w:bCs/>
                <w:i w:val="0"/>
                <w:iCs w:val="0"/>
                <w:color w:val="auto"/>
                <w:sz w:val="21"/>
                <w:szCs w:val="21"/>
                <w:highlight w:val="none"/>
                <w:u w:val="none"/>
              </w:rPr>
            </w:pPr>
            <w:r>
              <w:rPr>
                <w:rFonts w:hint="default" w:ascii="Times New Roman" w:hAnsi="Times New Roman" w:eastAsia="仿宋_GB2312" w:cs="Times New Roman"/>
                <w:b/>
                <w:bCs/>
                <w:i w:val="0"/>
                <w:iCs w:val="0"/>
                <w:color w:val="auto"/>
                <w:kern w:val="0"/>
                <w:sz w:val="21"/>
                <w:szCs w:val="21"/>
                <w:highlight w:val="none"/>
                <w:u w:val="none"/>
                <w:lang w:val="en-US" w:eastAsia="zh-CN" w:bidi="ar"/>
              </w:rPr>
              <w:t>预计值</w:t>
            </w:r>
          </w:p>
        </w:tc>
        <w:tc>
          <w:tcPr>
            <w:tcW w:w="596" w:type="pct"/>
            <w:shd w:val="clear" w:color="auto" w:fill="auto"/>
            <w:noWrap/>
            <w:vAlign w:val="center"/>
          </w:tcPr>
          <w:p w14:paraId="112A02E5">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b/>
                <w:bCs/>
                <w:i w:val="0"/>
                <w:iCs w:val="0"/>
                <w:color w:val="auto"/>
                <w:kern w:val="0"/>
                <w:sz w:val="21"/>
                <w:szCs w:val="21"/>
                <w:highlight w:val="none"/>
                <w:u w:val="none"/>
                <w:lang w:val="en-US" w:eastAsia="zh-CN" w:bidi="ar"/>
              </w:rPr>
            </w:pPr>
            <w:r>
              <w:rPr>
                <w:rFonts w:hint="default" w:ascii="Times New Roman" w:hAnsi="Times New Roman" w:eastAsia="仿宋_GB2312" w:cs="Times New Roman"/>
                <w:b/>
                <w:bCs/>
                <w:i w:val="0"/>
                <w:iCs w:val="0"/>
                <w:color w:val="auto"/>
                <w:kern w:val="0"/>
                <w:sz w:val="21"/>
                <w:szCs w:val="21"/>
                <w:highlight w:val="none"/>
                <w:u w:val="none"/>
                <w:lang w:val="en-US" w:eastAsia="zh-CN" w:bidi="ar"/>
              </w:rPr>
              <w:t>2030年</w:t>
            </w:r>
          </w:p>
          <w:p w14:paraId="4FA0F2E1">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b/>
                <w:bCs/>
                <w:i w:val="0"/>
                <w:iCs w:val="0"/>
                <w:color w:val="auto"/>
                <w:sz w:val="21"/>
                <w:szCs w:val="21"/>
                <w:highlight w:val="none"/>
                <w:u w:val="none"/>
              </w:rPr>
            </w:pPr>
            <w:r>
              <w:rPr>
                <w:rFonts w:hint="default" w:ascii="Times New Roman" w:hAnsi="Times New Roman" w:eastAsia="仿宋_GB2312" w:cs="Times New Roman"/>
                <w:b/>
                <w:bCs/>
                <w:i w:val="0"/>
                <w:iCs w:val="0"/>
                <w:color w:val="auto"/>
                <w:kern w:val="0"/>
                <w:sz w:val="21"/>
                <w:szCs w:val="21"/>
                <w:highlight w:val="none"/>
                <w:u w:val="none"/>
                <w:lang w:val="en-US" w:eastAsia="zh-CN" w:bidi="ar"/>
              </w:rPr>
              <w:t>目标值</w:t>
            </w:r>
          </w:p>
        </w:tc>
        <w:tc>
          <w:tcPr>
            <w:tcW w:w="640" w:type="pct"/>
            <w:shd w:val="clear" w:color="auto" w:fill="auto"/>
            <w:noWrap/>
            <w:vAlign w:val="center"/>
          </w:tcPr>
          <w:p w14:paraId="134E629C">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b/>
                <w:bCs/>
                <w:i w:val="0"/>
                <w:iCs w:val="0"/>
                <w:color w:val="auto"/>
                <w:sz w:val="21"/>
                <w:szCs w:val="21"/>
                <w:highlight w:val="none"/>
                <w:u w:val="none"/>
              </w:rPr>
            </w:pPr>
            <w:r>
              <w:rPr>
                <w:rFonts w:hint="default" w:ascii="Times New Roman" w:hAnsi="Times New Roman" w:eastAsia="仿宋_GB2312" w:cs="Times New Roman"/>
                <w:b/>
                <w:bCs/>
                <w:i w:val="0"/>
                <w:iCs w:val="0"/>
                <w:color w:val="auto"/>
                <w:kern w:val="0"/>
                <w:sz w:val="21"/>
                <w:szCs w:val="21"/>
                <w:highlight w:val="none"/>
                <w:u w:val="none"/>
                <w:lang w:val="en-US" w:eastAsia="zh-CN" w:bidi="ar"/>
              </w:rPr>
              <w:t>年均/累计</w:t>
            </w:r>
          </w:p>
        </w:tc>
      </w:tr>
      <w:tr w14:paraId="3F44C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482" w:hRule="atLeast"/>
        </w:trPr>
        <w:tc>
          <w:tcPr>
            <w:tcW w:w="353" w:type="pct"/>
            <w:vMerge w:val="restart"/>
            <w:shd w:val="clear" w:color="auto" w:fill="auto"/>
            <w:noWrap/>
            <w:vAlign w:val="center"/>
          </w:tcPr>
          <w:p w14:paraId="0D08F803">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b/>
                <w:bCs/>
                <w:i w:val="0"/>
                <w:iCs w:val="0"/>
                <w:color w:val="auto"/>
                <w:sz w:val="21"/>
                <w:szCs w:val="21"/>
                <w:highlight w:val="none"/>
                <w:u w:val="none"/>
              </w:rPr>
            </w:pPr>
            <w:r>
              <w:rPr>
                <w:rFonts w:hint="default" w:ascii="Times New Roman" w:hAnsi="Times New Roman" w:eastAsia="仿宋_GB2312" w:cs="Times New Roman"/>
                <w:b/>
                <w:bCs/>
                <w:i w:val="0"/>
                <w:iCs w:val="0"/>
                <w:color w:val="auto"/>
                <w:kern w:val="0"/>
                <w:sz w:val="21"/>
                <w:szCs w:val="21"/>
                <w:highlight w:val="none"/>
                <w:u w:val="none"/>
                <w:lang w:val="en-US" w:eastAsia="zh-CN" w:bidi="ar"/>
              </w:rPr>
              <w:t>经济发展</w:t>
            </w:r>
          </w:p>
        </w:tc>
        <w:tc>
          <w:tcPr>
            <w:tcW w:w="317" w:type="pct"/>
            <w:shd w:val="clear" w:color="auto" w:fill="auto"/>
            <w:noWrap/>
            <w:vAlign w:val="center"/>
          </w:tcPr>
          <w:p w14:paraId="463A676B">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1</w:t>
            </w:r>
          </w:p>
        </w:tc>
        <w:tc>
          <w:tcPr>
            <w:tcW w:w="2020" w:type="pct"/>
            <w:gridSpan w:val="2"/>
            <w:shd w:val="clear" w:color="auto" w:fill="auto"/>
            <w:vAlign w:val="center"/>
          </w:tcPr>
          <w:p w14:paraId="5DA18B36">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地区生产总值（亿元）及增速（%）</w:t>
            </w:r>
          </w:p>
        </w:tc>
        <w:tc>
          <w:tcPr>
            <w:tcW w:w="482" w:type="pct"/>
            <w:shd w:val="clear" w:color="auto" w:fill="auto"/>
            <w:noWrap/>
            <w:vAlign w:val="center"/>
          </w:tcPr>
          <w:p w14:paraId="41F5ECEB">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预期性</w:t>
            </w:r>
          </w:p>
        </w:tc>
        <w:tc>
          <w:tcPr>
            <w:tcW w:w="588" w:type="pct"/>
            <w:shd w:val="clear" w:color="auto" w:fill="auto"/>
            <w:vAlign w:val="center"/>
          </w:tcPr>
          <w:p w14:paraId="580A3DFE">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lang w:val="en-US" w:eastAsia="zh-CN"/>
              </w:rPr>
            </w:pPr>
            <w:r>
              <w:rPr>
                <w:rFonts w:hint="eastAsia" w:cs="Times New Roman"/>
                <w:i w:val="0"/>
                <w:iCs w:val="0"/>
                <w:color w:val="auto"/>
                <w:sz w:val="21"/>
                <w:szCs w:val="21"/>
                <w:highlight w:val="none"/>
                <w:u w:val="none"/>
                <w:lang w:val="en-US" w:eastAsia="zh-CN"/>
              </w:rPr>
              <w:t>40.0</w:t>
            </w:r>
          </w:p>
        </w:tc>
        <w:tc>
          <w:tcPr>
            <w:tcW w:w="596" w:type="pct"/>
            <w:shd w:val="clear" w:color="auto" w:fill="auto"/>
            <w:vAlign w:val="center"/>
          </w:tcPr>
          <w:p w14:paraId="55734F2E">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lang w:val="en-US"/>
              </w:rPr>
            </w:pPr>
            <w:r>
              <w:rPr>
                <w:rFonts w:hint="default" w:ascii="Times New Roman" w:hAnsi="Times New Roman" w:eastAsia="仿宋_GB2312" w:cs="Times New Roman"/>
                <w:i w:val="0"/>
                <w:iCs w:val="0"/>
                <w:color w:val="auto"/>
                <w:kern w:val="0"/>
                <w:sz w:val="21"/>
                <w:szCs w:val="21"/>
                <w:highlight w:val="none"/>
                <w:u w:val="none"/>
                <w:lang w:val="en-US" w:eastAsia="zh-CN" w:bidi="ar"/>
              </w:rPr>
              <w:t>50</w:t>
            </w:r>
          </w:p>
        </w:tc>
        <w:tc>
          <w:tcPr>
            <w:tcW w:w="640" w:type="pct"/>
            <w:shd w:val="clear" w:color="auto" w:fill="auto"/>
            <w:vAlign w:val="center"/>
          </w:tcPr>
          <w:p w14:paraId="0067CA3E">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lang w:val="en-US"/>
              </w:rPr>
            </w:pPr>
            <w:r>
              <w:rPr>
                <w:rFonts w:hint="eastAsia" w:cs="Times New Roman"/>
                <w:i w:val="0"/>
                <w:iCs w:val="0"/>
                <w:color w:val="auto"/>
                <w:kern w:val="0"/>
                <w:sz w:val="21"/>
                <w:szCs w:val="21"/>
                <w:highlight w:val="none"/>
                <w:u w:val="none"/>
                <w:lang w:val="en-US" w:eastAsia="zh-CN" w:bidi="ar"/>
              </w:rPr>
              <w:t>5</w:t>
            </w:r>
          </w:p>
        </w:tc>
      </w:tr>
      <w:tr w14:paraId="7BD1B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482" w:hRule="atLeast"/>
        </w:trPr>
        <w:tc>
          <w:tcPr>
            <w:tcW w:w="353" w:type="pct"/>
            <w:vMerge w:val="continue"/>
            <w:shd w:val="clear" w:color="auto" w:fill="auto"/>
            <w:noWrap/>
            <w:vAlign w:val="center"/>
          </w:tcPr>
          <w:p w14:paraId="07D8170A">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default" w:ascii="Times New Roman" w:hAnsi="Times New Roman" w:eastAsia="仿宋_GB2312" w:cs="Times New Roman"/>
                <w:b/>
                <w:bCs/>
                <w:i w:val="0"/>
                <w:iCs w:val="0"/>
                <w:color w:val="auto"/>
                <w:sz w:val="21"/>
                <w:szCs w:val="21"/>
                <w:highlight w:val="none"/>
                <w:u w:val="none"/>
              </w:rPr>
            </w:pPr>
          </w:p>
        </w:tc>
        <w:tc>
          <w:tcPr>
            <w:tcW w:w="317" w:type="pct"/>
            <w:shd w:val="clear" w:color="auto" w:fill="auto"/>
            <w:noWrap/>
            <w:vAlign w:val="center"/>
          </w:tcPr>
          <w:p w14:paraId="100BD96B">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2</w:t>
            </w:r>
          </w:p>
        </w:tc>
        <w:tc>
          <w:tcPr>
            <w:tcW w:w="2020" w:type="pct"/>
            <w:gridSpan w:val="2"/>
            <w:shd w:val="clear" w:color="auto" w:fill="auto"/>
            <w:vAlign w:val="center"/>
          </w:tcPr>
          <w:p w14:paraId="5EC8FA49">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固定资产累计投资增长（%）</w:t>
            </w:r>
          </w:p>
        </w:tc>
        <w:tc>
          <w:tcPr>
            <w:tcW w:w="482" w:type="pct"/>
            <w:shd w:val="clear" w:color="auto" w:fill="auto"/>
            <w:noWrap/>
            <w:vAlign w:val="center"/>
          </w:tcPr>
          <w:p w14:paraId="60B3992E">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预期性</w:t>
            </w:r>
          </w:p>
        </w:tc>
        <w:tc>
          <w:tcPr>
            <w:tcW w:w="588" w:type="pct"/>
            <w:shd w:val="clear" w:color="auto" w:fill="auto"/>
            <w:vAlign w:val="center"/>
          </w:tcPr>
          <w:p w14:paraId="70FFA0F9">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lang w:val="en-US"/>
              </w:rPr>
            </w:pPr>
            <w:r>
              <w:rPr>
                <w:rFonts w:hint="eastAsia" w:cs="Times New Roman"/>
                <w:i w:val="0"/>
                <w:iCs w:val="0"/>
                <w:color w:val="auto"/>
                <w:kern w:val="0"/>
                <w:sz w:val="21"/>
                <w:szCs w:val="21"/>
                <w:highlight w:val="none"/>
                <w:u w:val="none"/>
                <w:lang w:val="en-US" w:eastAsia="zh-CN" w:bidi="ar"/>
              </w:rPr>
              <w:t>317.0</w:t>
            </w:r>
          </w:p>
        </w:tc>
        <w:tc>
          <w:tcPr>
            <w:tcW w:w="596" w:type="pct"/>
            <w:shd w:val="clear" w:color="auto" w:fill="auto"/>
            <w:vAlign w:val="center"/>
          </w:tcPr>
          <w:p w14:paraId="43F111CB">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w:t>
            </w:r>
          </w:p>
        </w:tc>
        <w:tc>
          <w:tcPr>
            <w:tcW w:w="640" w:type="pct"/>
            <w:shd w:val="clear" w:color="auto" w:fill="auto"/>
            <w:vAlign w:val="center"/>
          </w:tcPr>
          <w:p w14:paraId="3AB02B37">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eastAsia" w:cs="Times New Roman"/>
                <w:i w:val="0"/>
                <w:iCs w:val="0"/>
                <w:color w:val="auto"/>
                <w:kern w:val="0"/>
                <w:sz w:val="21"/>
                <w:szCs w:val="21"/>
                <w:highlight w:val="none"/>
                <w:u w:val="none"/>
                <w:lang w:val="en-US" w:eastAsia="zh-CN" w:bidi="ar"/>
              </w:rPr>
              <w:t>6</w:t>
            </w:r>
          </w:p>
        </w:tc>
      </w:tr>
      <w:tr w14:paraId="7CF18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482" w:hRule="atLeast"/>
        </w:trPr>
        <w:tc>
          <w:tcPr>
            <w:tcW w:w="353" w:type="pct"/>
            <w:vMerge w:val="continue"/>
            <w:shd w:val="clear" w:color="auto" w:fill="auto"/>
            <w:noWrap/>
            <w:vAlign w:val="center"/>
          </w:tcPr>
          <w:p w14:paraId="3D048626">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default" w:ascii="Times New Roman" w:hAnsi="Times New Roman" w:eastAsia="仿宋_GB2312" w:cs="Times New Roman"/>
                <w:b/>
                <w:bCs/>
                <w:i w:val="0"/>
                <w:iCs w:val="0"/>
                <w:color w:val="auto"/>
                <w:sz w:val="21"/>
                <w:szCs w:val="21"/>
                <w:highlight w:val="none"/>
                <w:u w:val="none"/>
              </w:rPr>
            </w:pPr>
          </w:p>
        </w:tc>
        <w:tc>
          <w:tcPr>
            <w:tcW w:w="317" w:type="pct"/>
            <w:shd w:val="clear" w:color="auto" w:fill="auto"/>
            <w:noWrap/>
            <w:vAlign w:val="center"/>
          </w:tcPr>
          <w:p w14:paraId="06B35A5B">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3</w:t>
            </w:r>
          </w:p>
        </w:tc>
        <w:tc>
          <w:tcPr>
            <w:tcW w:w="2020" w:type="pct"/>
            <w:gridSpan w:val="2"/>
            <w:shd w:val="clear" w:color="auto" w:fill="auto"/>
            <w:vAlign w:val="center"/>
          </w:tcPr>
          <w:p w14:paraId="6407124F">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旅游总花费增长（%）</w:t>
            </w:r>
          </w:p>
        </w:tc>
        <w:tc>
          <w:tcPr>
            <w:tcW w:w="482" w:type="pct"/>
            <w:shd w:val="clear" w:color="auto" w:fill="auto"/>
            <w:noWrap/>
            <w:vAlign w:val="center"/>
          </w:tcPr>
          <w:p w14:paraId="0EF0C67D">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预期性</w:t>
            </w:r>
          </w:p>
        </w:tc>
        <w:tc>
          <w:tcPr>
            <w:tcW w:w="588" w:type="pct"/>
            <w:shd w:val="clear" w:color="auto" w:fill="auto"/>
            <w:vAlign w:val="center"/>
          </w:tcPr>
          <w:p w14:paraId="37697C61">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15.24</w:t>
            </w:r>
          </w:p>
        </w:tc>
        <w:tc>
          <w:tcPr>
            <w:tcW w:w="596" w:type="pct"/>
            <w:shd w:val="clear" w:color="auto" w:fill="auto"/>
            <w:vAlign w:val="center"/>
          </w:tcPr>
          <w:p w14:paraId="3752F3F9">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w:t>
            </w:r>
          </w:p>
        </w:tc>
        <w:tc>
          <w:tcPr>
            <w:tcW w:w="640" w:type="pct"/>
            <w:shd w:val="clear" w:color="auto" w:fill="auto"/>
            <w:vAlign w:val="center"/>
          </w:tcPr>
          <w:p w14:paraId="66D3A548">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10</w:t>
            </w:r>
          </w:p>
        </w:tc>
      </w:tr>
      <w:tr w14:paraId="2F4A5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482" w:hRule="atLeast"/>
        </w:trPr>
        <w:tc>
          <w:tcPr>
            <w:tcW w:w="353" w:type="pct"/>
            <w:vMerge w:val="continue"/>
            <w:shd w:val="clear" w:color="auto" w:fill="auto"/>
            <w:noWrap/>
            <w:vAlign w:val="center"/>
          </w:tcPr>
          <w:p w14:paraId="0973EB9A">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default" w:ascii="Times New Roman" w:hAnsi="Times New Roman" w:eastAsia="仿宋_GB2312" w:cs="Times New Roman"/>
                <w:b/>
                <w:bCs/>
                <w:i w:val="0"/>
                <w:iCs w:val="0"/>
                <w:color w:val="auto"/>
                <w:sz w:val="21"/>
                <w:szCs w:val="21"/>
                <w:highlight w:val="none"/>
                <w:u w:val="none"/>
              </w:rPr>
            </w:pPr>
          </w:p>
        </w:tc>
        <w:tc>
          <w:tcPr>
            <w:tcW w:w="317" w:type="pct"/>
            <w:shd w:val="clear" w:color="auto" w:fill="auto"/>
            <w:noWrap/>
            <w:vAlign w:val="center"/>
          </w:tcPr>
          <w:p w14:paraId="50C97891">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4</w:t>
            </w:r>
          </w:p>
        </w:tc>
        <w:tc>
          <w:tcPr>
            <w:tcW w:w="2020" w:type="pct"/>
            <w:gridSpan w:val="2"/>
            <w:shd w:val="clear" w:color="auto" w:fill="auto"/>
            <w:vAlign w:val="center"/>
          </w:tcPr>
          <w:p w14:paraId="3F8797DB">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全员劳动生产率增长（%）</w:t>
            </w:r>
          </w:p>
        </w:tc>
        <w:tc>
          <w:tcPr>
            <w:tcW w:w="482" w:type="pct"/>
            <w:shd w:val="clear" w:color="auto" w:fill="auto"/>
            <w:noWrap/>
            <w:vAlign w:val="center"/>
          </w:tcPr>
          <w:p w14:paraId="3FFEC842">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预期性</w:t>
            </w:r>
          </w:p>
        </w:tc>
        <w:tc>
          <w:tcPr>
            <w:tcW w:w="588" w:type="pct"/>
            <w:shd w:val="clear" w:color="auto" w:fill="auto"/>
            <w:vAlign w:val="center"/>
          </w:tcPr>
          <w:p w14:paraId="1EEBFB0B">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w:t>
            </w:r>
          </w:p>
        </w:tc>
        <w:tc>
          <w:tcPr>
            <w:tcW w:w="596" w:type="pct"/>
            <w:shd w:val="clear" w:color="auto" w:fill="auto"/>
            <w:vAlign w:val="center"/>
          </w:tcPr>
          <w:p w14:paraId="269A09A3">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w:t>
            </w:r>
          </w:p>
        </w:tc>
        <w:tc>
          <w:tcPr>
            <w:tcW w:w="640" w:type="pct"/>
            <w:shd w:val="clear" w:color="auto" w:fill="auto"/>
            <w:vAlign w:val="center"/>
          </w:tcPr>
          <w:p w14:paraId="65855A5E">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lang w:val="en-US" w:eastAsia="zh-CN"/>
              </w:rPr>
            </w:pPr>
            <w:r>
              <w:rPr>
                <w:rFonts w:hint="default" w:ascii="Times New Roman" w:hAnsi="Times New Roman" w:eastAsia="仿宋_GB2312" w:cs="Times New Roman"/>
                <w:i w:val="0"/>
                <w:iCs w:val="0"/>
                <w:color w:val="auto"/>
                <w:sz w:val="21"/>
                <w:szCs w:val="21"/>
                <w:highlight w:val="none"/>
                <w:u w:val="none"/>
                <w:lang w:val="en-US" w:eastAsia="zh-CN"/>
              </w:rPr>
              <w:t>高于GDP增长</w:t>
            </w:r>
          </w:p>
        </w:tc>
      </w:tr>
      <w:tr w14:paraId="6B3C7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482" w:hRule="atLeast"/>
        </w:trPr>
        <w:tc>
          <w:tcPr>
            <w:tcW w:w="353" w:type="pct"/>
            <w:vMerge w:val="continue"/>
            <w:shd w:val="clear" w:color="auto" w:fill="auto"/>
            <w:noWrap/>
            <w:vAlign w:val="center"/>
          </w:tcPr>
          <w:p w14:paraId="0A8182D0">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default" w:ascii="Times New Roman" w:hAnsi="Times New Roman" w:eastAsia="仿宋_GB2312" w:cs="Times New Roman"/>
                <w:b/>
                <w:bCs/>
                <w:i w:val="0"/>
                <w:iCs w:val="0"/>
                <w:color w:val="auto"/>
                <w:sz w:val="21"/>
                <w:szCs w:val="21"/>
                <w:highlight w:val="none"/>
                <w:u w:val="none"/>
              </w:rPr>
            </w:pPr>
          </w:p>
        </w:tc>
        <w:tc>
          <w:tcPr>
            <w:tcW w:w="317" w:type="pct"/>
            <w:shd w:val="clear" w:color="auto" w:fill="auto"/>
            <w:noWrap/>
            <w:vAlign w:val="center"/>
          </w:tcPr>
          <w:p w14:paraId="67FE4A06">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5</w:t>
            </w:r>
          </w:p>
        </w:tc>
        <w:tc>
          <w:tcPr>
            <w:tcW w:w="2020" w:type="pct"/>
            <w:gridSpan w:val="2"/>
            <w:shd w:val="clear" w:color="auto" w:fill="auto"/>
            <w:vAlign w:val="center"/>
          </w:tcPr>
          <w:p w14:paraId="7E2DB581">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常住人口城镇化率（%）</w:t>
            </w:r>
          </w:p>
        </w:tc>
        <w:tc>
          <w:tcPr>
            <w:tcW w:w="482" w:type="pct"/>
            <w:shd w:val="clear" w:color="auto" w:fill="auto"/>
            <w:noWrap/>
            <w:vAlign w:val="center"/>
          </w:tcPr>
          <w:p w14:paraId="0AA61DA4">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预期性</w:t>
            </w:r>
          </w:p>
        </w:tc>
        <w:tc>
          <w:tcPr>
            <w:tcW w:w="588" w:type="pct"/>
            <w:shd w:val="clear" w:color="auto" w:fill="auto"/>
            <w:vAlign w:val="center"/>
          </w:tcPr>
          <w:p w14:paraId="622C7F87">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41.9</w:t>
            </w:r>
          </w:p>
        </w:tc>
        <w:tc>
          <w:tcPr>
            <w:tcW w:w="596" w:type="pct"/>
            <w:shd w:val="clear" w:color="auto" w:fill="auto"/>
            <w:vAlign w:val="center"/>
          </w:tcPr>
          <w:p w14:paraId="5FCB5D81">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45</w:t>
            </w:r>
          </w:p>
        </w:tc>
        <w:tc>
          <w:tcPr>
            <w:tcW w:w="640" w:type="pct"/>
            <w:shd w:val="clear" w:color="auto" w:fill="auto"/>
            <w:vAlign w:val="center"/>
          </w:tcPr>
          <w:p w14:paraId="2F3389F6">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w:t>
            </w:r>
          </w:p>
        </w:tc>
      </w:tr>
      <w:tr w14:paraId="71CD7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482" w:hRule="atLeast"/>
        </w:trPr>
        <w:tc>
          <w:tcPr>
            <w:tcW w:w="353" w:type="pct"/>
            <w:vMerge w:val="restart"/>
            <w:shd w:val="clear" w:color="auto" w:fill="auto"/>
            <w:noWrap/>
            <w:vAlign w:val="center"/>
          </w:tcPr>
          <w:p w14:paraId="5F8DC200">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b/>
                <w:bCs/>
                <w:i w:val="0"/>
                <w:iCs w:val="0"/>
                <w:color w:val="auto"/>
                <w:sz w:val="21"/>
                <w:szCs w:val="21"/>
                <w:highlight w:val="none"/>
                <w:u w:val="none"/>
              </w:rPr>
            </w:pPr>
            <w:r>
              <w:rPr>
                <w:rFonts w:hint="default" w:ascii="Times New Roman" w:hAnsi="Times New Roman" w:eastAsia="仿宋_GB2312" w:cs="Times New Roman"/>
                <w:b/>
                <w:bCs/>
                <w:i w:val="0"/>
                <w:iCs w:val="0"/>
                <w:color w:val="auto"/>
                <w:kern w:val="0"/>
                <w:sz w:val="21"/>
                <w:szCs w:val="21"/>
                <w:highlight w:val="none"/>
                <w:u w:val="none"/>
                <w:lang w:val="en-US" w:eastAsia="zh-CN" w:bidi="ar"/>
              </w:rPr>
              <w:t>创新驱动</w:t>
            </w:r>
          </w:p>
        </w:tc>
        <w:tc>
          <w:tcPr>
            <w:tcW w:w="317" w:type="pct"/>
            <w:shd w:val="clear" w:color="auto" w:fill="auto"/>
            <w:noWrap/>
            <w:vAlign w:val="center"/>
          </w:tcPr>
          <w:p w14:paraId="30EE8B68">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6</w:t>
            </w:r>
          </w:p>
        </w:tc>
        <w:tc>
          <w:tcPr>
            <w:tcW w:w="2020" w:type="pct"/>
            <w:gridSpan w:val="2"/>
            <w:shd w:val="clear" w:color="auto" w:fill="auto"/>
            <w:vAlign w:val="center"/>
          </w:tcPr>
          <w:p w14:paraId="530FB248">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全社会研发经费投入增长（%）</w:t>
            </w:r>
          </w:p>
        </w:tc>
        <w:tc>
          <w:tcPr>
            <w:tcW w:w="482" w:type="pct"/>
            <w:shd w:val="clear" w:color="auto" w:fill="auto"/>
            <w:noWrap/>
            <w:vAlign w:val="center"/>
          </w:tcPr>
          <w:p w14:paraId="0DDB879A">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预期性</w:t>
            </w:r>
          </w:p>
        </w:tc>
        <w:tc>
          <w:tcPr>
            <w:tcW w:w="588" w:type="pct"/>
            <w:shd w:val="clear" w:color="auto" w:fill="auto"/>
            <w:vAlign w:val="center"/>
          </w:tcPr>
          <w:p w14:paraId="7D39AB52">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w:t>
            </w:r>
          </w:p>
        </w:tc>
        <w:tc>
          <w:tcPr>
            <w:tcW w:w="596" w:type="pct"/>
            <w:shd w:val="clear" w:color="auto" w:fill="auto"/>
            <w:vAlign w:val="center"/>
          </w:tcPr>
          <w:p w14:paraId="001E9F92">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完成上级下达目标</w:t>
            </w:r>
          </w:p>
        </w:tc>
        <w:tc>
          <w:tcPr>
            <w:tcW w:w="640" w:type="pct"/>
            <w:shd w:val="clear" w:color="auto" w:fill="auto"/>
            <w:vAlign w:val="center"/>
          </w:tcPr>
          <w:p w14:paraId="00FD0086">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sz w:val="21"/>
                <w:szCs w:val="21"/>
                <w:highlight w:val="none"/>
                <w:u w:val="none"/>
              </w:rPr>
              <w:t>——</w:t>
            </w:r>
          </w:p>
        </w:tc>
      </w:tr>
      <w:tr w14:paraId="5BF3D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482" w:hRule="atLeast"/>
        </w:trPr>
        <w:tc>
          <w:tcPr>
            <w:tcW w:w="353" w:type="pct"/>
            <w:vMerge w:val="continue"/>
            <w:shd w:val="clear" w:color="auto" w:fill="auto"/>
            <w:noWrap/>
            <w:vAlign w:val="center"/>
          </w:tcPr>
          <w:p w14:paraId="26DD746C">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default" w:ascii="Times New Roman" w:hAnsi="Times New Roman" w:eastAsia="仿宋_GB2312" w:cs="Times New Roman"/>
                <w:b/>
                <w:bCs/>
                <w:i w:val="0"/>
                <w:iCs w:val="0"/>
                <w:color w:val="auto"/>
                <w:sz w:val="21"/>
                <w:szCs w:val="21"/>
                <w:highlight w:val="none"/>
                <w:u w:val="none"/>
              </w:rPr>
            </w:pPr>
          </w:p>
        </w:tc>
        <w:tc>
          <w:tcPr>
            <w:tcW w:w="317" w:type="pct"/>
            <w:shd w:val="clear" w:color="auto" w:fill="auto"/>
            <w:noWrap/>
            <w:vAlign w:val="center"/>
          </w:tcPr>
          <w:p w14:paraId="791B04B7">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7</w:t>
            </w:r>
          </w:p>
        </w:tc>
        <w:tc>
          <w:tcPr>
            <w:tcW w:w="2020" w:type="pct"/>
            <w:gridSpan w:val="2"/>
            <w:shd w:val="clear" w:color="auto" w:fill="auto"/>
            <w:vAlign w:val="center"/>
          </w:tcPr>
          <w:p w14:paraId="56A7E4D0">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高价值发明专利拥有量（件）</w:t>
            </w:r>
          </w:p>
        </w:tc>
        <w:tc>
          <w:tcPr>
            <w:tcW w:w="482" w:type="pct"/>
            <w:shd w:val="clear" w:color="auto" w:fill="auto"/>
            <w:noWrap/>
            <w:vAlign w:val="center"/>
          </w:tcPr>
          <w:p w14:paraId="292953EB">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预期性</w:t>
            </w:r>
          </w:p>
        </w:tc>
        <w:tc>
          <w:tcPr>
            <w:tcW w:w="588" w:type="pct"/>
            <w:shd w:val="clear" w:color="auto" w:fill="auto"/>
            <w:vAlign w:val="center"/>
          </w:tcPr>
          <w:p w14:paraId="5528277F">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0</w:t>
            </w:r>
          </w:p>
        </w:tc>
        <w:tc>
          <w:tcPr>
            <w:tcW w:w="596" w:type="pct"/>
            <w:shd w:val="clear" w:color="auto" w:fill="auto"/>
            <w:vAlign w:val="center"/>
          </w:tcPr>
          <w:p w14:paraId="0A8088F8">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1</w:t>
            </w:r>
          </w:p>
        </w:tc>
        <w:tc>
          <w:tcPr>
            <w:tcW w:w="640" w:type="pct"/>
            <w:shd w:val="clear" w:color="auto" w:fill="auto"/>
            <w:vAlign w:val="center"/>
          </w:tcPr>
          <w:p w14:paraId="645D53F8">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w:t>
            </w:r>
          </w:p>
        </w:tc>
      </w:tr>
      <w:tr w14:paraId="3DECD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482" w:hRule="atLeast"/>
        </w:trPr>
        <w:tc>
          <w:tcPr>
            <w:tcW w:w="353" w:type="pct"/>
            <w:vMerge w:val="continue"/>
            <w:shd w:val="clear" w:color="auto" w:fill="auto"/>
            <w:noWrap/>
            <w:vAlign w:val="center"/>
          </w:tcPr>
          <w:p w14:paraId="0357BF1A">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default" w:ascii="Times New Roman" w:hAnsi="Times New Roman" w:eastAsia="仿宋_GB2312" w:cs="Times New Roman"/>
                <w:b/>
                <w:bCs/>
                <w:i w:val="0"/>
                <w:iCs w:val="0"/>
                <w:color w:val="auto"/>
                <w:sz w:val="21"/>
                <w:szCs w:val="21"/>
                <w:highlight w:val="none"/>
                <w:u w:val="none"/>
              </w:rPr>
            </w:pPr>
          </w:p>
        </w:tc>
        <w:tc>
          <w:tcPr>
            <w:tcW w:w="317" w:type="pct"/>
            <w:shd w:val="clear" w:color="auto" w:fill="auto"/>
            <w:noWrap/>
            <w:vAlign w:val="center"/>
          </w:tcPr>
          <w:p w14:paraId="59190B8C">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8</w:t>
            </w:r>
          </w:p>
        </w:tc>
        <w:tc>
          <w:tcPr>
            <w:tcW w:w="2020" w:type="pct"/>
            <w:gridSpan w:val="2"/>
            <w:shd w:val="clear" w:color="auto" w:fill="auto"/>
            <w:vAlign w:val="center"/>
          </w:tcPr>
          <w:p w14:paraId="28B7E412">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数字经济核心产业增加值占GDP比重（%）</w:t>
            </w:r>
          </w:p>
        </w:tc>
        <w:tc>
          <w:tcPr>
            <w:tcW w:w="482" w:type="pct"/>
            <w:shd w:val="clear" w:color="auto" w:fill="auto"/>
            <w:noWrap/>
            <w:vAlign w:val="center"/>
          </w:tcPr>
          <w:p w14:paraId="3F38BAFD">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预期性</w:t>
            </w:r>
          </w:p>
        </w:tc>
        <w:tc>
          <w:tcPr>
            <w:tcW w:w="588" w:type="pct"/>
            <w:shd w:val="clear" w:color="auto" w:fill="auto"/>
            <w:vAlign w:val="center"/>
          </w:tcPr>
          <w:p w14:paraId="7FB5006C">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w:t>
            </w:r>
          </w:p>
        </w:tc>
        <w:tc>
          <w:tcPr>
            <w:tcW w:w="596" w:type="pct"/>
            <w:shd w:val="clear" w:color="auto" w:fill="auto"/>
            <w:vAlign w:val="center"/>
          </w:tcPr>
          <w:p w14:paraId="025BFA0F">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3.2</w:t>
            </w:r>
          </w:p>
        </w:tc>
        <w:tc>
          <w:tcPr>
            <w:tcW w:w="640" w:type="pct"/>
            <w:shd w:val="clear" w:color="auto" w:fill="auto"/>
            <w:vAlign w:val="center"/>
          </w:tcPr>
          <w:p w14:paraId="32CB52FE">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w:t>
            </w:r>
          </w:p>
        </w:tc>
      </w:tr>
      <w:tr w14:paraId="7A388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482" w:hRule="atLeast"/>
        </w:trPr>
        <w:tc>
          <w:tcPr>
            <w:tcW w:w="353" w:type="pct"/>
            <w:vMerge w:val="restart"/>
            <w:shd w:val="clear" w:color="auto" w:fill="auto"/>
            <w:noWrap/>
            <w:vAlign w:val="center"/>
          </w:tcPr>
          <w:p w14:paraId="3B0B0F24">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b/>
                <w:bCs/>
                <w:i w:val="0"/>
                <w:iCs w:val="0"/>
                <w:color w:val="auto"/>
                <w:sz w:val="21"/>
                <w:szCs w:val="21"/>
                <w:highlight w:val="none"/>
                <w:u w:val="none"/>
              </w:rPr>
            </w:pPr>
            <w:r>
              <w:rPr>
                <w:rFonts w:hint="default" w:ascii="Times New Roman" w:hAnsi="Times New Roman" w:eastAsia="仿宋_GB2312" w:cs="Times New Roman"/>
                <w:b/>
                <w:bCs/>
                <w:i w:val="0"/>
                <w:iCs w:val="0"/>
                <w:color w:val="auto"/>
                <w:kern w:val="0"/>
                <w:sz w:val="21"/>
                <w:szCs w:val="21"/>
                <w:highlight w:val="none"/>
                <w:u w:val="none"/>
                <w:lang w:val="en-US" w:eastAsia="zh-CN" w:bidi="ar"/>
              </w:rPr>
              <w:t>民生福祉</w:t>
            </w:r>
          </w:p>
        </w:tc>
        <w:tc>
          <w:tcPr>
            <w:tcW w:w="317" w:type="pct"/>
            <w:shd w:val="clear" w:color="auto" w:fill="auto"/>
            <w:noWrap/>
            <w:vAlign w:val="center"/>
          </w:tcPr>
          <w:p w14:paraId="2DAEC609">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9</w:t>
            </w:r>
          </w:p>
        </w:tc>
        <w:tc>
          <w:tcPr>
            <w:tcW w:w="2020" w:type="pct"/>
            <w:gridSpan w:val="2"/>
            <w:shd w:val="clear" w:color="auto" w:fill="auto"/>
            <w:vAlign w:val="center"/>
          </w:tcPr>
          <w:p w14:paraId="46DABC8C">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城镇调查失业率</w:t>
            </w:r>
            <w:r>
              <w:rPr>
                <w:rFonts w:hint="eastAsia" w:cs="Times New Roman"/>
                <w:i w:val="0"/>
                <w:iCs w:val="0"/>
                <w:color w:val="auto"/>
                <w:kern w:val="0"/>
                <w:sz w:val="21"/>
                <w:szCs w:val="21"/>
                <w:highlight w:val="none"/>
                <w:u w:val="none"/>
                <w:lang w:val="en-US" w:eastAsia="zh-CN" w:bidi="ar"/>
              </w:rPr>
              <w:t>（</w:t>
            </w:r>
            <w:r>
              <w:rPr>
                <w:rFonts w:hint="default" w:ascii="Times New Roman" w:hAnsi="Times New Roman" w:eastAsia="仿宋_GB2312" w:cs="Times New Roman"/>
                <w:i w:val="0"/>
                <w:iCs w:val="0"/>
                <w:color w:val="auto"/>
                <w:kern w:val="0"/>
                <w:sz w:val="21"/>
                <w:szCs w:val="21"/>
                <w:highlight w:val="none"/>
                <w:u w:val="none"/>
                <w:lang w:val="en-US" w:eastAsia="zh-CN" w:bidi="ar"/>
              </w:rPr>
              <w:t>%</w:t>
            </w:r>
            <w:r>
              <w:rPr>
                <w:rFonts w:hint="eastAsia" w:cs="Times New Roman"/>
                <w:i w:val="0"/>
                <w:iCs w:val="0"/>
                <w:color w:val="auto"/>
                <w:kern w:val="0"/>
                <w:sz w:val="21"/>
                <w:szCs w:val="21"/>
                <w:highlight w:val="none"/>
                <w:u w:val="none"/>
                <w:lang w:val="en-US" w:eastAsia="zh-CN" w:bidi="ar"/>
              </w:rPr>
              <w:t>）</w:t>
            </w:r>
          </w:p>
        </w:tc>
        <w:tc>
          <w:tcPr>
            <w:tcW w:w="482" w:type="pct"/>
            <w:shd w:val="clear" w:color="auto" w:fill="auto"/>
            <w:noWrap/>
            <w:vAlign w:val="center"/>
          </w:tcPr>
          <w:p w14:paraId="27C30520">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kern w:val="2"/>
                <w:sz w:val="21"/>
                <w:szCs w:val="21"/>
                <w:highlight w:val="none"/>
                <w:u w:val="none"/>
                <w:lang w:val="en-US" w:eastAsia="zh-CN" w:bidi="ar-SA"/>
              </w:rPr>
            </w:pPr>
            <w:r>
              <w:rPr>
                <w:rFonts w:hint="default" w:ascii="Times New Roman" w:hAnsi="Times New Roman" w:eastAsia="仿宋_GB2312" w:cs="Times New Roman"/>
                <w:i w:val="0"/>
                <w:iCs w:val="0"/>
                <w:color w:val="auto"/>
                <w:kern w:val="0"/>
                <w:sz w:val="21"/>
                <w:szCs w:val="21"/>
                <w:highlight w:val="none"/>
                <w:u w:val="none"/>
                <w:lang w:val="en-US" w:eastAsia="zh-CN" w:bidi="ar"/>
              </w:rPr>
              <w:t>预期性</w:t>
            </w:r>
          </w:p>
        </w:tc>
        <w:tc>
          <w:tcPr>
            <w:tcW w:w="588" w:type="pct"/>
            <w:shd w:val="clear" w:color="auto" w:fill="auto"/>
            <w:vAlign w:val="center"/>
          </w:tcPr>
          <w:p w14:paraId="742C09C4">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kern w:val="2"/>
                <w:sz w:val="21"/>
                <w:szCs w:val="21"/>
                <w:highlight w:val="none"/>
                <w:u w:val="none"/>
                <w:lang w:val="en-US" w:eastAsia="zh-CN" w:bidi="ar-SA"/>
              </w:rPr>
            </w:pPr>
            <w:r>
              <w:rPr>
                <w:rFonts w:hint="default" w:ascii="Times New Roman" w:hAnsi="Times New Roman" w:eastAsia="楷体_GB2312" w:cs="Times New Roman"/>
                <w:b w:val="0"/>
                <w:bCs w:val="0"/>
                <w:i w:val="0"/>
                <w:iCs w:val="0"/>
                <w:color w:val="auto"/>
                <w:kern w:val="0"/>
                <w:sz w:val="21"/>
                <w:szCs w:val="21"/>
                <w:highlight w:val="none"/>
                <w:u w:val="none"/>
                <w:lang w:val="en-US" w:eastAsia="zh-CN" w:bidi="ar"/>
              </w:rPr>
              <w:t>≤5.5</w:t>
            </w:r>
          </w:p>
        </w:tc>
        <w:tc>
          <w:tcPr>
            <w:tcW w:w="596" w:type="pct"/>
            <w:shd w:val="clear" w:color="auto" w:fill="auto"/>
            <w:vAlign w:val="center"/>
          </w:tcPr>
          <w:p w14:paraId="649A61B0">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kern w:val="2"/>
                <w:sz w:val="21"/>
                <w:szCs w:val="21"/>
                <w:highlight w:val="none"/>
                <w:u w:val="none"/>
                <w:lang w:val="en-US" w:eastAsia="zh-CN" w:bidi="ar-SA"/>
              </w:rPr>
            </w:pPr>
            <w:r>
              <w:rPr>
                <w:rFonts w:hint="default" w:ascii="Times New Roman" w:hAnsi="Times New Roman" w:eastAsia="楷体_GB2312" w:cs="Times New Roman"/>
                <w:b w:val="0"/>
                <w:bCs w:val="0"/>
                <w:i w:val="0"/>
                <w:iCs w:val="0"/>
                <w:color w:val="auto"/>
                <w:kern w:val="0"/>
                <w:sz w:val="21"/>
                <w:szCs w:val="21"/>
                <w:highlight w:val="none"/>
                <w:u w:val="none"/>
                <w:lang w:val="en-US" w:eastAsia="zh-CN" w:bidi="ar"/>
              </w:rPr>
              <w:t>≤5.5</w:t>
            </w:r>
          </w:p>
        </w:tc>
        <w:tc>
          <w:tcPr>
            <w:tcW w:w="640" w:type="pct"/>
            <w:shd w:val="clear" w:color="auto" w:fill="auto"/>
            <w:vAlign w:val="center"/>
          </w:tcPr>
          <w:p w14:paraId="4BA1937D">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2"/>
                <w:sz w:val="21"/>
                <w:szCs w:val="21"/>
                <w:highlight w:val="none"/>
                <w:u w:val="none"/>
                <w:lang w:val="en-US" w:eastAsia="zh-CN" w:bidi="ar-SA"/>
              </w:rPr>
            </w:pPr>
            <w:r>
              <w:rPr>
                <w:rFonts w:hint="default" w:ascii="Times New Roman" w:hAnsi="Times New Roman" w:eastAsia="楷体_GB2312" w:cs="Times New Roman"/>
                <w:i w:val="0"/>
                <w:iCs w:val="0"/>
                <w:color w:val="auto"/>
                <w:kern w:val="0"/>
                <w:sz w:val="21"/>
                <w:szCs w:val="21"/>
                <w:highlight w:val="none"/>
                <w:u w:val="none"/>
                <w:lang w:val="en-US" w:eastAsia="zh-CN" w:bidi="ar"/>
              </w:rPr>
              <w:t>—</w:t>
            </w:r>
          </w:p>
        </w:tc>
      </w:tr>
      <w:tr w14:paraId="011A9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482" w:hRule="atLeast"/>
        </w:trPr>
        <w:tc>
          <w:tcPr>
            <w:tcW w:w="353" w:type="pct"/>
            <w:vMerge w:val="continue"/>
            <w:shd w:val="clear" w:color="auto" w:fill="auto"/>
            <w:noWrap/>
            <w:vAlign w:val="center"/>
          </w:tcPr>
          <w:p w14:paraId="214ED398">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b/>
                <w:bCs/>
                <w:i w:val="0"/>
                <w:iCs w:val="0"/>
                <w:color w:val="auto"/>
                <w:sz w:val="21"/>
                <w:szCs w:val="21"/>
                <w:highlight w:val="none"/>
                <w:u w:val="none"/>
              </w:rPr>
            </w:pPr>
          </w:p>
        </w:tc>
        <w:tc>
          <w:tcPr>
            <w:tcW w:w="317" w:type="pct"/>
            <w:shd w:val="clear" w:color="auto" w:fill="auto"/>
            <w:noWrap/>
            <w:vAlign w:val="center"/>
          </w:tcPr>
          <w:p w14:paraId="3503B5A4">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10</w:t>
            </w:r>
          </w:p>
        </w:tc>
        <w:tc>
          <w:tcPr>
            <w:tcW w:w="2020" w:type="pct"/>
            <w:gridSpan w:val="2"/>
            <w:shd w:val="clear" w:color="auto" w:fill="auto"/>
            <w:vAlign w:val="center"/>
          </w:tcPr>
          <w:p w14:paraId="277B7A67">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居民人均可支配收入增长（%）</w:t>
            </w:r>
          </w:p>
        </w:tc>
        <w:tc>
          <w:tcPr>
            <w:tcW w:w="482" w:type="pct"/>
            <w:shd w:val="clear" w:color="auto" w:fill="auto"/>
            <w:noWrap/>
            <w:vAlign w:val="center"/>
          </w:tcPr>
          <w:p w14:paraId="46EFEAF6">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预期性</w:t>
            </w:r>
          </w:p>
        </w:tc>
        <w:tc>
          <w:tcPr>
            <w:tcW w:w="588" w:type="pct"/>
            <w:shd w:val="clear" w:color="auto" w:fill="auto"/>
            <w:vAlign w:val="center"/>
          </w:tcPr>
          <w:p w14:paraId="3D6CFDC7">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5.</w:t>
            </w:r>
            <w:r>
              <w:rPr>
                <w:rFonts w:hint="default" w:cs="Times New Roman"/>
                <w:i w:val="0"/>
                <w:iCs w:val="0"/>
                <w:color w:val="auto"/>
                <w:kern w:val="0"/>
                <w:sz w:val="21"/>
                <w:szCs w:val="21"/>
                <w:highlight w:val="none"/>
                <w:u w:val="none"/>
                <w:lang w:eastAsia="zh-CN" w:bidi="ar"/>
              </w:rPr>
              <w:t>6</w:t>
            </w:r>
          </w:p>
        </w:tc>
        <w:tc>
          <w:tcPr>
            <w:tcW w:w="596" w:type="pct"/>
            <w:shd w:val="clear" w:color="auto" w:fill="auto"/>
            <w:vAlign w:val="center"/>
          </w:tcPr>
          <w:p w14:paraId="34A68785">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cs="Times New Roman"/>
                <w:i w:val="0"/>
                <w:iCs w:val="0"/>
                <w:color w:val="auto"/>
                <w:sz w:val="21"/>
                <w:szCs w:val="21"/>
                <w:highlight w:val="none"/>
                <w:u w:val="none"/>
              </w:rPr>
              <w:t>5.4</w:t>
            </w:r>
          </w:p>
        </w:tc>
        <w:tc>
          <w:tcPr>
            <w:tcW w:w="640" w:type="pct"/>
            <w:shd w:val="clear" w:color="auto" w:fill="auto"/>
            <w:vAlign w:val="center"/>
          </w:tcPr>
          <w:p w14:paraId="3E87C845">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w:t>
            </w:r>
          </w:p>
        </w:tc>
      </w:tr>
      <w:tr w14:paraId="32392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482" w:hRule="atLeast"/>
        </w:trPr>
        <w:tc>
          <w:tcPr>
            <w:tcW w:w="353" w:type="pct"/>
            <w:vMerge w:val="continue"/>
            <w:shd w:val="clear" w:color="auto" w:fill="auto"/>
            <w:noWrap/>
            <w:vAlign w:val="center"/>
          </w:tcPr>
          <w:p w14:paraId="135B7AE1">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default" w:ascii="Times New Roman" w:hAnsi="Times New Roman" w:eastAsia="仿宋_GB2312" w:cs="Times New Roman"/>
                <w:b/>
                <w:bCs/>
                <w:i w:val="0"/>
                <w:iCs w:val="0"/>
                <w:color w:val="auto"/>
                <w:sz w:val="21"/>
                <w:szCs w:val="21"/>
                <w:highlight w:val="none"/>
                <w:u w:val="none"/>
              </w:rPr>
            </w:pPr>
          </w:p>
        </w:tc>
        <w:tc>
          <w:tcPr>
            <w:tcW w:w="317" w:type="pct"/>
            <w:shd w:val="clear" w:color="auto" w:fill="auto"/>
            <w:noWrap/>
            <w:vAlign w:val="center"/>
          </w:tcPr>
          <w:p w14:paraId="5860E767">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lang w:val="en-US"/>
              </w:rPr>
            </w:pPr>
            <w:r>
              <w:rPr>
                <w:rFonts w:hint="default" w:ascii="Times New Roman" w:hAnsi="Times New Roman" w:eastAsia="仿宋_GB2312" w:cs="Times New Roman"/>
                <w:i w:val="0"/>
                <w:iCs w:val="0"/>
                <w:color w:val="auto"/>
                <w:kern w:val="0"/>
                <w:sz w:val="21"/>
                <w:szCs w:val="21"/>
                <w:highlight w:val="none"/>
                <w:u w:val="none"/>
                <w:lang w:val="en-US" w:eastAsia="zh-CN" w:bidi="ar"/>
              </w:rPr>
              <w:t>11</w:t>
            </w:r>
          </w:p>
        </w:tc>
        <w:tc>
          <w:tcPr>
            <w:tcW w:w="1165" w:type="pct"/>
            <w:vMerge w:val="restart"/>
            <w:shd w:val="clear" w:color="auto" w:fill="auto"/>
            <w:vAlign w:val="center"/>
          </w:tcPr>
          <w:p w14:paraId="1F5A0115">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每千人拥有医护人数（人）</w:t>
            </w:r>
          </w:p>
        </w:tc>
        <w:tc>
          <w:tcPr>
            <w:tcW w:w="855" w:type="pct"/>
            <w:shd w:val="clear" w:color="auto" w:fill="auto"/>
            <w:vAlign w:val="center"/>
          </w:tcPr>
          <w:p w14:paraId="3F9B8AB5">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执业医师数</w:t>
            </w:r>
          </w:p>
        </w:tc>
        <w:tc>
          <w:tcPr>
            <w:tcW w:w="482" w:type="pct"/>
            <w:shd w:val="clear" w:color="auto" w:fill="auto"/>
            <w:noWrap/>
            <w:vAlign w:val="center"/>
          </w:tcPr>
          <w:p w14:paraId="3D1F5B6A">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预期性</w:t>
            </w:r>
          </w:p>
        </w:tc>
        <w:tc>
          <w:tcPr>
            <w:tcW w:w="588" w:type="pct"/>
            <w:shd w:val="clear" w:color="auto" w:fill="auto"/>
            <w:vAlign w:val="center"/>
          </w:tcPr>
          <w:p w14:paraId="37B4F341">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3.68</w:t>
            </w:r>
          </w:p>
        </w:tc>
        <w:tc>
          <w:tcPr>
            <w:tcW w:w="596" w:type="pct"/>
            <w:shd w:val="clear" w:color="auto" w:fill="auto"/>
            <w:vAlign w:val="center"/>
          </w:tcPr>
          <w:p w14:paraId="22B96AED">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3.82</w:t>
            </w:r>
          </w:p>
        </w:tc>
        <w:tc>
          <w:tcPr>
            <w:tcW w:w="640" w:type="pct"/>
            <w:shd w:val="clear" w:color="auto" w:fill="auto"/>
            <w:vAlign w:val="center"/>
          </w:tcPr>
          <w:p w14:paraId="74B17C20">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w:t>
            </w:r>
          </w:p>
        </w:tc>
      </w:tr>
      <w:tr w14:paraId="7CD61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482" w:hRule="atLeast"/>
        </w:trPr>
        <w:tc>
          <w:tcPr>
            <w:tcW w:w="353" w:type="pct"/>
            <w:vMerge w:val="continue"/>
            <w:shd w:val="clear" w:color="auto" w:fill="auto"/>
            <w:noWrap/>
            <w:vAlign w:val="center"/>
          </w:tcPr>
          <w:p w14:paraId="1330B589">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default" w:ascii="Times New Roman" w:hAnsi="Times New Roman" w:eastAsia="仿宋_GB2312" w:cs="Times New Roman"/>
                <w:b/>
                <w:bCs/>
                <w:i w:val="0"/>
                <w:iCs w:val="0"/>
                <w:color w:val="auto"/>
                <w:sz w:val="21"/>
                <w:szCs w:val="21"/>
                <w:highlight w:val="none"/>
                <w:u w:val="none"/>
              </w:rPr>
            </w:pPr>
          </w:p>
        </w:tc>
        <w:tc>
          <w:tcPr>
            <w:tcW w:w="317" w:type="pct"/>
            <w:shd w:val="clear" w:color="auto" w:fill="auto"/>
            <w:noWrap/>
            <w:vAlign w:val="center"/>
          </w:tcPr>
          <w:p w14:paraId="4DF1EDF0">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lang w:val="en-US"/>
              </w:rPr>
            </w:pPr>
            <w:r>
              <w:rPr>
                <w:rFonts w:hint="default" w:ascii="Times New Roman" w:hAnsi="Times New Roman" w:eastAsia="仿宋_GB2312" w:cs="Times New Roman"/>
                <w:i w:val="0"/>
                <w:iCs w:val="0"/>
                <w:color w:val="auto"/>
                <w:kern w:val="0"/>
                <w:sz w:val="21"/>
                <w:szCs w:val="21"/>
                <w:highlight w:val="none"/>
                <w:u w:val="none"/>
                <w:lang w:val="en-US" w:eastAsia="zh-CN" w:bidi="ar"/>
              </w:rPr>
              <w:t>12</w:t>
            </w:r>
          </w:p>
        </w:tc>
        <w:tc>
          <w:tcPr>
            <w:tcW w:w="1165" w:type="pct"/>
            <w:vMerge w:val="continue"/>
            <w:shd w:val="clear" w:color="auto" w:fill="auto"/>
            <w:vAlign w:val="center"/>
          </w:tcPr>
          <w:p w14:paraId="0CA99514">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855" w:type="pct"/>
            <w:shd w:val="clear" w:color="auto" w:fill="auto"/>
            <w:vAlign w:val="center"/>
          </w:tcPr>
          <w:p w14:paraId="3B507428">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注册护士数</w:t>
            </w:r>
          </w:p>
        </w:tc>
        <w:tc>
          <w:tcPr>
            <w:tcW w:w="482" w:type="pct"/>
            <w:shd w:val="clear" w:color="auto" w:fill="auto"/>
            <w:noWrap/>
            <w:vAlign w:val="center"/>
          </w:tcPr>
          <w:p w14:paraId="2114D09E">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预期性</w:t>
            </w:r>
          </w:p>
        </w:tc>
        <w:tc>
          <w:tcPr>
            <w:tcW w:w="588" w:type="pct"/>
            <w:shd w:val="clear" w:color="auto" w:fill="auto"/>
            <w:vAlign w:val="center"/>
          </w:tcPr>
          <w:p w14:paraId="1EC75F61">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3.44</w:t>
            </w:r>
          </w:p>
        </w:tc>
        <w:tc>
          <w:tcPr>
            <w:tcW w:w="596" w:type="pct"/>
            <w:shd w:val="clear" w:color="auto" w:fill="auto"/>
            <w:vAlign w:val="center"/>
          </w:tcPr>
          <w:p w14:paraId="15E7CE2D">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3.68</w:t>
            </w:r>
          </w:p>
        </w:tc>
        <w:tc>
          <w:tcPr>
            <w:tcW w:w="640" w:type="pct"/>
            <w:shd w:val="clear" w:color="auto" w:fill="auto"/>
            <w:vAlign w:val="center"/>
          </w:tcPr>
          <w:p w14:paraId="3168E3C4">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w:t>
            </w:r>
          </w:p>
        </w:tc>
      </w:tr>
      <w:tr w14:paraId="28902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482" w:hRule="atLeast"/>
        </w:trPr>
        <w:tc>
          <w:tcPr>
            <w:tcW w:w="353" w:type="pct"/>
            <w:vMerge w:val="continue"/>
            <w:shd w:val="clear" w:color="auto" w:fill="auto"/>
            <w:noWrap/>
            <w:vAlign w:val="center"/>
          </w:tcPr>
          <w:p w14:paraId="7A9DC5D8">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default" w:ascii="Times New Roman" w:hAnsi="Times New Roman" w:eastAsia="仿宋_GB2312" w:cs="Times New Roman"/>
                <w:b/>
                <w:bCs/>
                <w:i w:val="0"/>
                <w:iCs w:val="0"/>
                <w:color w:val="auto"/>
                <w:sz w:val="21"/>
                <w:szCs w:val="21"/>
                <w:highlight w:val="none"/>
                <w:u w:val="none"/>
              </w:rPr>
            </w:pPr>
          </w:p>
        </w:tc>
        <w:tc>
          <w:tcPr>
            <w:tcW w:w="317" w:type="pct"/>
            <w:shd w:val="clear" w:color="auto" w:fill="auto"/>
            <w:noWrap/>
            <w:vAlign w:val="center"/>
          </w:tcPr>
          <w:p w14:paraId="053F73C8">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13</w:t>
            </w:r>
          </w:p>
        </w:tc>
        <w:tc>
          <w:tcPr>
            <w:tcW w:w="2020" w:type="pct"/>
            <w:gridSpan w:val="2"/>
            <w:shd w:val="clear" w:color="auto" w:fill="auto"/>
            <w:vAlign w:val="center"/>
          </w:tcPr>
          <w:p w14:paraId="714BA6FA">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养老机构护理型床位占比（%）</w:t>
            </w:r>
          </w:p>
        </w:tc>
        <w:tc>
          <w:tcPr>
            <w:tcW w:w="482" w:type="pct"/>
            <w:shd w:val="clear" w:color="auto" w:fill="auto"/>
            <w:noWrap/>
            <w:vAlign w:val="center"/>
          </w:tcPr>
          <w:p w14:paraId="6904893C">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预期性</w:t>
            </w:r>
          </w:p>
        </w:tc>
        <w:tc>
          <w:tcPr>
            <w:tcW w:w="588" w:type="pct"/>
            <w:shd w:val="clear" w:color="auto" w:fill="auto"/>
            <w:vAlign w:val="center"/>
          </w:tcPr>
          <w:p w14:paraId="26391635">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p>
        </w:tc>
        <w:tc>
          <w:tcPr>
            <w:tcW w:w="596" w:type="pct"/>
            <w:shd w:val="clear" w:color="auto" w:fill="auto"/>
            <w:vAlign w:val="center"/>
          </w:tcPr>
          <w:p w14:paraId="40ED0FB4">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p>
        </w:tc>
        <w:tc>
          <w:tcPr>
            <w:tcW w:w="640" w:type="pct"/>
            <w:shd w:val="clear" w:color="auto" w:fill="auto"/>
            <w:vAlign w:val="center"/>
          </w:tcPr>
          <w:p w14:paraId="1365A684">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w:t>
            </w:r>
          </w:p>
        </w:tc>
      </w:tr>
      <w:tr w14:paraId="5CC23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482" w:hRule="atLeast"/>
        </w:trPr>
        <w:tc>
          <w:tcPr>
            <w:tcW w:w="353" w:type="pct"/>
            <w:vMerge w:val="continue"/>
            <w:shd w:val="clear" w:color="auto" w:fill="auto"/>
            <w:noWrap/>
            <w:vAlign w:val="center"/>
          </w:tcPr>
          <w:p w14:paraId="715FE1DF">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default" w:ascii="Times New Roman" w:hAnsi="Times New Roman" w:eastAsia="仿宋_GB2312" w:cs="Times New Roman"/>
                <w:b/>
                <w:bCs/>
                <w:i w:val="0"/>
                <w:iCs w:val="0"/>
                <w:color w:val="auto"/>
                <w:sz w:val="21"/>
                <w:szCs w:val="21"/>
                <w:highlight w:val="none"/>
                <w:u w:val="none"/>
              </w:rPr>
            </w:pPr>
          </w:p>
        </w:tc>
        <w:tc>
          <w:tcPr>
            <w:tcW w:w="317" w:type="pct"/>
            <w:shd w:val="clear" w:color="auto" w:fill="auto"/>
            <w:noWrap/>
            <w:vAlign w:val="center"/>
          </w:tcPr>
          <w:p w14:paraId="5FBA6DA7">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14</w:t>
            </w:r>
          </w:p>
        </w:tc>
        <w:tc>
          <w:tcPr>
            <w:tcW w:w="2020" w:type="pct"/>
            <w:gridSpan w:val="2"/>
            <w:shd w:val="clear" w:color="auto" w:fill="auto"/>
            <w:vAlign w:val="center"/>
          </w:tcPr>
          <w:p w14:paraId="40828A22">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3岁</w:t>
            </w:r>
            <w:r>
              <w:rPr>
                <w:rFonts w:hint="eastAsia" w:cs="Times New Roman"/>
                <w:i w:val="0"/>
                <w:iCs w:val="0"/>
                <w:color w:val="auto"/>
                <w:kern w:val="0"/>
                <w:sz w:val="21"/>
                <w:szCs w:val="21"/>
                <w:highlight w:val="none"/>
                <w:u w:val="none"/>
                <w:lang w:val="en-US" w:eastAsia="zh-CN" w:bidi="ar"/>
              </w:rPr>
              <w:t>以下</w:t>
            </w:r>
            <w:r>
              <w:rPr>
                <w:rFonts w:hint="default" w:ascii="Times New Roman" w:hAnsi="Times New Roman" w:eastAsia="仿宋_GB2312" w:cs="Times New Roman"/>
                <w:i w:val="0"/>
                <w:iCs w:val="0"/>
                <w:color w:val="auto"/>
                <w:kern w:val="0"/>
                <w:sz w:val="21"/>
                <w:szCs w:val="21"/>
                <w:highlight w:val="none"/>
                <w:u w:val="none"/>
                <w:lang w:val="en-US" w:eastAsia="zh-CN" w:bidi="ar"/>
              </w:rPr>
              <w:t>婴幼儿入托率</w:t>
            </w:r>
            <w:r>
              <w:rPr>
                <w:rFonts w:hint="eastAsia" w:cs="Times New Roman"/>
                <w:i w:val="0"/>
                <w:iCs w:val="0"/>
                <w:color w:val="auto"/>
                <w:kern w:val="0"/>
                <w:sz w:val="21"/>
                <w:szCs w:val="21"/>
                <w:highlight w:val="none"/>
                <w:u w:val="none"/>
                <w:lang w:val="en-US" w:eastAsia="zh-CN" w:bidi="ar"/>
              </w:rPr>
              <w:t>提高</w:t>
            </w:r>
            <w:r>
              <w:rPr>
                <w:rFonts w:hint="default" w:ascii="Times New Roman" w:hAnsi="Times New Roman" w:eastAsia="仿宋_GB2312" w:cs="Times New Roman"/>
                <w:i w:val="0"/>
                <w:iCs w:val="0"/>
                <w:color w:val="auto"/>
                <w:kern w:val="0"/>
                <w:sz w:val="21"/>
                <w:szCs w:val="21"/>
                <w:highlight w:val="none"/>
                <w:u w:val="none"/>
                <w:lang w:val="en-US" w:eastAsia="zh-CN" w:bidi="ar"/>
              </w:rPr>
              <w:t>（%）</w:t>
            </w:r>
          </w:p>
        </w:tc>
        <w:tc>
          <w:tcPr>
            <w:tcW w:w="482" w:type="pct"/>
            <w:shd w:val="clear" w:color="auto" w:fill="auto"/>
            <w:noWrap/>
            <w:vAlign w:val="center"/>
          </w:tcPr>
          <w:p w14:paraId="44064718">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预期性</w:t>
            </w:r>
          </w:p>
        </w:tc>
        <w:tc>
          <w:tcPr>
            <w:tcW w:w="588" w:type="pct"/>
            <w:shd w:val="clear" w:color="auto" w:fill="auto"/>
            <w:vAlign w:val="center"/>
          </w:tcPr>
          <w:p w14:paraId="7DAA329B">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lang w:val="en-US"/>
              </w:rPr>
            </w:pPr>
            <w:r>
              <w:rPr>
                <w:rFonts w:hint="default" w:ascii="Times New Roman" w:hAnsi="Times New Roman" w:eastAsia="仿宋_GB2312" w:cs="Times New Roman"/>
                <w:i w:val="0"/>
                <w:iCs w:val="0"/>
                <w:color w:val="auto"/>
                <w:kern w:val="0"/>
                <w:sz w:val="21"/>
                <w:szCs w:val="21"/>
                <w:highlight w:val="none"/>
                <w:u w:val="none"/>
                <w:lang w:val="en-US" w:eastAsia="zh-CN" w:bidi="ar"/>
              </w:rPr>
              <w:t>——</w:t>
            </w:r>
          </w:p>
        </w:tc>
        <w:tc>
          <w:tcPr>
            <w:tcW w:w="596" w:type="pct"/>
            <w:shd w:val="clear" w:color="auto" w:fill="auto"/>
            <w:vAlign w:val="center"/>
          </w:tcPr>
          <w:p w14:paraId="15FEDB78">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lang w:val="en-US"/>
              </w:rPr>
            </w:pPr>
            <w:r>
              <w:rPr>
                <w:rFonts w:hint="default" w:ascii="Times New Roman" w:hAnsi="Times New Roman" w:eastAsia="仿宋_GB2312" w:cs="Times New Roman"/>
                <w:i w:val="0"/>
                <w:iCs w:val="0"/>
                <w:color w:val="auto"/>
                <w:kern w:val="0"/>
                <w:sz w:val="21"/>
                <w:szCs w:val="21"/>
                <w:highlight w:val="none"/>
                <w:u w:val="none"/>
                <w:lang w:val="en-US" w:eastAsia="zh-CN" w:bidi="ar"/>
              </w:rPr>
              <w:t>——</w:t>
            </w:r>
          </w:p>
        </w:tc>
        <w:tc>
          <w:tcPr>
            <w:tcW w:w="640" w:type="pct"/>
            <w:shd w:val="clear" w:color="auto" w:fill="auto"/>
            <w:vAlign w:val="center"/>
          </w:tcPr>
          <w:p w14:paraId="06A5C2D6">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lang w:val="en-US" w:eastAsia="zh-CN"/>
              </w:rPr>
            </w:pPr>
            <w:r>
              <w:rPr>
                <w:rFonts w:hint="default" w:ascii="Times New Roman" w:hAnsi="Times New Roman" w:eastAsia="微软雅黑" w:cs="Times New Roman"/>
                <w:i w:val="0"/>
                <w:iCs w:val="0"/>
                <w:color w:val="auto"/>
                <w:sz w:val="21"/>
                <w:szCs w:val="21"/>
                <w:highlight w:val="none"/>
                <w:u w:val="none"/>
                <w:lang w:val="en-US" w:eastAsia="zh-CN"/>
              </w:rPr>
              <w:t>〔9〕</w:t>
            </w:r>
          </w:p>
        </w:tc>
      </w:tr>
      <w:tr w14:paraId="3396B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482" w:hRule="atLeast"/>
        </w:trPr>
        <w:tc>
          <w:tcPr>
            <w:tcW w:w="353" w:type="pct"/>
            <w:vMerge w:val="continue"/>
            <w:shd w:val="clear" w:color="auto" w:fill="auto"/>
            <w:noWrap/>
            <w:vAlign w:val="center"/>
          </w:tcPr>
          <w:p w14:paraId="6EF5EE16">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default" w:ascii="Times New Roman" w:hAnsi="Times New Roman" w:eastAsia="仿宋_GB2312" w:cs="Times New Roman"/>
                <w:b/>
                <w:bCs/>
                <w:i w:val="0"/>
                <w:iCs w:val="0"/>
                <w:color w:val="auto"/>
                <w:sz w:val="21"/>
                <w:szCs w:val="21"/>
                <w:highlight w:val="none"/>
                <w:u w:val="none"/>
              </w:rPr>
            </w:pPr>
          </w:p>
        </w:tc>
        <w:tc>
          <w:tcPr>
            <w:tcW w:w="317" w:type="pct"/>
            <w:shd w:val="clear" w:color="auto" w:fill="auto"/>
            <w:noWrap/>
            <w:vAlign w:val="center"/>
          </w:tcPr>
          <w:p w14:paraId="65E8805B">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15</w:t>
            </w:r>
          </w:p>
        </w:tc>
        <w:tc>
          <w:tcPr>
            <w:tcW w:w="2020" w:type="pct"/>
            <w:gridSpan w:val="2"/>
            <w:shd w:val="clear" w:color="auto" w:fill="auto"/>
            <w:vAlign w:val="center"/>
          </w:tcPr>
          <w:p w14:paraId="2B9B95E0">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人均预期寿命（岁）</w:t>
            </w:r>
          </w:p>
        </w:tc>
        <w:tc>
          <w:tcPr>
            <w:tcW w:w="482" w:type="pct"/>
            <w:shd w:val="clear" w:color="auto" w:fill="auto"/>
            <w:noWrap/>
            <w:vAlign w:val="center"/>
          </w:tcPr>
          <w:p w14:paraId="623EF310">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预期性</w:t>
            </w:r>
          </w:p>
        </w:tc>
        <w:tc>
          <w:tcPr>
            <w:tcW w:w="588" w:type="pct"/>
            <w:shd w:val="clear" w:color="auto" w:fill="auto"/>
            <w:vAlign w:val="center"/>
          </w:tcPr>
          <w:p w14:paraId="4BDA207B">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lang w:val="en-US"/>
              </w:rPr>
            </w:pPr>
            <w:r>
              <w:rPr>
                <w:rFonts w:hint="default" w:ascii="Times New Roman" w:hAnsi="Times New Roman" w:eastAsia="仿宋_GB2312" w:cs="Times New Roman"/>
                <w:i w:val="0"/>
                <w:iCs w:val="0"/>
                <w:color w:val="auto"/>
                <w:kern w:val="0"/>
                <w:sz w:val="21"/>
                <w:szCs w:val="21"/>
                <w:highlight w:val="none"/>
                <w:u w:val="none"/>
                <w:lang w:val="en-US" w:eastAsia="zh-CN" w:bidi="ar"/>
              </w:rPr>
              <w:t>80.4</w:t>
            </w:r>
          </w:p>
        </w:tc>
        <w:tc>
          <w:tcPr>
            <w:tcW w:w="596" w:type="pct"/>
            <w:shd w:val="clear" w:color="auto" w:fill="auto"/>
            <w:vAlign w:val="center"/>
          </w:tcPr>
          <w:p w14:paraId="4563F5A5">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80</w:t>
            </w:r>
          </w:p>
        </w:tc>
        <w:tc>
          <w:tcPr>
            <w:tcW w:w="640" w:type="pct"/>
            <w:shd w:val="clear" w:color="auto" w:fill="auto"/>
            <w:vAlign w:val="center"/>
          </w:tcPr>
          <w:p w14:paraId="528552A5">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w:t>
            </w:r>
          </w:p>
        </w:tc>
      </w:tr>
      <w:tr w14:paraId="372F2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482" w:hRule="atLeast"/>
        </w:trPr>
        <w:tc>
          <w:tcPr>
            <w:tcW w:w="353" w:type="pct"/>
            <w:vMerge w:val="continue"/>
            <w:shd w:val="clear" w:color="auto" w:fill="auto"/>
            <w:noWrap/>
            <w:vAlign w:val="center"/>
          </w:tcPr>
          <w:p w14:paraId="724C95F0">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default" w:ascii="Times New Roman" w:hAnsi="Times New Roman" w:eastAsia="仿宋_GB2312" w:cs="Times New Roman"/>
                <w:b/>
                <w:bCs/>
                <w:i w:val="0"/>
                <w:iCs w:val="0"/>
                <w:color w:val="auto"/>
                <w:sz w:val="21"/>
                <w:szCs w:val="21"/>
                <w:highlight w:val="none"/>
                <w:u w:val="none"/>
              </w:rPr>
            </w:pPr>
          </w:p>
        </w:tc>
        <w:tc>
          <w:tcPr>
            <w:tcW w:w="317" w:type="pct"/>
            <w:shd w:val="clear" w:color="auto" w:fill="auto"/>
            <w:noWrap/>
            <w:vAlign w:val="center"/>
          </w:tcPr>
          <w:p w14:paraId="64553D2A">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16</w:t>
            </w:r>
          </w:p>
        </w:tc>
        <w:tc>
          <w:tcPr>
            <w:tcW w:w="2020" w:type="pct"/>
            <w:gridSpan w:val="2"/>
            <w:shd w:val="clear" w:color="auto" w:fill="auto"/>
            <w:vAlign w:val="center"/>
          </w:tcPr>
          <w:p w14:paraId="5282C811">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省州县三级临床重点专科（个）</w:t>
            </w:r>
          </w:p>
        </w:tc>
        <w:tc>
          <w:tcPr>
            <w:tcW w:w="482" w:type="pct"/>
            <w:shd w:val="clear" w:color="auto" w:fill="auto"/>
            <w:noWrap/>
            <w:vAlign w:val="center"/>
          </w:tcPr>
          <w:p w14:paraId="4974A0B6">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预期性</w:t>
            </w:r>
          </w:p>
        </w:tc>
        <w:tc>
          <w:tcPr>
            <w:tcW w:w="588" w:type="pct"/>
            <w:shd w:val="clear" w:color="auto" w:fill="auto"/>
            <w:vAlign w:val="center"/>
          </w:tcPr>
          <w:p w14:paraId="6BD5701D">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10</w:t>
            </w:r>
          </w:p>
        </w:tc>
        <w:tc>
          <w:tcPr>
            <w:tcW w:w="596" w:type="pct"/>
            <w:shd w:val="clear" w:color="auto" w:fill="auto"/>
            <w:vAlign w:val="center"/>
          </w:tcPr>
          <w:p w14:paraId="1D0E640D">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15</w:t>
            </w:r>
          </w:p>
        </w:tc>
        <w:tc>
          <w:tcPr>
            <w:tcW w:w="640" w:type="pct"/>
            <w:shd w:val="clear" w:color="auto" w:fill="auto"/>
            <w:vAlign w:val="center"/>
          </w:tcPr>
          <w:p w14:paraId="373BB639">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b/>
                <w:bCs/>
                <w:i w:val="0"/>
                <w:iCs w:val="0"/>
                <w:color w:val="auto"/>
                <w:sz w:val="21"/>
                <w:szCs w:val="21"/>
                <w:highlight w:val="none"/>
                <w:u w:val="none"/>
              </w:rPr>
            </w:pPr>
            <w:r>
              <w:rPr>
                <w:rFonts w:hint="default" w:ascii="Times New Roman" w:hAnsi="Times New Roman" w:eastAsia="仿宋_GB2312" w:cs="Times New Roman"/>
                <w:b/>
                <w:bCs/>
                <w:i w:val="0"/>
                <w:iCs w:val="0"/>
                <w:color w:val="auto"/>
                <w:kern w:val="0"/>
                <w:sz w:val="21"/>
                <w:szCs w:val="21"/>
                <w:highlight w:val="none"/>
                <w:u w:val="none"/>
                <w:lang w:val="en-US" w:eastAsia="zh-CN" w:bidi="ar"/>
              </w:rPr>
              <w:t>—</w:t>
            </w:r>
          </w:p>
        </w:tc>
      </w:tr>
      <w:tr w14:paraId="7BC87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482" w:hRule="atLeast"/>
        </w:trPr>
        <w:tc>
          <w:tcPr>
            <w:tcW w:w="353" w:type="pct"/>
            <w:vMerge w:val="restart"/>
            <w:shd w:val="clear" w:color="auto" w:fill="auto"/>
            <w:noWrap/>
            <w:vAlign w:val="center"/>
          </w:tcPr>
          <w:p w14:paraId="7673067C">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b/>
                <w:bCs/>
                <w:i w:val="0"/>
                <w:iCs w:val="0"/>
                <w:color w:val="auto"/>
                <w:sz w:val="21"/>
                <w:szCs w:val="21"/>
                <w:highlight w:val="none"/>
                <w:u w:val="none"/>
              </w:rPr>
            </w:pPr>
            <w:r>
              <w:rPr>
                <w:rFonts w:hint="default" w:ascii="Times New Roman" w:hAnsi="Times New Roman" w:eastAsia="仿宋_GB2312" w:cs="Times New Roman"/>
                <w:b/>
                <w:bCs/>
                <w:i w:val="0"/>
                <w:iCs w:val="0"/>
                <w:color w:val="auto"/>
                <w:kern w:val="0"/>
                <w:sz w:val="21"/>
                <w:szCs w:val="21"/>
                <w:highlight w:val="none"/>
                <w:u w:val="none"/>
                <w:lang w:val="en-US" w:eastAsia="zh-CN" w:bidi="ar"/>
              </w:rPr>
              <w:t>绿色低碳</w:t>
            </w:r>
          </w:p>
        </w:tc>
        <w:tc>
          <w:tcPr>
            <w:tcW w:w="317" w:type="pct"/>
            <w:shd w:val="clear" w:color="auto" w:fill="auto"/>
            <w:noWrap/>
            <w:vAlign w:val="center"/>
          </w:tcPr>
          <w:p w14:paraId="07E3FBC7">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17</w:t>
            </w:r>
          </w:p>
        </w:tc>
        <w:tc>
          <w:tcPr>
            <w:tcW w:w="2020" w:type="pct"/>
            <w:gridSpan w:val="2"/>
            <w:shd w:val="clear" w:color="auto" w:fill="auto"/>
            <w:vAlign w:val="center"/>
          </w:tcPr>
          <w:p w14:paraId="2ED62040">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单位GDP二氧化碳排放降低（%）</w:t>
            </w:r>
          </w:p>
        </w:tc>
        <w:tc>
          <w:tcPr>
            <w:tcW w:w="482" w:type="pct"/>
            <w:shd w:val="clear" w:color="auto" w:fill="auto"/>
            <w:noWrap/>
            <w:vAlign w:val="center"/>
          </w:tcPr>
          <w:p w14:paraId="73274E97">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约束性</w:t>
            </w:r>
          </w:p>
        </w:tc>
        <w:tc>
          <w:tcPr>
            <w:tcW w:w="588" w:type="pct"/>
            <w:shd w:val="clear" w:color="auto" w:fill="auto"/>
            <w:vAlign w:val="center"/>
          </w:tcPr>
          <w:p w14:paraId="00BB8453">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达标</w:t>
            </w:r>
          </w:p>
        </w:tc>
        <w:tc>
          <w:tcPr>
            <w:tcW w:w="596" w:type="pct"/>
            <w:shd w:val="clear" w:color="auto" w:fill="auto"/>
            <w:vAlign w:val="center"/>
          </w:tcPr>
          <w:p w14:paraId="40B7BD54">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完成上级下达目标</w:t>
            </w:r>
          </w:p>
        </w:tc>
        <w:tc>
          <w:tcPr>
            <w:tcW w:w="640" w:type="pct"/>
            <w:shd w:val="clear" w:color="auto" w:fill="auto"/>
            <w:vAlign w:val="center"/>
          </w:tcPr>
          <w:p w14:paraId="5CD88EAB">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w:t>
            </w:r>
          </w:p>
        </w:tc>
      </w:tr>
      <w:tr w14:paraId="4DE0A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482" w:hRule="atLeast"/>
        </w:trPr>
        <w:tc>
          <w:tcPr>
            <w:tcW w:w="353" w:type="pct"/>
            <w:vMerge w:val="continue"/>
            <w:shd w:val="clear" w:color="auto" w:fill="auto"/>
            <w:noWrap/>
            <w:vAlign w:val="center"/>
          </w:tcPr>
          <w:p w14:paraId="1C81ACF9">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default" w:ascii="Times New Roman" w:hAnsi="Times New Roman" w:eastAsia="仿宋_GB2312" w:cs="Times New Roman"/>
                <w:b/>
                <w:bCs/>
                <w:i w:val="0"/>
                <w:iCs w:val="0"/>
                <w:color w:val="auto"/>
                <w:sz w:val="21"/>
                <w:szCs w:val="21"/>
                <w:highlight w:val="none"/>
                <w:u w:val="none"/>
              </w:rPr>
            </w:pPr>
          </w:p>
        </w:tc>
        <w:tc>
          <w:tcPr>
            <w:tcW w:w="317" w:type="pct"/>
            <w:shd w:val="clear" w:color="auto" w:fill="auto"/>
            <w:noWrap/>
            <w:vAlign w:val="center"/>
          </w:tcPr>
          <w:p w14:paraId="40CD68B0">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18</w:t>
            </w:r>
          </w:p>
        </w:tc>
        <w:tc>
          <w:tcPr>
            <w:tcW w:w="2020" w:type="pct"/>
            <w:gridSpan w:val="2"/>
            <w:shd w:val="clear" w:color="auto" w:fill="auto"/>
            <w:vAlign w:val="center"/>
          </w:tcPr>
          <w:p w14:paraId="1CC177C0">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非化石能源占能源消费总量比例（%）</w:t>
            </w:r>
          </w:p>
        </w:tc>
        <w:tc>
          <w:tcPr>
            <w:tcW w:w="482" w:type="pct"/>
            <w:shd w:val="clear" w:color="auto" w:fill="auto"/>
            <w:noWrap/>
            <w:vAlign w:val="center"/>
          </w:tcPr>
          <w:p w14:paraId="484CAE8F">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约束性</w:t>
            </w:r>
          </w:p>
        </w:tc>
        <w:tc>
          <w:tcPr>
            <w:tcW w:w="588" w:type="pct"/>
            <w:shd w:val="clear" w:color="auto" w:fill="auto"/>
            <w:vAlign w:val="center"/>
          </w:tcPr>
          <w:p w14:paraId="2D09F334">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达标</w:t>
            </w:r>
          </w:p>
        </w:tc>
        <w:tc>
          <w:tcPr>
            <w:tcW w:w="596" w:type="pct"/>
            <w:shd w:val="clear" w:color="auto" w:fill="auto"/>
            <w:vAlign w:val="center"/>
          </w:tcPr>
          <w:p w14:paraId="254382C1">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完成上级下达目标</w:t>
            </w:r>
          </w:p>
        </w:tc>
        <w:tc>
          <w:tcPr>
            <w:tcW w:w="640" w:type="pct"/>
            <w:shd w:val="clear" w:color="auto" w:fill="auto"/>
            <w:vAlign w:val="center"/>
          </w:tcPr>
          <w:p w14:paraId="4643D3B8">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w:t>
            </w:r>
          </w:p>
        </w:tc>
      </w:tr>
      <w:tr w14:paraId="5E4D7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482" w:hRule="atLeast"/>
        </w:trPr>
        <w:tc>
          <w:tcPr>
            <w:tcW w:w="353" w:type="pct"/>
            <w:vMerge w:val="continue"/>
            <w:shd w:val="clear" w:color="auto" w:fill="auto"/>
            <w:noWrap/>
            <w:vAlign w:val="center"/>
          </w:tcPr>
          <w:p w14:paraId="5FB4AA51">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default" w:ascii="Times New Roman" w:hAnsi="Times New Roman" w:eastAsia="仿宋_GB2312" w:cs="Times New Roman"/>
                <w:b/>
                <w:bCs/>
                <w:i w:val="0"/>
                <w:iCs w:val="0"/>
                <w:color w:val="auto"/>
                <w:sz w:val="21"/>
                <w:szCs w:val="21"/>
                <w:highlight w:val="none"/>
                <w:u w:val="none"/>
              </w:rPr>
            </w:pPr>
          </w:p>
        </w:tc>
        <w:tc>
          <w:tcPr>
            <w:tcW w:w="317" w:type="pct"/>
            <w:shd w:val="clear" w:color="auto" w:fill="auto"/>
            <w:noWrap/>
            <w:vAlign w:val="center"/>
          </w:tcPr>
          <w:p w14:paraId="6C1A7A5E">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19</w:t>
            </w:r>
          </w:p>
        </w:tc>
        <w:tc>
          <w:tcPr>
            <w:tcW w:w="2020" w:type="pct"/>
            <w:gridSpan w:val="2"/>
            <w:shd w:val="clear" w:color="auto" w:fill="auto"/>
            <w:vAlign w:val="center"/>
          </w:tcPr>
          <w:p w14:paraId="599CBBB1">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Times New Roman" w:hAnsi="Times New Roman" w:eastAsia="仿宋_GB2312" w:cs="Times New Roman"/>
                <w:i w:val="0"/>
                <w:iCs w:val="0"/>
                <w:color w:val="auto"/>
                <w:sz w:val="21"/>
                <w:szCs w:val="21"/>
                <w:highlight w:val="none"/>
                <w:u w:val="none"/>
              </w:rPr>
            </w:pPr>
            <w:r>
              <w:rPr>
                <w:rFonts w:hint="eastAsia" w:cs="Times New Roman"/>
                <w:i w:val="0"/>
                <w:iCs w:val="0"/>
                <w:color w:val="auto"/>
                <w:kern w:val="0"/>
                <w:sz w:val="21"/>
                <w:szCs w:val="21"/>
                <w:highlight w:val="none"/>
                <w:u w:val="none"/>
                <w:lang w:val="en-US" w:eastAsia="zh-CN" w:bidi="ar"/>
              </w:rPr>
              <w:t>县城</w:t>
            </w:r>
            <w:r>
              <w:rPr>
                <w:rFonts w:hint="default" w:ascii="Times New Roman" w:hAnsi="Times New Roman" w:eastAsia="仿宋_GB2312" w:cs="Times New Roman"/>
                <w:i w:val="0"/>
                <w:iCs w:val="0"/>
                <w:color w:val="auto"/>
                <w:kern w:val="0"/>
                <w:sz w:val="21"/>
                <w:szCs w:val="21"/>
                <w:highlight w:val="none"/>
                <w:u w:val="none"/>
                <w:lang w:val="en-US" w:eastAsia="zh-CN" w:bidi="ar"/>
              </w:rPr>
              <w:t>细颗粒物（PM2.5）浓度（微克/立方米）</w:t>
            </w:r>
          </w:p>
        </w:tc>
        <w:tc>
          <w:tcPr>
            <w:tcW w:w="482" w:type="pct"/>
            <w:shd w:val="clear" w:color="auto" w:fill="auto"/>
            <w:noWrap/>
            <w:vAlign w:val="center"/>
          </w:tcPr>
          <w:p w14:paraId="3A4CBD1E">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约束性</w:t>
            </w:r>
          </w:p>
        </w:tc>
        <w:tc>
          <w:tcPr>
            <w:tcW w:w="588" w:type="pct"/>
            <w:shd w:val="clear" w:color="auto" w:fill="auto"/>
            <w:vAlign w:val="center"/>
          </w:tcPr>
          <w:p w14:paraId="492AC9F6">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完成上级下达目标</w:t>
            </w:r>
          </w:p>
        </w:tc>
        <w:tc>
          <w:tcPr>
            <w:tcW w:w="596" w:type="pct"/>
            <w:shd w:val="clear" w:color="auto" w:fill="auto"/>
            <w:vAlign w:val="center"/>
          </w:tcPr>
          <w:p w14:paraId="5223C56B">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完成上级下达目标</w:t>
            </w:r>
          </w:p>
        </w:tc>
        <w:tc>
          <w:tcPr>
            <w:tcW w:w="640" w:type="pct"/>
            <w:shd w:val="clear" w:color="auto" w:fill="auto"/>
            <w:vAlign w:val="center"/>
          </w:tcPr>
          <w:p w14:paraId="7ED788DC">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w:t>
            </w:r>
          </w:p>
        </w:tc>
      </w:tr>
      <w:tr w14:paraId="0C1A1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482" w:hRule="atLeast"/>
        </w:trPr>
        <w:tc>
          <w:tcPr>
            <w:tcW w:w="353" w:type="pct"/>
            <w:vMerge w:val="continue"/>
            <w:shd w:val="clear" w:color="auto" w:fill="auto"/>
            <w:noWrap/>
            <w:vAlign w:val="center"/>
          </w:tcPr>
          <w:p w14:paraId="5D625014">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default" w:ascii="Times New Roman" w:hAnsi="Times New Roman" w:eastAsia="仿宋_GB2312" w:cs="Times New Roman"/>
                <w:b/>
                <w:bCs/>
                <w:i w:val="0"/>
                <w:iCs w:val="0"/>
                <w:color w:val="auto"/>
                <w:sz w:val="21"/>
                <w:szCs w:val="21"/>
                <w:highlight w:val="none"/>
                <w:u w:val="none"/>
              </w:rPr>
            </w:pPr>
          </w:p>
        </w:tc>
        <w:tc>
          <w:tcPr>
            <w:tcW w:w="317" w:type="pct"/>
            <w:shd w:val="clear" w:color="auto" w:fill="auto"/>
            <w:noWrap/>
            <w:vAlign w:val="center"/>
          </w:tcPr>
          <w:p w14:paraId="25A72D7B">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20</w:t>
            </w:r>
          </w:p>
        </w:tc>
        <w:tc>
          <w:tcPr>
            <w:tcW w:w="2020" w:type="pct"/>
            <w:gridSpan w:val="2"/>
            <w:shd w:val="clear" w:color="auto" w:fill="auto"/>
            <w:vAlign w:val="center"/>
          </w:tcPr>
          <w:p w14:paraId="719A6188">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优良水体比例（%）</w:t>
            </w:r>
          </w:p>
        </w:tc>
        <w:tc>
          <w:tcPr>
            <w:tcW w:w="482" w:type="pct"/>
            <w:shd w:val="clear" w:color="auto" w:fill="auto"/>
            <w:noWrap/>
            <w:vAlign w:val="center"/>
          </w:tcPr>
          <w:p w14:paraId="077D096C">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约束性</w:t>
            </w:r>
          </w:p>
        </w:tc>
        <w:tc>
          <w:tcPr>
            <w:tcW w:w="588" w:type="pct"/>
            <w:shd w:val="clear" w:color="auto" w:fill="auto"/>
            <w:vAlign w:val="center"/>
          </w:tcPr>
          <w:p w14:paraId="06B219FE">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p>
        </w:tc>
        <w:tc>
          <w:tcPr>
            <w:tcW w:w="596" w:type="pct"/>
            <w:shd w:val="clear" w:color="auto" w:fill="auto"/>
            <w:vAlign w:val="center"/>
          </w:tcPr>
          <w:p w14:paraId="5E61705B">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p>
        </w:tc>
        <w:tc>
          <w:tcPr>
            <w:tcW w:w="640" w:type="pct"/>
            <w:shd w:val="clear" w:color="auto" w:fill="auto"/>
            <w:vAlign w:val="center"/>
          </w:tcPr>
          <w:p w14:paraId="5009C9E6">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sz w:val="21"/>
                <w:szCs w:val="21"/>
                <w:highlight w:val="none"/>
                <w:u w:val="none"/>
              </w:rPr>
              <w:t>——</w:t>
            </w:r>
          </w:p>
        </w:tc>
      </w:tr>
      <w:tr w14:paraId="2CA55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482" w:hRule="atLeast"/>
        </w:trPr>
        <w:tc>
          <w:tcPr>
            <w:tcW w:w="353" w:type="pct"/>
            <w:vMerge w:val="continue"/>
            <w:shd w:val="clear" w:color="auto" w:fill="auto"/>
            <w:noWrap/>
            <w:vAlign w:val="center"/>
          </w:tcPr>
          <w:p w14:paraId="10544900">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default" w:ascii="Times New Roman" w:hAnsi="Times New Roman" w:eastAsia="仿宋_GB2312" w:cs="Times New Roman"/>
                <w:b/>
                <w:bCs/>
                <w:i w:val="0"/>
                <w:iCs w:val="0"/>
                <w:color w:val="auto"/>
                <w:sz w:val="21"/>
                <w:szCs w:val="21"/>
                <w:highlight w:val="none"/>
                <w:u w:val="none"/>
              </w:rPr>
            </w:pPr>
          </w:p>
        </w:tc>
        <w:tc>
          <w:tcPr>
            <w:tcW w:w="317" w:type="pct"/>
            <w:shd w:val="clear" w:color="auto" w:fill="auto"/>
            <w:noWrap/>
            <w:vAlign w:val="center"/>
          </w:tcPr>
          <w:p w14:paraId="08A7F015">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lang w:val="en-US"/>
              </w:rPr>
            </w:pPr>
            <w:r>
              <w:rPr>
                <w:rFonts w:hint="default" w:ascii="Times New Roman" w:hAnsi="Times New Roman" w:eastAsia="仿宋_GB2312" w:cs="Times New Roman"/>
                <w:i w:val="0"/>
                <w:iCs w:val="0"/>
                <w:color w:val="auto"/>
                <w:kern w:val="0"/>
                <w:sz w:val="21"/>
                <w:szCs w:val="21"/>
                <w:highlight w:val="none"/>
                <w:u w:val="none"/>
                <w:lang w:val="en-US" w:eastAsia="zh-CN" w:bidi="ar"/>
              </w:rPr>
              <w:t>21</w:t>
            </w:r>
          </w:p>
        </w:tc>
        <w:tc>
          <w:tcPr>
            <w:tcW w:w="2020" w:type="pct"/>
            <w:gridSpan w:val="2"/>
            <w:shd w:val="clear" w:color="auto" w:fill="auto"/>
            <w:vAlign w:val="center"/>
          </w:tcPr>
          <w:p w14:paraId="4CBC94AB">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森林覆盖率（%）</w:t>
            </w:r>
          </w:p>
        </w:tc>
        <w:tc>
          <w:tcPr>
            <w:tcW w:w="482" w:type="pct"/>
            <w:shd w:val="clear" w:color="auto" w:fill="auto"/>
            <w:noWrap/>
            <w:vAlign w:val="center"/>
          </w:tcPr>
          <w:p w14:paraId="576CFCF0">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约束性</w:t>
            </w:r>
          </w:p>
        </w:tc>
        <w:tc>
          <w:tcPr>
            <w:tcW w:w="588" w:type="pct"/>
            <w:shd w:val="clear" w:color="auto" w:fill="auto"/>
            <w:vAlign w:val="center"/>
          </w:tcPr>
          <w:p w14:paraId="121DFA58">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w:t>
            </w:r>
          </w:p>
        </w:tc>
        <w:tc>
          <w:tcPr>
            <w:tcW w:w="596" w:type="pct"/>
            <w:shd w:val="clear" w:color="auto" w:fill="auto"/>
            <w:vAlign w:val="center"/>
          </w:tcPr>
          <w:p w14:paraId="583A8C80">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完成上级下达目标</w:t>
            </w:r>
          </w:p>
        </w:tc>
        <w:tc>
          <w:tcPr>
            <w:tcW w:w="640" w:type="pct"/>
            <w:shd w:val="clear" w:color="auto" w:fill="auto"/>
            <w:vAlign w:val="center"/>
          </w:tcPr>
          <w:p w14:paraId="43A4CCF4">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w:t>
            </w:r>
          </w:p>
        </w:tc>
      </w:tr>
      <w:tr w14:paraId="1223A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482" w:hRule="atLeast"/>
        </w:trPr>
        <w:tc>
          <w:tcPr>
            <w:tcW w:w="353" w:type="pct"/>
            <w:vMerge w:val="restart"/>
            <w:shd w:val="clear" w:color="auto" w:fill="auto"/>
            <w:noWrap/>
            <w:vAlign w:val="center"/>
          </w:tcPr>
          <w:p w14:paraId="7B0F9B1B">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b/>
                <w:bCs/>
                <w:i w:val="0"/>
                <w:iCs w:val="0"/>
                <w:color w:val="auto"/>
                <w:sz w:val="21"/>
                <w:szCs w:val="21"/>
                <w:highlight w:val="none"/>
                <w:u w:val="none"/>
              </w:rPr>
            </w:pPr>
            <w:r>
              <w:rPr>
                <w:rFonts w:hint="default" w:ascii="Times New Roman" w:hAnsi="Times New Roman" w:eastAsia="仿宋_GB2312" w:cs="Times New Roman"/>
                <w:b/>
                <w:bCs/>
                <w:i w:val="0"/>
                <w:iCs w:val="0"/>
                <w:color w:val="auto"/>
                <w:kern w:val="0"/>
                <w:sz w:val="21"/>
                <w:szCs w:val="21"/>
                <w:highlight w:val="none"/>
                <w:u w:val="none"/>
                <w:lang w:val="en-US" w:eastAsia="zh-CN" w:bidi="ar"/>
              </w:rPr>
              <w:t>安全保障</w:t>
            </w:r>
          </w:p>
        </w:tc>
        <w:tc>
          <w:tcPr>
            <w:tcW w:w="317" w:type="pct"/>
            <w:shd w:val="clear" w:color="auto" w:fill="auto"/>
            <w:noWrap/>
            <w:vAlign w:val="center"/>
          </w:tcPr>
          <w:p w14:paraId="7F7CA731">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2</w:t>
            </w:r>
            <w:r>
              <w:rPr>
                <w:rFonts w:hint="eastAsia" w:ascii="Times New Roman" w:hAnsi="Times New Roman" w:cs="Times New Roman"/>
                <w:i w:val="0"/>
                <w:iCs w:val="0"/>
                <w:color w:val="auto"/>
                <w:kern w:val="0"/>
                <w:sz w:val="21"/>
                <w:szCs w:val="21"/>
                <w:highlight w:val="none"/>
                <w:u w:val="none"/>
                <w:lang w:val="en-US" w:eastAsia="zh-CN" w:bidi="ar"/>
              </w:rPr>
              <w:t>2</w:t>
            </w:r>
          </w:p>
        </w:tc>
        <w:tc>
          <w:tcPr>
            <w:tcW w:w="2020" w:type="pct"/>
            <w:gridSpan w:val="2"/>
            <w:shd w:val="clear" w:color="auto" w:fill="auto"/>
            <w:vAlign w:val="center"/>
          </w:tcPr>
          <w:p w14:paraId="1EEEAE8A">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粮食综合生产能力（万吨）</w:t>
            </w:r>
          </w:p>
        </w:tc>
        <w:tc>
          <w:tcPr>
            <w:tcW w:w="482" w:type="pct"/>
            <w:shd w:val="clear" w:color="auto" w:fill="auto"/>
            <w:noWrap/>
            <w:vAlign w:val="center"/>
          </w:tcPr>
          <w:p w14:paraId="61E3D149">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约束性</w:t>
            </w:r>
          </w:p>
        </w:tc>
        <w:tc>
          <w:tcPr>
            <w:tcW w:w="588" w:type="pct"/>
            <w:shd w:val="clear" w:color="auto" w:fill="auto"/>
            <w:vAlign w:val="center"/>
          </w:tcPr>
          <w:p w14:paraId="5CF736C6">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0.742</w:t>
            </w:r>
          </w:p>
        </w:tc>
        <w:tc>
          <w:tcPr>
            <w:tcW w:w="596" w:type="pct"/>
            <w:shd w:val="clear" w:color="auto" w:fill="auto"/>
            <w:vAlign w:val="center"/>
          </w:tcPr>
          <w:p w14:paraId="6DEAD891">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0.742</w:t>
            </w:r>
          </w:p>
        </w:tc>
        <w:tc>
          <w:tcPr>
            <w:tcW w:w="640" w:type="pct"/>
            <w:shd w:val="clear" w:color="auto" w:fill="auto"/>
            <w:vAlign w:val="center"/>
          </w:tcPr>
          <w:p w14:paraId="7382D10C">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w:t>
            </w:r>
          </w:p>
        </w:tc>
      </w:tr>
      <w:tr w14:paraId="6ACF4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482" w:hRule="atLeast"/>
        </w:trPr>
        <w:tc>
          <w:tcPr>
            <w:tcW w:w="353" w:type="pct"/>
            <w:vMerge w:val="continue"/>
            <w:shd w:val="clear" w:color="auto" w:fill="auto"/>
            <w:noWrap/>
            <w:vAlign w:val="center"/>
          </w:tcPr>
          <w:p w14:paraId="303B5C24">
            <w:pPr>
              <w:keepNext w:val="0"/>
              <w:keepLines w:val="0"/>
              <w:pageBreakBefore w:val="0"/>
              <w:widowControl/>
              <w:kinsoku/>
              <w:wordWrap/>
              <w:overflowPunct/>
              <w:topLinePunct w:val="0"/>
              <w:autoSpaceDE/>
              <w:autoSpaceDN/>
              <w:bidi w:val="0"/>
              <w:adjustRightInd/>
              <w:snapToGrid/>
              <w:spacing w:line="300" w:lineRule="exact"/>
              <w:ind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317" w:type="pct"/>
            <w:shd w:val="clear" w:color="auto" w:fill="auto"/>
            <w:noWrap/>
            <w:vAlign w:val="center"/>
          </w:tcPr>
          <w:p w14:paraId="178E2C97">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lang w:val="en-US"/>
              </w:rPr>
            </w:pPr>
            <w:r>
              <w:rPr>
                <w:rFonts w:hint="default" w:ascii="Times New Roman" w:hAnsi="Times New Roman" w:eastAsia="仿宋_GB2312" w:cs="Times New Roman"/>
                <w:i w:val="0"/>
                <w:iCs w:val="0"/>
                <w:color w:val="auto"/>
                <w:kern w:val="0"/>
                <w:sz w:val="21"/>
                <w:szCs w:val="21"/>
                <w:highlight w:val="none"/>
                <w:u w:val="none"/>
                <w:lang w:val="en-US" w:eastAsia="zh-CN" w:bidi="ar"/>
              </w:rPr>
              <w:t>2</w:t>
            </w:r>
            <w:r>
              <w:rPr>
                <w:rFonts w:hint="eastAsia" w:cs="Times New Roman"/>
                <w:i w:val="0"/>
                <w:iCs w:val="0"/>
                <w:color w:val="auto"/>
                <w:kern w:val="0"/>
                <w:sz w:val="21"/>
                <w:szCs w:val="21"/>
                <w:highlight w:val="none"/>
                <w:u w:val="none"/>
                <w:lang w:val="en-US" w:eastAsia="zh-CN" w:bidi="ar"/>
              </w:rPr>
              <w:t>3</w:t>
            </w:r>
          </w:p>
        </w:tc>
        <w:tc>
          <w:tcPr>
            <w:tcW w:w="2020" w:type="pct"/>
            <w:gridSpan w:val="2"/>
            <w:shd w:val="clear" w:color="auto" w:fill="auto"/>
            <w:vAlign w:val="center"/>
          </w:tcPr>
          <w:p w14:paraId="0F2944F8">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能源综合生产能力（</w:t>
            </w:r>
            <w:r>
              <w:rPr>
                <w:rFonts w:hint="eastAsia" w:cs="Times New Roman"/>
                <w:i w:val="0"/>
                <w:iCs w:val="0"/>
                <w:color w:val="auto"/>
                <w:kern w:val="0"/>
                <w:sz w:val="21"/>
                <w:szCs w:val="21"/>
                <w:highlight w:val="none"/>
                <w:u w:val="none"/>
                <w:lang w:val="en-US" w:eastAsia="zh-CN" w:bidi="ar"/>
              </w:rPr>
              <w:t>万</w:t>
            </w:r>
            <w:r>
              <w:rPr>
                <w:rFonts w:hint="default" w:ascii="Times New Roman" w:hAnsi="Times New Roman" w:eastAsia="仿宋_GB2312" w:cs="Times New Roman"/>
                <w:i w:val="0"/>
                <w:iCs w:val="0"/>
                <w:color w:val="auto"/>
                <w:kern w:val="0"/>
                <w:sz w:val="21"/>
                <w:szCs w:val="21"/>
                <w:highlight w:val="none"/>
                <w:u w:val="none"/>
                <w:lang w:val="en-US" w:eastAsia="zh-CN" w:bidi="ar"/>
              </w:rPr>
              <w:t>吨标准煤）</w:t>
            </w:r>
          </w:p>
        </w:tc>
        <w:tc>
          <w:tcPr>
            <w:tcW w:w="482" w:type="pct"/>
            <w:shd w:val="clear" w:color="auto" w:fill="auto"/>
            <w:noWrap/>
            <w:vAlign w:val="center"/>
          </w:tcPr>
          <w:p w14:paraId="27BCB1C8">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约束性</w:t>
            </w:r>
          </w:p>
        </w:tc>
        <w:tc>
          <w:tcPr>
            <w:tcW w:w="588" w:type="pct"/>
            <w:shd w:val="clear" w:color="auto" w:fill="auto"/>
            <w:vAlign w:val="center"/>
          </w:tcPr>
          <w:p w14:paraId="3E543963">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61.83</w:t>
            </w:r>
          </w:p>
        </w:tc>
        <w:tc>
          <w:tcPr>
            <w:tcW w:w="596" w:type="pct"/>
            <w:shd w:val="clear" w:color="auto" w:fill="auto"/>
            <w:vAlign w:val="center"/>
          </w:tcPr>
          <w:p w14:paraId="0F3B1831">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64.98</w:t>
            </w:r>
          </w:p>
        </w:tc>
        <w:tc>
          <w:tcPr>
            <w:tcW w:w="640" w:type="pct"/>
            <w:shd w:val="clear" w:color="auto" w:fill="auto"/>
            <w:vAlign w:val="center"/>
          </w:tcPr>
          <w:p w14:paraId="4B100523">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w:t>
            </w:r>
          </w:p>
        </w:tc>
      </w:tr>
      <w:tr w14:paraId="626D8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7" w:type="dxa"/>
            <w:bottom w:w="0" w:type="dxa"/>
            <w:right w:w="57" w:type="dxa"/>
          </w:tblCellMar>
        </w:tblPrEx>
        <w:trPr>
          <w:trHeight w:val="482" w:hRule="atLeast"/>
        </w:trPr>
        <w:tc>
          <w:tcPr>
            <w:tcW w:w="5000" w:type="pct"/>
            <w:gridSpan w:val="8"/>
            <w:shd w:val="clear" w:color="auto" w:fill="auto"/>
            <w:noWrap/>
            <w:vAlign w:val="center"/>
          </w:tcPr>
          <w:p w14:paraId="5DD31805">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sz w:val="21"/>
                <w:szCs w:val="21"/>
                <w:highlight w:val="none"/>
                <w:u w:val="none"/>
                <w:lang w:val="en-US" w:eastAsia="zh-CN"/>
              </w:rPr>
              <w:t>备注：</w:t>
            </w:r>
            <w:r>
              <w:rPr>
                <w:rFonts w:hint="default" w:ascii="Times New Roman" w:hAnsi="Times New Roman" w:cs="Times New Roman"/>
                <w:i w:val="0"/>
                <w:iCs w:val="0"/>
                <w:color w:val="auto"/>
                <w:sz w:val="21"/>
                <w:szCs w:val="21"/>
                <w:highlight w:val="none"/>
                <w:u w:val="none"/>
                <w:lang w:val="en-US" w:eastAsia="zh-CN"/>
              </w:rPr>
              <w:t>GDP增速按现价计算，</w:t>
            </w:r>
            <w:r>
              <w:rPr>
                <w:rFonts w:hint="default" w:ascii="Times New Roman" w:hAnsi="Times New Roman" w:eastAsia="仿宋_GB2312" w:cs="Times New Roman"/>
                <w:i w:val="0"/>
                <w:iCs w:val="0"/>
                <w:color w:val="auto"/>
                <w:sz w:val="21"/>
                <w:szCs w:val="21"/>
                <w:highlight w:val="none"/>
                <w:u w:val="none"/>
                <w:lang w:val="en-US" w:eastAsia="zh-CN"/>
              </w:rPr>
              <w:t>〔〕</w:t>
            </w:r>
            <w:r>
              <w:rPr>
                <w:rFonts w:hint="default" w:ascii="Times New Roman" w:hAnsi="Times New Roman" w:cs="Times New Roman"/>
                <w:i w:val="0"/>
                <w:iCs w:val="0"/>
                <w:color w:val="auto"/>
                <w:sz w:val="21"/>
                <w:szCs w:val="21"/>
                <w:highlight w:val="none"/>
                <w:u w:val="none"/>
                <w:lang w:val="en-US" w:eastAsia="zh-CN"/>
              </w:rPr>
              <w:t>为累计。</w:t>
            </w:r>
          </w:p>
        </w:tc>
      </w:tr>
    </w:tbl>
    <w:p w14:paraId="181D72DE">
      <w:pPr>
        <w:keepNext/>
        <w:widowControl w:val="0"/>
        <w:numPr>
          <w:ilvl w:val="0"/>
          <w:numId w:val="4"/>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37" w:name="_Toc24880"/>
      <w:bookmarkStart w:id="38" w:name="_Toc3143"/>
      <w:r>
        <w:rPr>
          <w:rFonts w:hint="default" w:ascii="Times New Roman" w:hAnsi="Times New Roman" w:eastAsia="楷体_GB2312" w:cs="Times New Roman"/>
          <w:b/>
          <w:bCs w:val="0"/>
          <w:color w:val="auto"/>
          <w:kern w:val="2"/>
          <w:sz w:val="32"/>
          <w:szCs w:val="32"/>
          <w:highlight w:val="none"/>
          <w:lang w:val="en-US" w:eastAsia="zh-CN" w:bidi="ar-SA"/>
        </w:rPr>
        <w:t>战略定位</w:t>
      </w:r>
      <w:bookmarkEnd w:id="37"/>
      <w:bookmarkEnd w:id="38"/>
    </w:p>
    <w:p w14:paraId="468424C8">
      <w:pPr>
        <w:bidi w:val="0"/>
        <w:spacing w:line="576" w:lineRule="exact"/>
        <w:ind w:firstLine="640"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color w:val="auto"/>
          <w:sz w:val="32"/>
          <w:szCs w:val="22"/>
          <w:highlight w:val="none"/>
          <w:lang w:val="en-US" w:eastAsia="zh-CN"/>
        </w:rPr>
        <w:t>锚定“一廊三区·吉祥理县”新思路新布局，加快建成生态理县、人文理县、兴业理县、和美理县，以经济社会高质量发展惠及各族群众。</w:t>
      </w:r>
    </w:p>
    <w:p w14:paraId="2F5917C5">
      <w:pPr>
        <w:bidi w:val="0"/>
        <w:spacing w:line="576" w:lineRule="exact"/>
        <w:ind w:firstLine="643"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b/>
          <w:bCs/>
          <w:color w:val="auto"/>
          <w:sz w:val="32"/>
          <w:szCs w:val="22"/>
          <w:highlight w:val="none"/>
          <w:lang w:val="en-US" w:eastAsia="zh-CN"/>
        </w:rPr>
        <w:t>——凸显“一廊”串联引领。</w:t>
      </w:r>
      <w:r>
        <w:rPr>
          <w:rFonts w:hint="default" w:ascii="Times New Roman" w:hAnsi="Times New Roman" w:eastAsia="仿宋_GB2312" w:cs="Times New Roman"/>
          <w:color w:val="auto"/>
          <w:sz w:val="32"/>
          <w:szCs w:val="22"/>
          <w:highlight w:val="none"/>
          <w:lang w:val="en-US" w:eastAsia="zh-CN"/>
        </w:rPr>
        <w:t>以G317为联动轴线，深挖民族、历史、红色、屯兵、团结等文化资源，串联生态保护区、特色产业基地、清洁能源项目、康养旅游节点，建好民族特色村寨、民族团结进步示范单位、民族文化交流阵地，建设藏羌文化走廊、绿色走廊、团结走廊，打造文化产业发展、生态价值转化、共居共融共享示范带，构建“文化铸魂、绿色赋能、团结聚力”全域协同发展格局。</w:t>
      </w:r>
    </w:p>
    <w:p w14:paraId="2470431D">
      <w:pPr>
        <w:bidi w:val="0"/>
        <w:spacing w:line="576" w:lineRule="exact"/>
        <w:ind w:firstLine="643"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b/>
          <w:bCs/>
          <w:color w:val="auto"/>
          <w:sz w:val="32"/>
          <w:szCs w:val="22"/>
          <w:highlight w:val="none"/>
          <w:lang w:val="en-US" w:eastAsia="zh-CN"/>
        </w:rPr>
        <w:t>——强化“三区”试点示范。</w:t>
      </w:r>
      <w:r>
        <w:rPr>
          <w:rFonts w:hint="default" w:ascii="Times New Roman" w:hAnsi="Times New Roman" w:eastAsia="仿宋_GB2312" w:cs="Times New Roman"/>
          <w:color w:val="auto"/>
          <w:sz w:val="32"/>
          <w:szCs w:val="22"/>
          <w:highlight w:val="none"/>
          <w:lang w:val="en-US" w:eastAsia="zh-CN"/>
        </w:rPr>
        <w:t>以州委“五个之州”为牵引，紧扣文化本色、厚植生态底色、做优旅游特色，聚力“</w:t>
      </w:r>
      <w:r>
        <w:rPr>
          <w:rFonts w:hint="default" w:ascii="Times New Roman" w:hAnsi="Times New Roman" w:eastAsia="仿宋_GB2312" w:cs="Times New Roman"/>
          <w:b w:val="0"/>
          <w:bCs/>
          <w:color w:val="auto"/>
          <w:sz w:val="32"/>
          <w:szCs w:val="32"/>
          <w:highlight w:val="none"/>
          <w:lang w:val="en-US" w:eastAsia="zh-CN"/>
        </w:rPr>
        <w:t>六大旅游目的地</w:t>
      </w:r>
      <w:r>
        <w:rPr>
          <w:rFonts w:hint="default" w:ascii="Times New Roman" w:hAnsi="Times New Roman" w:eastAsia="仿宋_GB2312" w:cs="Times New Roman"/>
          <w:color w:val="auto"/>
          <w:sz w:val="32"/>
          <w:szCs w:val="22"/>
          <w:highlight w:val="none"/>
          <w:lang w:val="en-US" w:eastAsia="zh-CN"/>
        </w:rPr>
        <w:t>”建设，把“有高原风景、没有高原反应”的旅游资源转化为“四季皆可游、常年多消费”的旅游常态，建成农文旅融合示范区。以“三品一标”创建为抓手，依托“1+3”发展模式，培育特色水果、高原蔬菜、高原冷水鱼特色产业，建成特色农业引领区。以精城优镇破题、美村靓户筑基，有效提升县城中心首位带动功能，试点打造重点乡镇，梯次提档示范村寨，形成城乡互补发展格局，建成城乡融合实践区。</w:t>
      </w:r>
    </w:p>
    <w:p w14:paraId="69E99E81">
      <w:pPr>
        <w:bidi w:val="0"/>
        <w:spacing w:line="576" w:lineRule="exact"/>
        <w:ind w:firstLine="643"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b/>
          <w:bCs/>
          <w:color w:val="auto"/>
          <w:sz w:val="32"/>
          <w:szCs w:val="22"/>
          <w:highlight w:val="none"/>
          <w:lang w:val="en-US" w:eastAsia="zh-CN"/>
        </w:rPr>
        <w:t>——共建“吉祥理县”美好家园。</w:t>
      </w:r>
      <w:r>
        <w:rPr>
          <w:rFonts w:hint="default" w:ascii="Times New Roman" w:hAnsi="Times New Roman" w:eastAsia="仿宋_GB2312" w:cs="Times New Roman"/>
          <w:color w:val="auto"/>
          <w:sz w:val="32"/>
          <w:szCs w:val="22"/>
          <w:highlight w:val="none"/>
          <w:lang w:val="en-US" w:eastAsia="zh-CN"/>
        </w:rPr>
        <w:t>聚力建设生态理县、人文理县、兴业理县、和美理县，以生态理县厚植碧水蓝天吉祥本色，以人文理县涵养多元交融吉祥底蕴，以兴业理县筑牢富民强县吉祥根基，以和美理县结出和谐幸福吉祥硕果，让“吉祥”根植生态本底、浸润人文底蕴、筑牢产业根基、彰显民生温度，推动高质量发展成果惠及全县各族群众，绘就吉祥理县振兴新图景。</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283A7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00" w:type="pct"/>
            <w:shd w:val="clear" w:color="auto" w:fill="7F7F7F" w:themeFill="text1" w:themeFillTint="7F"/>
            <w:vAlign w:val="center"/>
          </w:tcPr>
          <w:p w14:paraId="18438652">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center"/>
              <w:rPr>
                <w:rFonts w:hint="default" w:ascii="Times New Roman" w:hAnsi="Times New Roman" w:eastAsia="黑体" w:cs="Times New Roman"/>
                <w:color w:val="auto"/>
                <w:kern w:val="2"/>
                <w:sz w:val="30"/>
                <w:szCs w:val="22"/>
                <w:highlight w:val="none"/>
                <w:lang w:val="en-US" w:eastAsia="zh-CN"/>
              </w:rPr>
            </w:pPr>
            <w:r>
              <w:rPr>
                <w:rFonts w:hint="default" w:ascii="Times New Roman" w:hAnsi="Times New Roman" w:eastAsia="黑体" w:cs="Times New Roman"/>
                <w:b/>
                <w:bCs/>
                <w:color w:val="auto"/>
                <w:kern w:val="0"/>
                <w:sz w:val="28"/>
                <w:szCs w:val="28"/>
                <w:highlight w:val="none"/>
                <w:lang w:bidi="ar"/>
              </w:rPr>
              <w:t>专栏</w:t>
            </w:r>
            <w:r>
              <w:rPr>
                <w:rFonts w:hint="default" w:ascii="Times New Roman" w:hAnsi="Times New Roman" w:eastAsia="黑体" w:cs="Times New Roman"/>
                <w:b/>
                <w:bCs/>
                <w:color w:val="auto"/>
                <w:kern w:val="0"/>
                <w:sz w:val="28"/>
                <w:szCs w:val="28"/>
                <w:highlight w:val="none"/>
                <w:lang w:val="en-US" w:eastAsia="zh-CN" w:bidi="ar"/>
              </w:rPr>
              <w:t>3</w:t>
            </w:r>
            <w:r>
              <w:rPr>
                <w:rFonts w:hint="default" w:ascii="Times New Roman" w:hAnsi="Times New Roman" w:eastAsia="黑体" w:cs="Times New Roman"/>
                <w:b/>
                <w:bCs/>
                <w:color w:val="auto"/>
                <w:kern w:val="0"/>
                <w:sz w:val="28"/>
                <w:szCs w:val="28"/>
                <w:highlight w:val="none"/>
                <w:lang w:bidi="ar"/>
              </w:rPr>
              <w:t xml:space="preserve"> </w:t>
            </w:r>
            <w:r>
              <w:rPr>
                <w:rFonts w:hint="default" w:ascii="Times New Roman" w:hAnsi="Times New Roman" w:eastAsia="黑体" w:cs="Times New Roman"/>
                <w:b/>
                <w:bCs/>
                <w:color w:val="auto"/>
                <w:kern w:val="0"/>
                <w:sz w:val="28"/>
                <w:szCs w:val="28"/>
                <w:highlight w:val="none"/>
                <w:lang w:val="en-US" w:eastAsia="zh-CN" w:bidi="ar"/>
              </w:rPr>
              <w:t xml:space="preserve"> 打造藏羌融合发展走廊</w:t>
            </w:r>
          </w:p>
        </w:tc>
      </w:tr>
      <w:tr w14:paraId="0BBD5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tcPr>
          <w:p w14:paraId="3D0FC406">
            <w:pPr>
              <w:keepNext w:val="0"/>
              <w:keepLines w:val="0"/>
              <w:pageBreakBefore w:val="0"/>
              <w:widowControl/>
              <w:numPr>
                <w:ilvl w:val="0"/>
                <w:numId w:val="5"/>
              </w:numPr>
              <w:kinsoku/>
              <w:wordWrap/>
              <w:overflowPunct/>
              <w:topLinePunct w:val="0"/>
              <w:autoSpaceDE/>
              <w:autoSpaceDN/>
              <w:bidi w:val="0"/>
              <w:adjustRightInd w:val="0"/>
              <w:snapToGrid w:val="0"/>
              <w:spacing w:line="440" w:lineRule="exact"/>
              <w:ind w:left="420" w:leftChars="0" w:hanging="420" w:firstLineChars="0"/>
              <w:jc w:val="left"/>
              <w:textAlignment w:val="auto"/>
              <w:rPr>
                <w:rFonts w:hint="default" w:ascii="Times New Roman" w:hAnsi="Times New Roman" w:eastAsia="仿宋_GB2312" w:cs="Times New Roman"/>
                <w:color w:val="auto"/>
                <w:kern w:val="2"/>
                <w:sz w:val="28"/>
                <w:szCs w:val="28"/>
                <w:highlight w:val="none"/>
                <w:lang w:val="en-US" w:eastAsia="zh-CN"/>
              </w:rPr>
            </w:pPr>
            <w:r>
              <w:rPr>
                <w:rFonts w:hint="default" w:ascii="Times New Roman" w:hAnsi="Times New Roman" w:eastAsia="仿宋_GB2312" w:cs="Times New Roman"/>
                <w:b/>
                <w:color w:val="auto"/>
                <w:kern w:val="0"/>
                <w:sz w:val="28"/>
                <w:szCs w:val="28"/>
                <w:highlight w:val="none"/>
                <w:lang w:val="en-US" w:eastAsia="zh-CN" w:bidi="ar-SA"/>
              </w:rPr>
              <w:t>筑牢藏羌文化走廊根基：</w:t>
            </w:r>
            <w:r>
              <w:rPr>
                <w:rFonts w:hint="default" w:ascii="Times New Roman" w:hAnsi="Times New Roman" w:eastAsia="仿宋_GB2312" w:cs="Times New Roman"/>
                <w:b w:val="0"/>
                <w:bCs/>
                <w:color w:val="auto"/>
                <w:kern w:val="0"/>
                <w:sz w:val="28"/>
                <w:szCs w:val="28"/>
                <w:highlight w:val="none"/>
                <w:lang w:val="en-US" w:eastAsia="zh-CN" w:bidi="ar-SA"/>
              </w:rPr>
              <w:t>传承民族文化薪火，全面梳理藏羌民族资源谱系，健全非遗调查记录与活态传承机制，推动民族服饰、传统节庆、传统技艺等民俗文化融入日常生活场景。深挖历史文化内涵，保护修缮历史遗存，推进第三轮县史志编修工作，打造历史文化IP，推动历史文化元素与现代技术深度融合。激活红色文化基因，实施红色资源保护利用工程，提升打造薛城红军医院、朴头红女故里等红色地标，建设红色教育基地与研学实践标杆。弘扬屯兵爱国文化，深挖抗英抗倭历史记忆，活化博巴森根等衍生非遗资源，打造兼具文化传承与爱国主义教育功能的核心载体。厚植团结文化底蕴，依托筹边楼、茶马古道等文化遗产，讲述各民族交往交流交融历史故事，营造各民族共居共学、共事共乐的浓厚氛围。</w:t>
            </w:r>
          </w:p>
          <w:p w14:paraId="7C503C08">
            <w:pPr>
              <w:keepNext w:val="0"/>
              <w:keepLines w:val="0"/>
              <w:pageBreakBefore w:val="0"/>
              <w:widowControl/>
              <w:numPr>
                <w:ilvl w:val="0"/>
                <w:numId w:val="5"/>
              </w:numPr>
              <w:kinsoku/>
              <w:wordWrap/>
              <w:overflowPunct/>
              <w:topLinePunct w:val="0"/>
              <w:autoSpaceDE/>
              <w:autoSpaceDN/>
              <w:bidi w:val="0"/>
              <w:adjustRightInd w:val="0"/>
              <w:snapToGrid w:val="0"/>
              <w:spacing w:line="440" w:lineRule="exact"/>
              <w:ind w:left="420" w:leftChars="0" w:hanging="420" w:firstLineChars="0"/>
              <w:jc w:val="left"/>
              <w:textAlignment w:val="auto"/>
              <w:rPr>
                <w:rFonts w:hint="default" w:ascii="Times New Roman" w:hAnsi="Times New Roman" w:eastAsia="仿宋_GB2312" w:cs="Times New Roman"/>
                <w:color w:val="auto"/>
                <w:kern w:val="2"/>
                <w:sz w:val="28"/>
                <w:szCs w:val="28"/>
                <w:highlight w:val="none"/>
                <w:lang w:val="en-US" w:eastAsia="zh-CN"/>
              </w:rPr>
            </w:pPr>
            <w:r>
              <w:rPr>
                <w:rFonts w:hint="default" w:ascii="Times New Roman" w:hAnsi="Times New Roman" w:eastAsia="仿宋_GB2312" w:cs="Times New Roman"/>
                <w:b/>
                <w:color w:val="auto"/>
                <w:kern w:val="0"/>
                <w:sz w:val="28"/>
                <w:szCs w:val="28"/>
                <w:highlight w:val="none"/>
                <w:lang w:val="en-US" w:eastAsia="zh-CN" w:bidi="ar-SA"/>
              </w:rPr>
              <w:t>构建藏羌绿色走廊生态基底：</w:t>
            </w:r>
            <w:r>
              <w:rPr>
                <w:rFonts w:hint="default" w:ascii="Times New Roman" w:hAnsi="Times New Roman" w:eastAsia="仿宋_GB2312" w:cs="Times New Roman"/>
                <w:b w:val="0"/>
                <w:bCs/>
                <w:color w:val="auto"/>
                <w:kern w:val="0"/>
                <w:sz w:val="28"/>
                <w:szCs w:val="28"/>
                <w:highlight w:val="none"/>
                <w:lang w:val="en-US" w:eastAsia="zh-CN" w:bidi="ar-SA"/>
              </w:rPr>
              <w:t>筑牢绿色保护屏障，锚定长江黄河上游生态保护政治责任，串联杂谷脑河流域生态廊道，持续开展干旱半干旱河谷治理、退耕还林等生态工程，系统实施森林、草原、湿地与地质灾害防治，强化生物多样性保护，提升生态安全与水源涵养功能。激活绿色发展动能，依托生态本底与民族文化，推动生态农业、低碳旅游、绿色能源与产业深度融合，探索生态产品价值实现路径，培育特色绿色经济增长点。完善绿色发展保障，健全生态保护长效机制，严格落实“三长制”，加强绿色应用与人才培养，倡导生态文明理念，形成政府、企业、公众共建共治共享的长效机制。</w:t>
            </w:r>
          </w:p>
          <w:p w14:paraId="6DE317DD">
            <w:pPr>
              <w:keepNext w:val="0"/>
              <w:keepLines w:val="0"/>
              <w:pageBreakBefore w:val="0"/>
              <w:widowControl/>
              <w:numPr>
                <w:ilvl w:val="0"/>
                <w:numId w:val="5"/>
              </w:numPr>
              <w:kinsoku/>
              <w:wordWrap/>
              <w:overflowPunct/>
              <w:topLinePunct w:val="0"/>
              <w:autoSpaceDE/>
              <w:autoSpaceDN/>
              <w:bidi w:val="0"/>
              <w:adjustRightInd w:val="0"/>
              <w:snapToGrid w:val="0"/>
              <w:spacing w:line="440" w:lineRule="exact"/>
              <w:ind w:left="420" w:leftChars="0" w:hanging="420" w:firstLineChars="0"/>
              <w:jc w:val="left"/>
              <w:textAlignment w:val="auto"/>
              <w:rPr>
                <w:rFonts w:hint="default" w:ascii="Times New Roman" w:hAnsi="Times New Roman" w:eastAsia="仿宋_GB2312" w:cs="Times New Roman"/>
                <w:color w:val="auto"/>
                <w:sz w:val="32"/>
                <w:szCs w:val="22"/>
                <w:highlight w:val="none"/>
                <w:lang w:eastAsia="zh-CN"/>
              </w:rPr>
            </w:pPr>
            <w:r>
              <w:rPr>
                <w:rFonts w:hint="default" w:ascii="Times New Roman" w:hAnsi="Times New Roman" w:eastAsia="仿宋_GB2312" w:cs="Times New Roman"/>
                <w:b/>
                <w:color w:val="auto"/>
                <w:kern w:val="0"/>
                <w:sz w:val="28"/>
                <w:szCs w:val="28"/>
                <w:highlight w:val="none"/>
                <w:lang w:val="en-US" w:eastAsia="zh-CN" w:bidi="ar-SA"/>
              </w:rPr>
              <w:t>打造藏羌团结走廊纽带：</w:t>
            </w:r>
            <w:r>
              <w:rPr>
                <w:rFonts w:hint="default" w:ascii="Times New Roman" w:hAnsi="Times New Roman" w:eastAsia="仿宋_GB2312" w:cs="Times New Roman"/>
                <w:b w:val="0"/>
                <w:bCs/>
                <w:color w:val="auto"/>
                <w:kern w:val="0"/>
                <w:sz w:val="28"/>
                <w:szCs w:val="28"/>
                <w:highlight w:val="none"/>
                <w:lang w:val="en-US" w:eastAsia="zh-CN" w:bidi="ar-SA"/>
              </w:rPr>
              <w:t>搭建民族交流平台，高标准建设民族融合展示平台与文化交流载体，推进各民族文化互鉴互融，完善民族地区发展保障机制，夯实团结发展物质基础。深化民族团结实践，持续开展民族团结进步创建活动，完善利益联结机制，引导各族群众共同参与产业发展。推动民族产业协同，推动民族特色产业联动发展，打破地域与民族界限，整合特色中药材种植、藏织羌绣制作等产业资源，打造产业融合集群。</w:t>
            </w:r>
          </w:p>
        </w:tc>
      </w:tr>
    </w:tbl>
    <w:p w14:paraId="49D9C269">
      <w:pPr>
        <w:bidi w:val="0"/>
        <w:ind w:firstLine="0" w:firstLineChars="0"/>
        <w:rPr>
          <w:rFonts w:hint="default" w:ascii="Times New Roman" w:hAnsi="Times New Roman" w:cs="Times New Roman"/>
          <w:color w:val="auto"/>
          <w:highlight w:val="none"/>
          <w:lang w:val="en-US" w:eastAsia="zh-CN"/>
        </w:rPr>
        <w:sectPr>
          <w:footerReference r:id="rId6" w:type="default"/>
          <w:pgSz w:w="11906" w:h="16838"/>
          <w:pgMar w:top="2098" w:right="1474" w:bottom="1984" w:left="1587" w:header="851" w:footer="992" w:gutter="0"/>
          <w:pgNumType w:fmt="numberInDash" w:start="1"/>
          <w:cols w:space="0" w:num="1"/>
          <w:rtlGutter w:val="0"/>
          <w:docGrid w:type="lines" w:linePitch="439" w:charSpace="0"/>
        </w:sectPr>
      </w:pPr>
    </w:p>
    <w:p w14:paraId="6BCF6E3F">
      <w:pPr>
        <w:keepNext w:val="0"/>
        <w:keepLines w:val="0"/>
        <w:pageBreakBefore w:val="0"/>
        <w:widowControl w:val="0"/>
        <w:numPr>
          <w:ilvl w:val="0"/>
          <w:numId w:val="3"/>
        </w:numPr>
        <w:kinsoku/>
        <w:wordWrap/>
        <w:overflowPunct/>
        <w:topLinePunct w:val="0"/>
        <w:autoSpaceDE/>
        <w:autoSpaceDN/>
        <w:bidi w:val="0"/>
        <w:adjustRightInd/>
        <w:snapToGrid w:val="0"/>
        <w:spacing w:before="313" w:beforeLines="100" w:after="313" w:afterLines="100" w:line="560" w:lineRule="exact"/>
        <w:ind w:left="0" w:leftChars="0" w:firstLine="0" w:firstLineChars="0"/>
        <w:jc w:val="center"/>
        <w:textAlignment w:val="auto"/>
        <w:outlineLvl w:val="0"/>
        <w:rPr>
          <w:rFonts w:hint="default" w:ascii="Times New Roman" w:hAnsi="Times New Roman" w:eastAsia="方正小标宋简体" w:cs="Times New Roman"/>
          <w:color w:val="auto"/>
          <w:kern w:val="2"/>
          <w:sz w:val="44"/>
          <w:szCs w:val="44"/>
          <w:highlight w:val="none"/>
          <w:lang w:val="en-US" w:eastAsia="zh-CN" w:bidi="ar-SA"/>
        </w:rPr>
      </w:pPr>
      <w:r>
        <w:rPr>
          <w:rFonts w:hint="default" w:ascii="Times New Roman" w:hAnsi="Times New Roman" w:eastAsia="方正小标宋简体" w:cs="Times New Roman"/>
          <w:color w:val="auto"/>
          <w:kern w:val="2"/>
          <w:sz w:val="44"/>
          <w:szCs w:val="44"/>
          <w:highlight w:val="none"/>
          <w:lang w:val="en-US" w:eastAsia="zh-CN" w:bidi="ar-SA"/>
        </w:rPr>
        <w:t xml:space="preserve"> </w:t>
      </w:r>
      <w:bookmarkStart w:id="39" w:name="_Toc22249"/>
      <w:bookmarkStart w:id="40" w:name="_Toc7044"/>
      <w:bookmarkStart w:id="41" w:name="_Toc31656"/>
      <w:bookmarkStart w:id="42" w:name="_Toc24719"/>
      <w:bookmarkStart w:id="43" w:name="_Toc6679"/>
      <w:r>
        <w:rPr>
          <w:rFonts w:hint="default" w:ascii="Times New Roman" w:hAnsi="Times New Roman" w:eastAsia="方正小标宋简体" w:cs="Times New Roman"/>
          <w:color w:val="auto"/>
          <w:kern w:val="2"/>
          <w:sz w:val="44"/>
          <w:szCs w:val="44"/>
          <w:highlight w:val="none"/>
          <w:lang w:val="en-US" w:eastAsia="zh-CN" w:bidi="ar-SA"/>
        </w:rPr>
        <w:t>精雕生态民俗独特名片，铸就全域旅游示范地</w:t>
      </w:r>
      <w:bookmarkEnd w:id="39"/>
      <w:bookmarkEnd w:id="40"/>
      <w:bookmarkEnd w:id="41"/>
      <w:bookmarkEnd w:id="42"/>
      <w:bookmarkEnd w:id="43"/>
    </w:p>
    <w:p w14:paraId="0248AD18">
      <w:pPr>
        <w:keepNext w:val="0"/>
        <w:keepLines w:val="0"/>
        <w:pageBreakBefore w:val="0"/>
        <w:widowControl w:val="0"/>
        <w:kinsoku/>
        <w:wordWrap/>
        <w:overflowPunct/>
        <w:topLinePunct w:val="0"/>
        <w:autoSpaceDE/>
        <w:autoSpaceDN/>
        <w:bidi w:val="0"/>
        <w:adjustRightInd/>
        <w:snapToGrid/>
        <w:spacing w:line="560" w:lineRule="exact"/>
        <w:ind w:left="0" w:leftChars="0" w:firstLine="660" w:firstLineChars="200"/>
        <w:textAlignment w:val="auto"/>
        <w:rPr>
          <w:rFonts w:hint="default" w:ascii="Times New Roman" w:hAnsi="Times New Roman" w:eastAsia="仿宋_GB2312" w:cs="Times New Roman"/>
          <w:color w:val="auto"/>
          <w:spacing w:val="5"/>
          <w:sz w:val="32"/>
          <w:szCs w:val="22"/>
          <w:highlight w:val="none"/>
          <w:lang w:eastAsia="zh-CN"/>
        </w:rPr>
      </w:pPr>
      <w:r>
        <w:rPr>
          <w:rFonts w:hint="default" w:ascii="Times New Roman" w:hAnsi="Times New Roman" w:eastAsia="仿宋_GB2312" w:cs="Times New Roman"/>
          <w:b w:val="0"/>
          <w:bCs w:val="0"/>
          <w:color w:val="auto"/>
          <w:spacing w:val="5"/>
          <w:sz w:val="32"/>
          <w:szCs w:val="22"/>
          <w:highlight w:val="none"/>
        </w:rPr>
        <w:t>做强文化体验旅游、生态观光旅游、康养休闲旅游、冰雪温泉旅游、魅力自驾旅游、户外运动旅游，打造文化沉浸旅游体验地、生态观光旅游示范地、康养休闲旅游引领地、冰雪温泉旅游度假地、魅力自驾旅游网红地、户外运动旅游目的地，以“六个支撑”“六大旅游目的地”推进“五个之州”示范建设，全面建成川西北全域旅游示范地</w:t>
      </w:r>
      <w:r>
        <w:rPr>
          <w:rFonts w:hint="default" w:ascii="Times New Roman" w:hAnsi="Times New Roman" w:eastAsia="仿宋_GB2312" w:cs="Times New Roman"/>
          <w:color w:val="auto"/>
          <w:spacing w:val="5"/>
          <w:sz w:val="32"/>
          <w:szCs w:val="22"/>
          <w:highlight w:val="none"/>
          <w:lang w:eastAsia="zh-CN"/>
        </w:rPr>
        <w:t>。</w:t>
      </w:r>
    </w:p>
    <w:p w14:paraId="5E7588D0">
      <w:pPr>
        <w:keepNext/>
        <w:widowControl w:val="0"/>
        <w:numPr>
          <w:ilvl w:val="0"/>
          <w:numId w:val="1"/>
        </w:numPr>
        <w:bidi w:val="0"/>
        <w:snapToGrid w:val="0"/>
        <w:spacing w:before="100" w:beforeLines="100" w:after="100" w:afterLines="100" w:line="560" w:lineRule="exact"/>
        <w:ind w:left="0" w:leftChars="0" w:firstLine="0" w:firstLineChars="0"/>
        <w:jc w:val="center"/>
        <w:outlineLvl w:val="1"/>
        <w:rPr>
          <w:rFonts w:hint="default" w:ascii="Times New Roman" w:hAnsi="Times New Roman" w:eastAsia="黑体" w:cs="Times New Roman"/>
          <w:color w:val="auto"/>
          <w:kern w:val="2"/>
          <w:sz w:val="32"/>
          <w:szCs w:val="24"/>
          <w:highlight w:val="none"/>
          <w:lang w:val="en-US" w:eastAsia="zh-CN" w:bidi="ar-SA"/>
        </w:rPr>
      </w:pPr>
      <w:r>
        <w:rPr>
          <w:rFonts w:hint="default" w:ascii="Times New Roman" w:hAnsi="Times New Roman" w:eastAsia="黑体" w:cs="Times New Roman"/>
          <w:color w:val="auto"/>
          <w:kern w:val="2"/>
          <w:sz w:val="32"/>
          <w:szCs w:val="24"/>
          <w:highlight w:val="none"/>
          <w:lang w:val="en-US" w:eastAsia="zh-CN" w:bidi="ar-SA"/>
        </w:rPr>
        <w:t xml:space="preserve"> </w:t>
      </w:r>
      <w:bookmarkStart w:id="44" w:name="_Toc22769"/>
      <w:bookmarkStart w:id="45" w:name="_Toc29847"/>
      <w:bookmarkStart w:id="46" w:name="_Toc26026"/>
      <w:bookmarkStart w:id="47" w:name="_Toc23998"/>
      <w:r>
        <w:rPr>
          <w:rFonts w:hint="default" w:ascii="Times New Roman" w:hAnsi="Times New Roman" w:eastAsia="黑体" w:cs="Times New Roman"/>
          <w:color w:val="auto"/>
          <w:kern w:val="2"/>
          <w:sz w:val="32"/>
          <w:szCs w:val="24"/>
          <w:highlight w:val="none"/>
          <w:lang w:val="en-US" w:eastAsia="zh-CN" w:bidi="ar-SA"/>
        </w:rPr>
        <w:t>打造文化沉浸旅游体验地</w:t>
      </w:r>
      <w:bookmarkEnd w:id="44"/>
      <w:bookmarkEnd w:id="45"/>
      <w:bookmarkEnd w:id="46"/>
      <w:bookmarkEnd w:id="47"/>
    </w:p>
    <w:p w14:paraId="347C3A2D">
      <w:pPr>
        <w:keepNext/>
        <w:widowControl w:val="0"/>
        <w:numPr>
          <w:ilvl w:val="0"/>
          <w:numId w:val="6"/>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48" w:name="_Toc1883"/>
      <w:bookmarkStart w:id="49" w:name="_Toc12107"/>
      <w:bookmarkStart w:id="50" w:name="_Toc6959"/>
      <w:bookmarkStart w:id="51" w:name="_Toc29671"/>
      <w:r>
        <w:rPr>
          <w:rFonts w:hint="default" w:ascii="Times New Roman" w:hAnsi="Times New Roman" w:eastAsia="楷体_GB2312" w:cs="Times New Roman"/>
          <w:b/>
          <w:bCs w:val="0"/>
          <w:color w:val="auto"/>
          <w:kern w:val="2"/>
          <w:sz w:val="32"/>
          <w:szCs w:val="32"/>
          <w:highlight w:val="none"/>
          <w:lang w:val="en-US" w:eastAsia="zh-CN" w:bidi="ar-SA"/>
        </w:rPr>
        <w:t>深度挖掘传统文化核心价值</w:t>
      </w:r>
      <w:bookmarkEnd w:id="48"/>
      <w:bookmarkEnd w:id="49"/>
      <w:bookmarkEnd w:id="50"/>
      <w:bookmarkEnd w:id="51"/>
    </w:p>
    <w:p w14:paraId="61770FA6">
      <w:pPr>
        <w:bidi w:val="0"/>
        <w:spacing w:line="560" w:lineRule="exact"/>
        <w:ind w:firstLine="640" w:firstLineChars="200"/>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22"/>
          <w:highlight w:val="none"/>
          <w:lang w:val="en-US" w:eastAsia="zh-CN"/>
        </w:rPr>
        <w:t>保护传承藏羌文化根脉，加快推进桃坪羌寨、甘堡藏寨、云上蒲溪等传统村落文化生态修复，改造升级藏羌碉楼、羌族婚俗文化展陈馆，持续开展文化进景区、进校园、进民宿</w:t>
      </w:r>
      <w:r>
        <w:rPr>
          <w:rFonts w:hint="eastAsia" w:cs="Times New Roman"/>
          <w:b w:val="0"/>
          <w:bCs w:val="0"/>
          <w:color w:val="auto"/>
          <w:sz w:val="32"/>
          <w:szCs w:val="22"/>
          <w:highlight w:val="none"/>
          <w:lang w:val="en-US" w:eastAsia="zh-CN"/>
        </w:rPr>
        <w:t>活动</w:t>
      </w:r>
      <w:r>
        <w:rPr>
          <w:rFonts w:hint="default" w:ascii="Times New Roman" w:hAnsi="Times New Roman" w:eastAsia="仿宋_GB2312" w:cs="Times New Roman"/>
          <w:b w:val="0"/>
          <w:bCs w:val="0"/>
          <w:color w:val="auto"/>
          <w:sz w:val="32"/>
          <w:szCs w:val="22"/>
          <w:highlight w:val="none"/>
          <w:lang w:val="en-US" w:eastAsia="zh-CN"/>
        </w:rPr>
        <w:t>，积极培养藏羌文化、非遗传承人。继承弘扬红色文化基因，发挥红色文化铸魂育人作用，护好红色文化资源，加快建设长征国家文化公园（理县段），修复徐向前指挥部旧址、梓潼宫、红军医院、石刻标语等文物遗迹，深挖朴头红女、嘉康红盐等故事精髓，培养一批红色故事宣讲队伍。拓展创新民俗文化表达，示范建设藏羌建筑美学文化、屯兵文化、古羌文化、嘉绒文化、农耕文化等一批主题研学点，培育扎根本土、兼具专业性的群众文化队伍，让传统民俗在活态传承中焕发新生</w:t>
      </w:r>
      <w:r>
        <w:rPr>
          <w:rFonts w:hint="default" w:ascii="Times New Roman" w:hAnsi="Times New Roman" w:eastAsia="仿宋_GB2312" w:cs="Times New Roman"/>
          <w:color w:val="auto"/>
          <w:sz w:val="32"/>
          <w:szCs w:val="32"/>
          <w:highlight w:val="none"/>
          <w:lang w:val="en-US" w:eastAsia="zh-CN"/>
        </w:rPr>
        <w:t>。</w:t>
      </w:r>
    </w:p>
    <w:p w14:paraId="7A211468">
      <w:pPr>
        <w:keepNext/>
        <w:widowControl w:val="0"/>
        <w:numPr>
          <w:ilvl w:val="0"/>
          <w:numId w:val="6"/>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52" w:name="_Toc10887"/>
      <w:bookmarkStart w:id="53" w:name="_Toc26022"/>
      <w:bookmarkStart w:id="54" w:name="_Toc10939"/>
      <w:bookmarkStart w:id="55" w:name="_Toc15503"/>
      <w:r>
        <w:rPr>
          <w:rFonts w:hint="default" w:ascii="Times New Roman" w:hAnsi="Times New Roman" w:eastAsia="楷体_GB2312" w:cs="Times New Roman"/>
          <w:b/>
          <w:bCs w:val="0"/>
          <w:color w:val="auto"/>
          <w:kern w:val="2"/>
          <w:sz w:val="32"/>
          <w:szCs w:val="32"/>
          <w:highlight w:val="none"/>
          <w:lang w:val="en-US" w:eastAsia="zh-CN" w:bidi="ar-SA"/>
        </w:rPr>
        <w:t>丰富文化体验研学产品供给</w:t>
      </w:r>
      <w:bookmarkEnd w:id="52"/>
      <w:bookmarkEnd w:id="53"/>
      <w:bookmarkEnd w:id="54"/>
      <w:bookmarkEnd w:id="55"/>
    </w:p>
    <w:p w14:paraId="22BA7337">
      <w:pPr>
        <w:bidi w:val="0"/>
        <w:spacing w:line="560" w:lineRule="exact"/>
        <w:ind w:firstLine="640" w:firstLineChars="200"/>
        <w:rPr>
          <w:rFonts w:hint="default" w:ascii="Times New Roman" w:hAnsi="Times New Roman" w:eastAsia="仿宋_GB2312" w:cs="Times New Roman"/>
          <w:b w:val="0"/>
          <w:bCs w:val="0"/>
          <w:color w:val="auto"/>
          <w:sz w:val="32"/>
          <w:szCs w:val="22"/>
          <w:highlight w:val="none"/>
          <w:lang w:val="en-US" w:eastAsia="zh-CN"/>
        </w:rPr>
      </w:pPr>
      <w:r>
        <w:rPr>
          <w:rFonts w:hint="default" w:ascii="Times New Roman" w:hAnsi="Times New Roman" w:eastAsia="仿宋_GB2312" w:cs="Times New Roman"/>
          <w:b w:val="0"/>
          <w:bCs w:val="0"/>
          <w:color w:val="auto"/>
          <w:sz w:val="32"/>
          <w:szCs w:val="22"/>
          <w:highlight w:val="none"/>
          <w:lang w:val="en-US" w:eastAsia="zh-CN"/>
        </w:rPr>
        <w:t>打造多元文化研学基地，</w:t>
      </w:r>
      <w:r>
        <w:rPr>
          <w:rFonts w:hint="default" w:ascii="Times New Roman" w:hAnsi="Times New Roman" w:eastAsia="仿宋_GB2312" w:cs="Times New Roman"/>
          <w:color w:val="auto"/>
          <w:sz w:val="32"/>
          <w:szCs w:val="22"/>
          <w:highlight w:val="none"/>
          <w:lang w:val="en-US" w:eastAsia="zh-CN"/>
        </w:rPr>
        <w:t>依托现有博物馆、文化场馆、红色遗址及特色产业园区，</w:t>
      </w:r>
      <w:r>
        <w:rPr>
          <w:rFonts w:hint="default" w:ascii="Times New Roman" w:hAnsi="Times New Roman" w:eastAsia="仿宋_GB2312" w:cs="Times New Roman"/>
          <w:b w:val="0"/>
          <w:bCs w:val="0"/>
          <w:color w:val="auto"/>
          <w:sz w:val="32"/>
          <w:szCs w:val="22"/>
          <w:highlight w:val="none"/>
          <w:lang w:val="en-US" w:eastAsia="zh-CN"/>
        </w:rPr>
        <w:t>因地制宜培育藏羌文化、红色文化、民俗文化三大类研学产品，示范建设一批藏羌文化、红色文化、民俗文化等研学旅游基地，科学规划建设覆盖全域、主题鲜明的研学旅游基地网络。开发文化深度体验研学线路，以桃坪羌寨、甘堡藏寨为核心推广“藏羌文化深度体验”研学线路，串联非遗工坊、传统村落，沉浸式感受碉楼建筑、民俗礼仪；以朴头镇、下孟乡为核心推广“红盐之路”红色研学线路，结合红军遗址、红色故事宣讲，打造爱国主义教育场景。强化研学服务保障，制定标准化研学服务规范，培育专业研学导师队伍，联动民宿、景区推出“研学+住宿+餐饮”一体化套餐，提升研学体验的完整性与舒适度。</w:t>
      </w:r>
    </w:p>
    <w:p w14:paraId="20940CCB">
      <w:pPr>
        <w:keepNext/>
        <w:widowControl w:val="0"/>
        <w:numPr>
          <w:ilvl w:val="0"/>
          <w:numId w:val="6"/>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56" w:name="_Toc16376"/>
      <w:bookmarkStart w:id="57" w:name="_Toc9779"/>
      <w:bookmarkStart w:id="58" w:name="_Toc18325"/>
      <w:bookmarkStart w:id="59" w:name="_Toc21531"/>
      <w:r>
        <w:rPr>
          <w:rFonts w:hint="default" w:ascii="Times New Roman" w:hAnsi="Times New Roman" w:eastAsia="楷体_GB2312" w:cs="Times New Roman"/>
          <w:b/>
          <w:bCs w:val="0"/>
          <w:color w:val="auto"/>
          <w:kern w:val="2"/>
          <w:sz w:val="32"/>
          <w:szCs w:val="32"/>
          <w:highlight w:val="none"/>
          <w:lang w:val="en-US" w:eastAsia="zh-CN" w:bidi="ar-SA"/>
        </w:rPr>
        <w:t>创新文化沉浸体验场景</w:t>
      </w:r>
      <w:bookmarkEnd w:id="56"/>
      <w:bookmarkEnd w:id="57"/>
      <w:bookmarkEnd w:id="58"/>
      <w:bookmarkEnd w:id="59"/>
      <w:r>
        <w:rPr>
          <w:rFonts w:hint="default" w:ascii="Times New Roman" w:hAnsi="Times New Roman" w:eastAsia="楷体_GB2312" w:cs="Times New Roman"/>
          <w:b/>
          <w:bCs w:val="0"/>
          <w:color w:val="auto"/>
          <w:kern w:val="2"/>
          <w:sz w:val="32"/>
          <w:szCs w:val="32"/>
          <w:highlight w:val="none"/>
          <w:lang w:val="en-US" w:eastAsia="zh-CN" w:bidi="ar-SA"/>
        </w:rPr>
        <w:t xml:space="preserve"> </w:t>
      </w:r>
    </w:p>
    <w:p w14:paraId="2AE4EA8B">
      <w:pPr>
        <w:widowControl w:val="0"/>
        <w:spacing w:line="560" w:lineRule="exact"/>
        <w:ind w:firstLine="640" w:firstLineChars="200"/>
        <w:jc w:val="both"/>
        <w:rPr>
          <w:rFonts w:hint="default" w:ascii="Times New Roman" w:hAnsi="Times New Roman" w:eastAsia="仿宋_GB2312" w:cs="Times New Roman"/>
          <w:b w:val="0"/>
          <w:bCs w:val="0"/>
          <w:color w:val="auto"/>
          <w:kern w:val="2"/>
          <w:sz w:val="32"/>
          <w:szCs w:val="22"/>
          <w:highlight w:val="none"/>
          <w:lang w:val="en-US" w:eastAsia="zh-CN" w:bidi="ar-SA"/>
        </w:rPr>
      </w:pPr>
      <w:r>
        <w:rPr>
          <w:rFonts w:hint="default" w:ascii="Times New Roman" w:hAnsi="Times New Roman" w:eastAsia="仿宋_GB2312" w:cs="Times New Roman"/>
          <w:b w:val="0"/>
          <w:bCs w:val="0"/>
          <w:color w:val="auto"/>
          <w:kern w:val="2"/>
          <w:sz w:val="32"/>
          <w:szCs w:val="22"/>
          <w:highlight w:val="none"/>
          <w:lang w:val="en-US" w:eastAsia="zh-CN" w:bidi="ar-SA"/>
        </w:rPr>
        <w:t>深化非遗传承体验，以桃坪羌寨、甘堡藏寨等非遗传习所、非遗工坊等为载体，策划藏织羌绣、藏羌剪纸、羌笛制作、羌寨传统酿酒、藏式酥油茶制作等沉浸式手工体验场景，搭建藏羌文化数智化保护与展示平台，开发《博巴森根》《云上羌歌》实景光影演艺剧目和VR古寨探秘等沉浸式展演游戏活动，让非遗文化可感可触。打造红色生活体验，依托文化广场、重点集镇等建设微景观、体验厅、浮雕墙等文化载体，还原红军生活场景，推出吃红军饭、睡宿营帐篷等体验场景。强化民俗活动体验，鼓励筹办若木纽</w:t>
      </w:r>
      <w:r>
        <w:rPr>
          <w:rFonts w:hint="eastAsia" w:cs="Times New Roman"/>
          <w:b w:val="0"/>
          <w:bCs w:val="0"/>
          <w:color w:val="auto"/>
          <w:kern w:val="2"/>
          <w:sz w:val="32"/>
          <w:szCs w:val="22"/>
          <w:highlight w:val="none"/>
          <w:lang w:val="en-US" w:eastAsia="zh-CN" w:bidi="ar-SA"/>
        </w:rPr>
        <w:t>节</w:t>
      </w:r>
      <w:r>
        <w:rPr>
          <w:rFonts w:hint="default" w:ascii="Times New Roman" w:hAnsi="Times New Roman" w:eastAsia="仿宋_GB2312" w:cs="Times New Roman"/>
          <w:b w:val="0"/>
          <w:bCs w:val="0"/>
          <w:color w:val="auto"/>
          <w:kern w:val="2"/>
          <w:sz w:val="32"/>
          <w:szCs w:val="22"/>
          <w:highlight w:val="none"/>
          <w:lang w:val="en-US" w:eastAsia="zh-CN" w:bidi="ar-SA"/>
        </w:rPr>
        <w:t>、夬儒节、花儿纳吉</w:t>
      </w:r>
      <w:r>
        <w:rPr>
          <w:rFonts w:hint="eastAsia" w:cs="Times New Roman"/>
          <w:b w:val="0"/>
          <w:bCs w:val="0"/>
          <w:color w:val="auto"/>
          <w:kern w:val="2"/>
          <w:sz w:val="32"/>
          <w:szCs w:val="22"/>
          <w:highlight w:val="none"/>
          <w:lang w:val="en-US" w:eastAsia="zh-CN" w:bidi="ar-SA"/>
        </w:rPr>
        <w:t>赛歌节</w:t>
      </w:r>
      <w:r>
        <w:rPr>
          <w:rFonts w:hint="default" w:ascii="Times New Roman" w:hAnsi="Times New Roman" w:eastAsia="仿宋_GB2312" w:cs="Times New Roman"/>
          <w:b w:val="0"/>
          <w:bCs w:val="0"/>
          <w:color w:val="auto"/>
          <w:kern w:val="2"/>
          <w:sz w:val="32"/>
          <w:szCs w:val="22"/>
          <w:highlight w:val="none"/>
          <w:lang w:val="en-US" w:eastAsia="zh-CN" w:bidi="ar-SA"/>
        </w:rPr>
        <w:t>等民俗文化节庆活动研学专场，开发锅庄舞教学、羌年传统习俗参与、民歌教学等体验场景。</w:t>
      </w:r>
    </w:p>
    <w:p w14:paraId="4ECED3AF">
      <w:pPr>
        <w:keepNext/>
        <w:widowControl w:val="0"/>
        <w:numPr>
          <w:ilvl w:val="0"/>
          <w:numId w:val="1"/>
        </w:numPr>
        <w:bidi w:val="0"/>
        <w:snapToGrid w:val="0"/>
        <w:spacing w:before="100" w:beforeLines="100" w:after="100" w:afterLines="100" w:line="560" w:lineRule="exact"/>
        <w:ind w:left="0" w:leftChars="0" w:firstLine="0" w:firstLineChars="0"/>
        <w:jc w:val="center"/>
        <w:outlineLvl w:val="1"/>
        <w:rPr>
          <w:rFonts w:hint="default" w:ascii="Times New Roman" w:hAnsi="Times New Roman" w:eastAsia="黑体" w:cs="Times New Roman"/>
          <w:color w:val="auto"/>
          <w:kern w:val="2"/>
          <w:sz w:val="32"/>
          <w:szCs w:val="24"/>
          <w:highlight w:val="none"/>
          <w:lang w:val="en-US" w:eastAsia="zh-CN" w:bidi="ar-SA"/>
        </w:rPr>
      </w:pPr>
      <w:bookmarkStart w:id="60" w:name="_Toc18956"/>
      <w:bookmarkStart w:id="61" w:name="_Toc26841"/>
      <w:r>
        <w:rPr>
          <w:rFonts w:hint="default" w:ascii="Times New Roman" w:hAnsi="Times New Roman" w:eastAsia="黑体" w:cs="Times New Roman"/>
          <w:color w:val="auto"/>
          <w:kern w:val="2"/>
          <w:sz w:val="32"/>
          <w:szCs w:val="24"/>
          <w:highlight w:val="none"/>
          <w:lang w:val="en-US" w:eastAsia="zh-CN" w:bidi="ar-SA"/>
        </w:rPr>
        <w:t xml:space="preserve"> </w:t>
      </w:r>
      <w:bookmarkStart w:id="62" w:name="_Toc17972"/>
      <w:bookmarkStart w:id="63" w:name="_Toc23260"/>
      <w:r>
        <w:rPr>
          <w:rFonts w:hint="default" w:ascii="Times New Roman" w:hAnsi="Times New Roman" w:eastAsia="黑体" w:cs="Times New Roman"/>
          <w:color w:val="auto"/>
          <w:kern w:val="2"/>
          <w:sz w:val="32"/>
          <w:szCs w:val="24"/>
          <w:highlight w:val="none"/>
          <w:lang w:val="en-US" w:eastAsia="zh-CN" w:bidi="ar-SA"/>
        </w:rPr>
        <w:t>打造生态观光旅游示范地</w:t>
      </w:r>
      <w:bookmarkEnd w:id="60"/>
      <w:bookmarkEnd w:id="61"/>
      <w:bookmarkEnd w:id="62"/>
      <w:bookmarkEnd w:id="63"/>
    </w:p>
    <w:p w14:paraId="2AEB5B9F">
      <w:pPr>
        <w:keepNext/>
        <w:widowControl w:val="0"/>
        <w:numPr>
          <w:ilvl w:val="0"/>
          <w:numId w:val="7"/>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64" w:name="_Toc9568"/>
      <w:bookmarkStart w:id="65" w:name="_Toc28090"/>
      <w:bookmarkStart w:id="66" w:name="_Toc10644"/>
      <w:bookmarkStart w:id="67" w:name="_Toc23854"/>
      <w:r>
        <w:rPr>
          <w:rFonts w:hint="default" w:ascii="Times New Roman" w:hAnsi="Times New Roman" w:eastAsia="楷体_GB2312" w:cs="Times New Roman"/>
          <w:b/>
          <w:bCs w:val="0"/>
          <w:color w:val="auto"/>
          <w:kern w:val="2"/>
          <w:sz w:val="32"/>
          <w:szCs w:val="32"/>
          <w:highlight w:val="none"/>
          <w:lang w:val="en-US" w:eastAsia="zh-CN" w:bidi="ar-SA"/>
        </w:rPr>
        <w:t>打造生态旅游串联动线</w:t>
      </w:r>
      <w:bookmarkEnd w:id="64"/>
      <w:bookmarkEnd w:id="65"/>
      <w:bookmarkEnd w:id="66"/>
      <w:bookmarkEnd w:id="67"/>
    </w:p>
    <w:p w14:paraId="7600F358">
      <w:pPr>
        <w:bidi w:val="0"/>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color w:val="auto"/>
          <w:sz w:val="32"/>
          <w:szCs w:val="22"/>
          <w:highlight w:val="none"/>
          <w:lang w:eastAsia="zh-CN"/>
        </w:rPr>
        <w:t>紧扣“藏羌生态文明走廊”五维复合定位，以杂谷脑河流域、国道317线、理小路为核心纽带，构建“一轴串珠、多线联动”的生态旅游空间动线，主轴串联毕棚沟、米亚罗、桃坪羌寨等核心景区，支线辐射九子屯遗址公园、高桥沟、大沟等特色节点，形成全域覆盖的旅游网络。走廊关键节点布局藏羌非遗体验站、生态解说牌与观景休憩平台，植入碉楼微景观、羌绣文化标识等地域元素，推动“路景融合”“村景联动”。同步优化沿线村镇风貌，规范业态布局，让道路既是交通要道，也是生态景观带和文化展示带，实现“车行景中、人在画游”的沉浸式体验，助力全域旅游从“点上出彩”向“全线成景”跃升。</w:t>
      </w:r>
    </w:p>
    <w:p w14:paraId="62B8BB5E">
      <w:pPr>
        <w:keepNext/>
        <w:widowControl w:val="0"/>
        <w:numPr>
          <w:ilvl w:val="0"/>
          <w:numId w:val="7"/>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68" w:name="_Toc11177"/>
      <w:bookmarkStart w:id="69" w:name="_Toc8610"/>
      <w:bookmarkStart w:id="70" w:name="_Toc28479"/>
      <w:bookmarkStart w:id="71" w:name="_Toc9983"/>
      <w:r>
        <w:rPr>
          <w:rFonts w:hint="default" w:ascii="Times New Roman" w:hAnsi="Times New Roman" w:eastAsia="楷体_GB2312" w:cs="Times New Roman"/>
          <w:b/>
          <w:bCs w:val="0"/>
          <w:color w:val="auto"/>
          <w:kern w:val="2"/>
          <w:sz w:val="32"/>
          <w:szCs w:val="32"/>
          <w:highlight w:val="none"/>
          <w:lang w:val="en-US" w:eastAsia="zh-CN" w:bidi="ar-SA"/>
        </w:rPr>
        <w:t>推进生态景区景点提质</w:t>
      </w:r>
      <w:bookmarkEnd w:id="68"/>
      <w:bookmarkEnd w:id="69"/>
      <w:bookmarkEnd w:id="70"/>
      <w:bookmarkEnd w:id="71"/>
    </w:p>
    <w:p w14:paraId="667855D4">
      <w:pPr>
        <w:bidi w:val="0"/>
        <w:spacing w:line="560" w:lineRule="exact"/>
        <w:ind w:firstLine="640" w:firstLineChars="200"/>
        <w:rPr>
          <w:rFonts w:hint="default" w:ascii="Times New Roman" w:hAnsi="Times New Roman" w:eastAsia="仿宋_GB2312" w:cs="Times New Roman"/>
          <w:color w:val="auto"/>
          <w:sz w:val="32"/>
          <w:szCs w:val="22"/>
          <w:highlight w:val="none"/>
          <w:lang w:eastAsia="zh-CN"/>
        </w:rPr>
      </w:pPr>
      <w:r>
        <w:rPr>
          <w:rFonts w:hint="default" w:ascii="Times New Roman" w:hAnsi="Times New Roman" w:eastAsia="仿宋_GB2312" w:cs="Times New Roman"/>
          <w:b w:val="0"/>
          <w:bCs w:val="0"/>
          <w:color w:val="auto"/>
          <w:sz w:val="32"/>
          <w:szCs w:val="22"/>
          <w:highlight w:val="none"/>
          <w:lang w:val="en-US" w:eastAsia="zh-CN"/>
        </w:rPr>
        <w:t>实施核心景区强基焕新行动，</w:t>
      </w:r>
      <w:r>
        <w:rPr>
          <w:rFonts w:hint="default" w:ascii="Times New Roman" w:hAnsi="Times New Roman" w:eastAsia="仿宋_GB2312" w:cs="Times New Roman"/>
          <w:color w:val="auto"/>
          <w:sz w:val="32"/>
          <w:szCs w:val="22"/>
          <w:highlight w:val="none"/>
          <w:lang w:eastAsia="zh-CN"/>
        </w:rPr>
        <w:t>毕棚沟</w:t>
      </w:r>
      <w:r>
        <w:rPr>
          <w:rFonts w:hint="default" w:ascii="Times New Roman" w:hAnsi="Times New Roman" w:eastAsia="仿宋_GB2312" w:cs="Times New Roman"/>
          <w:color w:val="auto"/>
          <w:sz w:val="32"/>
          <w:szCs w:val="22"/>
          <w:highlight w:val="none"/>
          <w:lang w:val="en-US" w:eastAsia="zh-CN"/>
        </w:rPr>
        <w:t>景区</w:t>
      </w:r>
      <w:r>
        <w:rPr>
          <w:rFonts w:hint="default" w:ascii="Times New Roman" w:hAnsi="Times New Roman" w:eastAsia="仿宋_GB2312" w:cs="Times New Roman"/>
          <w:color w:val="auto"/>
          <w:sz w:val="32"/>
          <w:szCs w:val="22"/>
          <w:highlight w:val="none"/>
          <w:lang w:eastAsia="zh-CN"/>
        </w:rPr>
        <w:t>对标5A景区建设标准拓景扩容，实施景区索道与游客中心综合体建设</w:t>
      </w:r>
      <w:r>
        <w:rPr>
          <w:rFonts w:hint="default" w:ascii="Times New Roman" w:hAnsi="Times New Roman" w:eastAsia="仿宋_GB2312" w:cs="Times New Roman"/>
          <w:color w:val="auto"/>
          <w:sz w:val="32"/>
          <w:szCs w:val="22"/>
          <w:highlight w:val="none"/>
          <w:lang w:val="en-US" w:eastAsia="zh-CN"/>
        </w:rPr>
        <w:t>项目</w:t>
      </w:r>
      <w:r>
        <w:rPr>
          <w:rFonts w:hint="default" w:ascii="Times New Roman" w:hAnsi="Times New Roman" w:eastAsia="仿宋_GB2312" w:cs="Times New Roman"/>
          <w:color w:val="auto"/>
          <w:sz w:val="32"/>
          <w:szCs w:val="22"/>
          <w:highlight w:val="none"/>
          <w:lang w:eastAsia="zh-CN"/>
        </w:rPr>
        <w:t>，打造集旅游接待、冰雪观光、休闲度假、文化体验、景区管理等于一体的生态休闲度假区；</w:t>
      </w:r>
      <w:r>
        <w:rPr>
          <w:rFonts w:hint="default" w:ascii="Times New Roman" w:hAnsi="Times New Roman" w:eastAsia="仿宋_GB2312" w:cs="Times New Roman"/>
          <w:color w:val="auto"/>
          <w:sz w:val="32"/>
          <w:szCs w:val="22"/>
          <w:highlight w:val="none"/>
          <w:lang w:val="en-US" w:eastAsia="zh-CN"/>
        </w:rPr>
        <w:t>桃坪羌寨·甘堡藏寨景区</w:t>
      </w:r>
      <w:r>
        <w:rPr>
          <w:rFonts w:hint="default" w:ascii="Times New Roman" w:hAnsi="Times New Roman" w:eastAsia="仿宋_GB2312" w:cs="Times New Roman"/>
          <w:b w:val="0"/>
          <w:bCs w:val="0"/>
          <w:color w:val="auto"/>
          <w:sz w:val="32"/>
          <w:szCs w:val="22"/>
          <w:highlight w:val="none"/>
          <w:lang w:val="en-US" w:eastAsia="zh-CN"/>
        </w:rPr>
        <w:t>做强</w:t>
      </w:r>
      <w:r>
        <w:rPr>
          <w:rFonts w:hint="default" w:ascii="Times New Roman" w:hAnsi="Times New Roman" w:eastAsia="仿宋_GB2312" w:cs="Times New Roman"/>
          <w:color w:val="auto"/>
          <w:sz w:val="32"/>
          <w:szCs w:val="22"/>
          <w:highlight w:val="none"/>
          <w:lang w:val="en-US" w:eastAsia="zh-CN"/>
        </w:rPr>
        <w:t>金字招牌，推动国际化发展，</w:t>
      </w:r>
      <w:r>
        <w:rPr>
          <w:rFonts w:hint="default" w:ascii="Times New Roman" w:hAnsi="Times New Roman" w:eastAsia="仿宋_GB2312" w:cs="Times New Roman"/>
          <w:b w:val="0"/>
          <w:bCs w:val="0"/>
          <w:color w:val="auto"/>
          <w:sz w:val="32"/>
          <w:szCs w:val="22"/>
          <w:highlight w:val="none"/>
          <w:lang w:val="en-US" w:eastAsia="zh-CN"/>
        </w:rPr>
        <w:t>重点提升旅游服务设施品质，大力开发旅游产品，丰富旅游服务业态；</w:t>
      </w:r>
      <w:r>
        <w:rPr>
          <w:rFonts w:hint="default" w:ascii="Times New Roman" w:hAnsi="Times New Roman" w:eastAsia="仿宋_GB2312" w:cs="Times New Roman"/>
          <w:color w:val="auto"/>
          <w:sz w:val="32"/>
          <w:szCs w:val="22"/>
          <w:highlight w:val="none"/>
          <w:lang w:eastAsia="zh-CN"/>
        </w:rPr>
        <w:t>完善鹧鸪山</w:t>
      </w:r>
      <w:r>
        <w:rPr>
          <w:rFonts w:hint="default" w:ascii="Times New Roman" w:hAnsi="Times New Roman" w:eastAsia="仿宋_GB2312" w:cs="Times New Roman"/>
          <w:color w:val="auto"/>
          <w:sz w:val="32"/>
          <w:szCs w:val="22"/>
          <w:highlight w:val="none"/>
          <w:lang w:val="en-US" w:eastAsia="zh-CN"/>
        </w:rPr>
        <w:t>自然公园景区、</w:t>
      </w:r>
      <w:r>
        <w:rPr>
          <w:rFonts w:hint="default" w:ascii="Times New Roman" w:hAnsi="Times New Roman" w:eastAsia="仿宋_GB2312" w:cs="Times New Roman"/>
          <w:color w:val="auto"/>
          <w:sz w:val="32"/>
          <w:szCs w:val="22"/>
          <w:highlight w:val="none"/>
          <w:lang w:eastAsia="zh-CN"/>
        </w:rPr>
        <w:t>米亚罗红叶风景区</w:t>
      </w:r>
      <w:r>
        <w:rPr>
          <w:rFonts w:hint="default" w:ascii="Times New Roman" w:hAnsi="Times New Roman" w:eastAsia="仿宋_GB2312" w:cs="Times New Roman"/>
          <w:color w:val="auto"/>
          <w:sz w:val="32"/>
          <w:szCs w:val="22"/>
          <w:highlight w:val="none"/>
          <w:lang w:val="en-US" w:eastAsia="zh-CN"/>
        </w:rPr>
        <w:t>和</w:t>
      </w:r>
      <w:r>
        <w:rPr>
          <w:rFonts w:hint="default" w:ascii="Times New Roman" w:hAnsi="Times New Roman" w:eastAsia="仿宋_GB2312" w:cs="Times New Roman"/>
          <w:color w:val="auto"/>
          <w:sz w:val="32"/>
          <w:szCs w:val="22"/>
          <w:highlight w:val="none"/>
          <w:lang w:eastAsia="zh-CN"/>
        </w:rPr>
        <w:t>孟屯河谷</w:t>
      </w:r>
      <w:r>
        <w:rPr>
          <w:rFonts w:hint="default" w:ascii="Times New Roman" w:hAnsi="Times New Roman" w:eastAsia="仿宋_GB2312" w:cs="Times New Roman"/>
          <w:color w:val="auto"/>
          <w:sz w:val="32"/>
          <w:szCs w:val="22"/>
          <w:highlight w:val="none"/>
          <w:lang w:val="en-US" w:eastAsia="zh-CN"/>
        </w:rPr>
        <w:t>景区等设施配套和业态功能</w:t>
      </w:r>
      <w:r>
        <w:rPr>
          <w:rFonts w:hint="default" w:ascii="Times New Roman" w:hAnsi="Times New Roman" w:eastAsia="仿宋_GB2312" w:cs="Times New Roman"/>
          <w:color w:val="auto"/>
          <w:sz w:val="32"/>
          <w:szCs w:val="22"/>
          <w:highlight w:val="none"/>
          <w:lang w:eastAsia="zh-CN"/>
        </w:rPr>
        <w:t>，</w:t>
      </w:r>
      <w:r>
        <w:rPr>
          <w:rFonts w:hint="default" w:ascii="Times New Roman" w:hAnsi="Times New Roman" w:eastAsia="仿宋_GB2312" w:cs="Times New Roman"/>
          <w:color w:val="auto"/>
          <w:sz w:val="32"/>
          <w:szCs w:val="22"/>
          <w:highlight w:val="none"/>
          <w:lang w:val="en-US" w:eastAsia="zh-CN"/>
        </w:rPr>
        <w:t>推进</w:t>
      </w:r>
      <w:r>
        <w:rPr>
          <w:rFonts w:hint="default" w:ascii="Times New Roman" w:hAnsi="Times New Roman" w:eastAsia="仿宋_GB2312" w:cs="Times New Roman"/>
          <w:color w:val="auto"/>
          <w:sz w:val="32"/>
          <w:szCs w:val="22"/>
          <w:highlight w:val="none"/>
          <w:lang w:eastAsia="zh-CN"/>
        </w:rPr>
        <w:t>古尔沟国家级旅游度假区</w:t>
      </w:r>
      <w:r>
        <w:rPr>
          <w:rFonts w:hint="default" w:ascii="Times New Roman" w:hAnsi="Times New Roman" w:eastAsia="仿宋_GB2312" w:cs="Times New Roman"/>
          <w:color w:val="auto"/>
          <w:sz w:val="32"/>
          <w:szCs w:val="22"/>
          <w:highlight w:val="none"/>
          <w:lang w:val="en-US" w:eastAsia="zh-CN"/>
        </w:rPr>
        <w:t>建设，</w:t>
      </w:r>
      <w:r>
        <w:rPr>
          <w:rFonts w:hint="default" w:ascii="Times New Roman" w:hAnsi="Times New Roman" w:eastAsia="仿宋_GB2312" w:cs="Times New Roman"/>
          <w:color w:val="auto"/>
          <w:sz w:val="32"/>
          <w:szCs w:val="22"/>
          <w:highlight w:val="none"/>
          <w:lang w:eastAsia="zh-CN"/>
        </w:rPr>
        <w:t>推动景区从单一观光向“</w:t>
      </w:r>
      <w:r>
        <w:rPr>
          <w:rFonts w:hint="default" w:ascii="Times New Roman" w:hAnsi="Times New Roman" w:eastAsia="仿宋_GB2312" w:cs="Times New Roman"/>
          <w:color w:val="auto"/>
          <w:sz w:val="32"/>
          <w:szCs w:val="22"/>
          <w:highlight w:val="none"/>
          <w:lang w:val="en-US" w:eastAsia="zh-CN"/>
        </w:rPr>
        <w:t>生态</w:t>
      </w:r>
      <w:r>
        <w:rPr>
          <w:rFonts w:hint="default" w:ascii="Times New Roman" w:hAnsi="Times New Roman" w:eastAsia="仿宋_GB2312" w:cs="Times New Roman"/>
          <w:color w:val="auto"/>
          <w:sz w:val="32"/>
          <w:szCs w:val="22"/>
          <w:highlight w:val="none"/>
          <w:lang w:eastAsia="zh-CN"/>
        </w:rPr>
        <w:t>观光+体验+度假”转型。</w:t>
      </w:r>
      <w:r>
        <w:rPr>
          <w:rFonts w:hint="default" w:ascii="Times New Roman" w:hAnsi="Times New Roman" w:eastAsia="仿宋_GB2312" w:cs="Times New Roman"/>
          <w:b w:val="0"/>
          <w:bCs w:val="0"/>
          <w:color w:val="auto"/>
          <w:sz w:val="32"/>
          <w:szCs w:val="22"/>
          <w:highlight w:val="none"/>
          <w:lang w:val="en-US" w:eastAsia="zh-CN"/>
        </w:rPr>
        <w:t>激活特色生态节点价值，推进九子屯遗址公园建设，丰富高桥沟、大沟等生态景区景点四季业态，支持开发附加产业。</w:t>
      </w:r>
      <w:r>
        <w:rPr>
          <w:rFonts w:hint="default" w:ascii="Times New Roman" w:hAnsi="Times New Roman" w:eastAsia="仿宋_GB2312" w:cs="Times New Roman"/>
          <w:color w:val="auto"/>
          <w:sz w:val="32"/>
          <w:szCs w:val="22"/>
          <w:highlight w:val="none"/>
          <w:lang w:eastAsia="zh-CN"/>
        </w:rPr>
        <w:t>加强景区运营管理，开展鹧鸪山自然公园、毕棚沟等景区投资融资、人才招引，推动管理理念、服务流程创新，提升科学化、规范化、专业化管理水平，全面激活生态景区核心竞争力。</w:t>
      </w:r>
    </w:p>
    <w:p w14:paraId="741C1D55">
      <w:pPr>
        <w:keepNext/>
        <w:widowControl w:val="0"/>
        <w:numPr>
          <w:ilvl w:val="0"/>
          <w:numId w:val="7"/>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72" w:name="_Toc1461"/>
      <w:bookmarkStart w:id="73" w:name="_Toc7074"/>
      <w:bookmarkStart w:id="74" w:name="_Toc28332"/>
      <w:bookmarkStart w:id="75" w:name="_Toc13394"/>
      <w:r>
        <w:rPr>
          <w:rFonts w:hint="default" w:ascii="Times New Roman" w:hAnsi="Times New Roman" w:eastAsia="楷体_GB2312" w:cs="Times New Roman"/>
          <w:b/>
          <w:bCs w:val="0"/>
          <w:color w:val="auto"/>
          <w:kern w:val="2"/>
          <w:sz w:val="32"/>
          <w:szCs w:val="32"/>
          <w:highlight w:val="none"/>
          <w:lang w:val="en-US" w:eastAsia="zh-CN" w:bidi="ar-SA"/>
        </w:rPr>
        <w:t>丰富生态旅游体验</w:t>
      </w:r>
      <w:bookmarkEnd w:id="72"/>
      <w:bookmarkEnd w:id="73"/>
      <w:bookmarkEnd w:id="74"/>
      <w:bookmarkEnd w:id="75"/>
    </w:p>
    <w:p w14:paraId="15759FE9">
      <w:pPr>
        <w:bidi w:val="0"/>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color w:val="auto"/>
          <w:sz w:val="32"/>
          <w:szCs w:val="22"/>
          <w:highlight w:val="none"/>
          <w:lang w:val="en-US" w:eastAsia="zh-CN"/>
        </w:rPr>
        <w:t>打造特色生态研学产品，因地制宜研发雪山冰川科考、生物多样性观察、水文地质考察等研学项目，重点建设米亚罗红叶、古尔沟温泉、毕棚沟山水、梭罗沟高原蔬菜农旅综合体等自然科普类研学基地。拓展多元生态体验项目，支持冷水鱼基地升级，打造集生态养殖、科研繁育、休闲垂钓、渔业科普为一体的现代化渔业产业园，推动毕棚沟科普展览馆提质，通过VR、全息影像等新技术新手段生动展示，增强生态科普的趣味性和参与感。科学管控生态旅游资源，规范管理冰川雪山、森林草甸、高山海子等未开放优质资源，确保生态系统的原真性和完整性，让游客亲近自然、感悟山水。</w:t>
      </w:r>
    </w:p>
    <w:p w14:paraId="7DF1DF3E">
      <w:pPr>
        <w:keepNext/>
        <w:widowControl w:val="0"/>
        <w:numPr>
          <w:ilvl w:val="0"/>
          <w:numId w:val="1"/>
        </w:numPr>
        <w:bidi w:val="0"/>
        <w:snapToGrid w:val="0"/>
        <w:spacing w:before="100" w:beforeLines="100" w:after="100" w:afterLines="100" w:line="560" w:lineRule="exact"/>
        <w:ind w:left="0" w:leftChars="0" w:firstLine="0" w:firstLineChars="0"/>
        <w:jc w:val="center"/>
        <w:outlineLvl w:val="1"/>
        <w:rPr>
          <w:rFonts w:hint="default" w:ascii="Times New Roman" w:hAnsi="Times New Roman" w:eastAsia="黑体" w:cs="Times New Roman"/>
          <w:color w:val="auto"/>
          <w:kern w:val="2"/>
          <w:sz w:val="32"/>
          <w:szCs w:val="24"/>
          <w:highlight w:val="none"/>
          <w:lang w:val="en-US" w:eastAsia="zh-CN" w:bidi="ar-SA"/>
        </w:rPr>
      </w:pPr>
      <w:bookmarkStart w:id="76" w:name="_Toc8016"/>
      <w:bookmarkStart w:id="77" w:name="_Toc1079"/>
      <w:r>
        <w:rPr>
          <w:rFonts w:hint="default" w:ascii="Times New Roman" w:hAnsi="Times New Roman" w:eastAsia="黑体" w:cs="Times New Roman"/>
          <w:color w:val="auto"/>
          <w:kern w:val="2"/>
          <w:sz w:val="32"/>
          <w:szCs w:val="24"/>
          <w:highlight w:val="none"/>
          <w:lang w:val="en-US" w:eastAsia="zh-CN" w:bidi="ar-SA"/>
        </w:rPr>
        <w:t xml:space="preserve"> </w:t>
      </w:r>
      <w:bookmarkStart w:id="78" w:name="_Toc8379"/>
      <w:bookmarkStart w:id="79" w:name="_Toc29748"/>
      <w:r>
        <w:rPr>
          <w:rFonts w:hint="default" w:ascii="Times New Roman" w:hAnsi="Times New Roman" w:eastAsia="黑体" w:cs="Times New Roman"/>
          <w:color w:val="auto"/>
          <w:kern w:val="2"/>
          <w:sz w:val="32"/>
          <w:szCs w:val="24"/>
          <w:highlight w:val="none"/>
          <w:lang w:val="en-US" w:eastAsia="zh-CN" w:bidi="ar-SA"/>
        </w:rPr>
        <w:t>打造康养休闲旅游引领地</w:t>
      </w:r>
      <w:bookmarkEnd w:id="76"/>
      <w:bookmarkEnd w:id="77"/>
      <w:bookmarkEnd w:id="78"/>
      <w:bookmarkEnd w:id="79"/>
    </w:p>
    <w:p w14:paraId="00626002">
      <w:pPr>
        <w:keepNext/>
        <w:widowControl w:val="0"/>
        <w:numPr>
          <w:ilvl w:val="0"/>
          <w:numId w:val="8"/>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80" w:name="_Toc24641"/>
      <w:bookmarkStart w:id="81" w:name="_Toc26291"/>
      <w:bookmarkStart w:id="82" w:name="_Toc18270"/>
      <w:bookmarkStart w:id="83" w:name="_Toc6710"/>
      <w:r>
        <w:rPr>
          <w:rFonts w:hint="default" w:ascii="Times New Roman" w:hAnsi="Times New Roman" w:eastAsia="楷体_GB2312" w:cs="Times New Roman"/>
          <w:b/>
          <w:bCs w:val="0"/>
          <w:color w:val="auto"/>
          <w:kern w:val="2"/>
          <w:sz w:val="32"/>
          <w:szCs w:val="32"/>
          <w:highlight w:val="none"/>
          <w:lang w:val="en-US" w:eastAsia="zh-CN" w:bidi="ar-SA"/>
        </w:rPr>
        <w:t>提升乡村景区化水平</w:t>
      </w:r>
      <w:bookmarkEnd w:id="80"/>
      <w:bookmarkEnd w:id="81"/>
      <w:bookmarkEnd w:id="82"/>
      <w:bookmarkEnd w:id="83"/>
    </w:p>
    <w:p w14:paraId="1AFDC378">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b w:val="0"/>
          <w:bCs w:val="0"/>
          <w:color w:val="auto"/>
          <w:sz w:val="32"/>
          <w:szCs w:val="22"/>
          <w:highlight w:val="none"/>
          <w:lang w:val="en-US" w:eastAsia="zh-CN"/>
        </w:rPr>
        <w:t>提升乡村旅游服务质效，以桃坪羌寨、甘堡藏寨、木卡老寨为重点，系统升级导览、住宿等配套，推行“服务标准+藏羌特色”模式，强化民俗体验场景，提升游客沉浸感。打造乡村旅游示范样板，</w:t>
      </w:r>
      <w:r>
        <w:rPr>
          <w:rFonts w:hint="default" w:ascii="Times New Roman" w:hAnsi="Times New Roman" w:eastAsia="仿宋_GB2312" w:cs="Times New Roman"/>
          <w:color w:val="auto"/>
          <w:sz w:val="32"/>
          <w:szCs w:val="22"/>
          <w:highlight w:val="none"/>
          <w:lang w:val="en-US" w:eastAsia="zh-CN"/>
        </w:rPr>
        <w:t>支持桃坪羌寨</w:t>
      </w:r>
      <w:r>
        <w:rPr>
          <w:rFonts w:hint="default" w:ascii="Times New Roman" w:hAnsi="Times New Roman" w:eastAsia="仿宋_GB2312" w:cs="Times New Roman"/>
          <w:color w:val="auto"/>
          <w:sz w:val="32"/>
          <w:szCs w:val="22"/>
          <w:highlight w:val="none"/>
          <w:lang w:eastAsia="zh-CN"/>
        </w:rPr>
        <w:t>高标准建设</w:t>
      </w:r>
      <w:r>
        <w:rPr>
          <w:rFonts w:hint="default" w:ascii="Times New Roman" w:hAnsi="Times New Roman" w:eastAsia="仿宋_GB2312" w:cs="Times New Roman"/>
          <w:color w:val="auto"/>
          <w:sz w:val="32"/>
          <w:szCs w:val="22"/>
          <w:highlight w:val="none"/>
          <w:lang w:val="en-US" w:eastAsia="zh-CN"/>
        </w:rPr>
        <w:t>“世界最佳旅游乡村”，</w:t>
      </w:r>
      <w:r>
        <w:rPr>
          <w:rFonts w:hint="default" w:ascii="Times New Roman" w:hAnsi="Times New Roman" w:eastAsia="仿宋_GB2312" w:cs="Times New Roman"/>
          <w:b w:val="0"/>
          <w:bCs w:val="0"/>
          <w:color w:val="auto"/>
          <w:sz w:val="32"/>
          <w:szCs w:val="22"/>
          <w:highlight w:val="none"/>
          <w:lang w:val="en-US" w:eastAsia="zh-CN"/>
        </w:rPr>
        <w:t>推进田园卡子、和美官田、枫情八角碉等乡村旅游样板建设，培育景观农业、采摘体验、特色美食等消费场景，</w:t>
      </w:r>
      <w:r>
        <w:rPr>
          <w:rFonts w:hint="default" w:ascii="Times New Roman" w:hAnsi="Times New Roman" w:eastAsia="仿宋_GB2312" w:cs="Times New Roman"/>
          <w:b w:val="0"/>
          <w:bCs w:val="0"/>
          <w:color w:val="auto"/>
          <w:sz w:val="32"/>
          <w:szCs w:val="22"/>
          <w:highlight w:val="none"/>
          <w:lang w:eastAsia="zh-CN"/>
        </w:rPr>
        <w:t>塑造“一村一韵、寨寨精彩”的精</w:t>
      </w:r>
      <w:r>
        <w:rPr>
          <w:rFonts w:hint="default" w:ascii="Times New Roman" w:hAnsi="Times New Roman" w:eastAsia="仿宋_GB2312" w:cs="Times New Roman"/>
          <w:b w:val="0"/>
          <w:bCs w:val="0"/>
          <w:color w:val="auto"/>
          <w:sz w:val="32"/>
          <w:szCs w:val="22"/>
          <w:highlight w:val="none"/>
          <w:lang w:val="en-US" w:eastAsia="zh-CN"/>
        </w:rPr>
        <w:t>美</w:t>
      </w:r>
      <w:r>
        <w:rPr>
          <w:rFonts w:hint="default" w:ascii="Times New Roman" w:hAnsi="Times New Roman" w:eastAsia="仿宋_GB2312" w:cs="Times New Roman"/>
          <w:b w:val="0"/>
          <w:bCs w:val="0"/>
          <w:color w:val="auto"/>
          <w:sz w:val="32"/>
          <w:szCs w:val="22"/>
          <w:highlight w:val="none"/>
          <w:lang w:eastAsia="zh-CN"/>
        </w:rPr>
        <w:t>村寨品牌形象</w:t>
      </w:r>
      <w:r>
        <w:rPr>
          <w:rFonts w:hint="default" w:ascii="Times New Roman" w:hAnsi="Times New Roman" w:eastAsia="仿宋_GB2312" w:cs="Times New Roman"/>
          <w:b w:val="0"/>
          <w:bCs w:val="0"/>
          <w:color w:val="auto"/>
          <w:sz w:val="32"/>
          <w:szCs w:val="22"/>
          <w:highlight w:val="none"/>
          <w:lang w:val="en-US" w:eastAsia="zh-CN"/>
        </w:rPr>
        <w:t>。推动乡村旅游联农富农，支持高原巨鑫、米老头等企业技改升级，强化优质农产品与企业利益联结，提升卡子核桃、佳山苹果、梭罗沟大白菜、高原冷水鱼等农特产品附加值，建设研学体验工坊，打造“采摘—加工—品鉴—购买”全链服务，将农产品转化为高附加值旅游商品，让乡村旅游发展成果切实惠及群众。</w:t>
      </w:r>
    </w:p>
    <w:p w14:paraId="0714BA79">
      <w:pPr>
        <w:keepNext/>
        <w:widowControl w:val="0"/>
        <w:numPr>
          <w:ilvl w:val="0"/>
          <w:numId w:val="7"/>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84" w:name="_Toc11927"/>
      <w:bookmarkStart w:id="85" w:name="_Toc30285"/>
      <w:bookmarkStart w:id="86" w:name="_Toc4724"/>
      <w:bookmarkStart w:id="87" w:name="_Toc2974"/>
      <w:r>
        <w:rPr>
          <w:rFonts w:hint="default" w:ascii="Times New Roman" w:hAnsi="Times New Roman" w:eastAsia="楷体_GB2312" w:cs="Times New Roman"/>
          <w:b/>
          <w:bCs w:val="0"/>
          <w:color w:val="auto"/>
          <w:kern w:val="2"/>
          <w:sz w:val="32"/>
          <w:szCs w:val="32"/>
          <w:highlight w:val="none"/>
          <w:lang w:val="en-US" w:eastAsia="zh-CN" w:bidi="ar-SA"/>
        </w:rPr>
        <w:t>打造特色化民宿集群</w:t>
      </w:r>
      <w:bookmarkEnd w:id="84"/>
      <w:bookmarkEnd w:id="85"/>
      <w:bookmarkEnd w:id="86"/>
      <w:bookmarkEnd w:id="87"/>
    </w:p>
    <w:p w14:paraId="5109D18D">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仿宋_GB2312" w:cs="Times New Roman"/>
          <w:b w:val="0"/>
          <w:bCs w:val="0"/>
          <w:color w:val="auto"/>
          <w:sz w:val="32"/>
          <w:szCs w:val="22"/>
          <w:highlight w:val="none"/>
          <w:lang w:val="en-US" w:eastAsia="zh-CN"/>
        </w:rPr>
      </w:pPr>
      <w:r>
        <w:rPr>
          <w:rFonts w:hint="default" w:ascii="Times New Roman" w:hAnsi="Times New Roman" w:eastAsia="仿宋_GB2312" w:cs="Times New Roman"/>
          <w:b w:val="0"/>
          <w:bCs w:val="0"/>
          <w:color w:val="auto"/>
          <w:sz w:val="32"/>
          <w:szCs w:val="22"/>
          <w:highlight w:val="none"/>
          <w:lang w:val="en-US" w:eastAsia="zh-CN"/>
        </w:rPr>
        <w:t>坚持“高端民宿主题化、中端民宿特色化、低端民宿规范化”发展思路，打造古尔沟温泉康养、孟屯河谷户外生态、桃坪羌寨文化主题和毕棚沟</w:t>
      </w:r>
      <w:r>
        <w:rPr>
          <w:rFonts w:hint="default" w:ascii="Times New Roman" w:hAnsi="Times New Roman" w:eastAsia="仿宋_GB2312" w:cs="Times New Roman"/>
          <w:b w:val="0"/>
          <w:bCs w:val="0"/>
          <w:color w:val="auto"/>
          <w:sz w:val="32"/>
          <w:szCs w:val="32"/>
          <w:highlight w:val="none"/>
          <w:lang w:val="en-US" w:eastAsia="zh-CN"/>
        </w:rPr>
        <w:t>山居休闲</w:t>
      </w:r>
      <w:r>
        <w:rPr>
          <w:rFonts w:hint="default" w:ascii="Times New Roman" w:hAnsi="Times New Roman" w:eastAsia="仿宋_GB2312" w:cs="Times New Roman"/>
          <w:b w:val="0"/>
          <w:bCs w:val="0"/>
          <w:color w:val="auto"/>
          <w:sz w:val="32"/>
          <w:szCs w:val="22"/>
          <w:highlight w:val="none"/>
          <w:lang w:val="en-US" w:eastAsia="zh-CN"/>
        </w:rPr>
        <w:t>四大民宿集群，联动建设N个民宿村落，规范民宿管理，打造民宿标杆，高质量建设“康养休闲民宿引领区”。</w:t>
      </w:r>
    </w:p>
    <w:p w14:paraId="16FD67F3">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仿宋_GB2312" w:cs="Times New Roman"/>
          <w:b w:val="0"/>
          <w:bCs w:val="0"/>
          <w:color w:val="auto"/>
          <w:sz w:val="32"/>
          <w:szCs w:val="22"/>
          <w:highlight w:val="none"/>
          <w:lang w:val="en-US" w:eastAsia="zh-CN"/>
        </w:rPr>
      </w:pPr>
      <w:bookmarkStart w:id="88" w:name="_Toc30749"/>
      <w:r>
        <w:rPr>
          <w:rFonts w:hint="default" w:ascii="Times New Roman" w:hAnsi="Times New Roman" w:eastAsia="仿宋_GB2312" w:cs="Times New Roman"/>
          <w:b/>
          <w:bCs/>
          <w:color w:val="auto"/>
          <w:sz w:val="32"/>
          <w:szCs w:val="22"/>
          <w:highlight w:val="none"/>
          <w:lang w:val="en-US" w:eastAsia="zh-CN"/>
        </w:rPr>
        <w:t>打造四大特色民宿集群</w:t>
      </w:r>
      <w:bookmarkEnd w:id="88"/>
      <w:r>
        <w:rPr>
          <w:rFonts w:hint="default" w:ascii="Times New Roman" w:hAnsi="Times New Roman" w:eastAsia="仿宋_GB2312" w:cs="Times New Roman"/>
          <w:b/>
          <w:bCs/>
          <w:color w:val="auto"/>
          <w:sz w:val="32"/>
          <w:szCs w:val="22"/>
          <w:highlight w:val="none"/>
          <w:lang w:val="en-US" w:eastAsia="zh-CN"/>
        </w:rPr>
        <w:t>。</w:t>
      </w:r>
      <w:r>
        <w:rPr>
          <w:rFonts w:hint="default" w:ascii="Times New Roman" w:hAnsi="Times New Roman" w:eastAsia="仿宋_GB2312" w:cs="Times New Roman"/>
          <w:b w:val="0"/>
          <w:bCs w:val="0"/>
          <w:color w:val="auto"/>
          <w:sz w:val="32"/>
          <w:szCs w:val="32"/>
          <w:highlight w:val="none"/>
          <w:lang w:val="en-US" w:eastAsia="zh-CN"/>
        </w:rPr>
        <w:t>古尔沟温泉康养民宿集群</w:t>
      </w:r>
      <w:r>
        <w:rPr>
          <w:rFonts w:hint="default" w:ascii="Times New Roman" w:hAnsi="Times New Roman" w:eastAsia="仿宋_GB2312" w:cs="Times New Roman"/>
          <w:color w:val="auto"/>
          <w:sz w:val="32"/>
          <w:szCs w:val="32"/>
          <w:highlight w:val="none"/>
          <w:lang w:val="en-US" w:eastAsia="zh-CN"/>
        </w:rPr>
        <w:t>挖掘古尔沟“川西第一汤”品牌价值，鼓励建设符合康养需求的温泉别墅、康养小院等民宿形态，打造川西北温泉康养民宿示范样板。</w:t>
      </w:r>
      <w:r>
        <w:rPr>
          <w:rFonts w:hint="default" w:ascii="Times New Roman" w:hAnsi="Times New Roman" w:eastAsia="仿宋_GB2312" w:cs="Times New Roman"/>
          <w:b w:val="0"/>
          <w:bCs w:val="0"/>
          <w:color w:val="auto"/>
          <w:sz w:val="32"/>
          <w:szCs w:val="32"/>
          <w:highlight w:val="none"/>
          <w:lang w:val="en-US" w:eastAsia="zh-CN"/>
        </w:rPr>
        <w:t>孟屯河谷户外生态民宿集群</w:t>
      </w:r>
      <w:r>
        <w:rPr>
          <w:rFonts w:hint="default" w:ascii="Times New Roman" w:hAnsi="Times New Roman" w:eastAsia="仿宋_GB2312" w:cs="Times New Roman"/>
          <w:color w:val="auto"/>
          <w:sz w:val="32"/>
          <w:szCs w:val="32"/>
          <w:highlight w:val="none"/>
          <w:lang w:val="en-US" w:eastAsia="zh-CN"/>
        </w:rPr>
        <w:t>锚定“户外生态+避暑度假”双定位，构建适配户外运动与避暑需求的民宿业态体系，完善供水、供电、网络等基础设施，打造一批高端民宿酒店标杆。</w:t>
      </w:r>
      <w:r>
        <w:rPr>
          <w:rFonts w:hint="default" w:ascii="Times New Roman" w:hAnsi="Times New Roman" w:eastAsia="仿宋_GB2312" w:cs="Times New Roman"/>
          <w:b w:val="0"/>
          <w:bCs w:val="0"/>
          <w:color w:val="auto"/>
          <w:sz w:val="32"/>
          <w:szCs w:val="32"/>
          <w:highlight w:val="none"/>
          <w:lang w:val="en-US" w:eastAsia="zh-CN"/>
        </w:rPr>
        <w:t>桃坪羌寨文化主题民宿集群持续深挖“羌文化”IP价值，加强非遗文化赋能</w:t>
      </w:r>
      <w:r>
        <w:rPr>
          <w:rFonts w:hint="default" w:ascii="Times New Roman" w:hAnsi="Times New Roman" w:eastAsia="仿宋_GB2312" w:cs="Times New Roman"/>
          <w:b w:val="0"/>
          <w:bCs w:val="0"/>
          <w:strike w:val="0"/>
          <w:dstrike w:val="0"/>
          <w:color w:val="auto"/>
          <w:sz w:val="32"/>
          <w:szCs w:val="32"/>
          <w:highlight w:val="none"/>
          <w:lang w:val="en-US" w:eastAsia="zh-CN"/>
        </w:rPr>
        <w:t>，</w:t>
      </w:r>
      <w:r>
        <w:rPr>
          <w:rFonts w:hint="default" w:ascii="Times New Roman" w:hAnsi="Times New Roman" w:eastAsia="仿宋_GB2312" w:cs="Times New Roman"/>
          <w:b w:val="0"/>
          <w:bCs w:val="0"/>
          <w:color w:val="auto"/>
          <w:sz w:val="32"/>
          <w:szCs w:val="32"/>
          <w:highlight w:val="none"/>
          <w:lang w:val="en-US" w:eastAsia="zh-CN"/>
        </w:rPr>
        <w:t>推动民宿从单一的住宿功能向“住、赏、品、学、创”一体化的文化深度体验转型，塑造具有国际影响力的羌文化民宿品牌。毕棚沟山居休闲民宿集群重点满足城市家庭、银发族、中长期度假者的山居慢生活体验需求，支持开发“春季赏花、夏季避暑、秋季红叶、冬季冰雪”四季田园主题产品，打造交旅融合特色乡村民宿样板。</w:t>
      </w:r>
    </w:p>
    <w:p w14:paraId="08AA0EF5">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b/>
          <w:bCs/>
          <w:color w:val="auto"/>
          <w:sz w:val="32"/>
          <w:szCs w:val="22"/>
          <w:highlight w:val="none"/>
          <w:lang w:val="en-US" w:eastAsia="zh-CN"/>
        </w:rPr>
        <w:t>建设N个民宿村落组团。</w:t>
      </w:r>
      <w:r>
        <w:rPr>
          <w:rFonts w:hint="default" w:ascii="Times New Roman" w:hAnsi="Times New Roman" w:eastAsia="仿宋_GB2312" w:cs="Times New Roman"/>
          <w:color w:val="auto"/>
          <w:sz w:val="32"/>
          <w:szCs w:val="22"/>
          <w:highlight w:val="none"/>
          <w:lang w:val="en-US" w:eastAsia="zh-CN"/>
        </w:rPr>
        <w:t>深挖村落禀赋，根据文化资源、生态资源、交通优势分类培育村落民宿产业，试点建设日波村、小沟村、胆扎木沟村、丘地村、桃坪村、卡子村等村落民宿组团，完善周边乡村公路、停车充电、旅游标识、林间步道等基础设施，通过差异化定位、场景化打造与一体化配套</w:t>
      </w:r>
      <w:r>
        <w:rPr>
          <w:rFonts w:hint="default" w:ascii="Times New Roman" w:hAnsi="Times New Roman" w:eastAsia="仿宋_GB2312" w:cs="Times New Roman"/>
          <w:strike w:val="0"/>
          <w:dstrike w:val="0"/>
          <w:color w:val="auto"/>
          <w:sz w:val="32"/>
          <w:szCs w:val="22"/>
          <w:highlight w:val="none"/>
          <w:lang w:val="en-US" w:eastAsia="zh-CN"/>
        </w:rPr>
        <w:t>，</w:t>
      </w:r>
      <w:r>
        <w:rPr>
          <w:rFonts w:hint="default" w:ascii="Times New Roman" w:hAnsi="Times New Roman" w:eastAsia="仿宋_GB2312" w:cs="Times New Roman"/>
          <w:color w:val="auto"/>
          <w:sz w:val="32"/>
          <w:szCs w:val="22"/>
          <w:highlight w:val="none"/>
          <w:lang w:val="en-US" w:eastAsia="zh-CN"/>
        </w:rPr>
        <w:t>丰富传统村落肌理与多元旅游体验。推动民宿村落与民俗节庆融合发展，推出</w:t>
      </w:r>
      <w:r>
        <w:rPr>
          <w:rFonts w:hint="default" w:ascii="Times New Roman" w:hAnsi="Times New Roman" w:eastAsia="仿宋_GB2312" w:cs="Times New Roman"/>
          <w:b w:val="0"/>
          <w:bCs w:val="0"/>
          <w:color w:val="auto"/>
          <w:sz w:val="32"/>
          <w:szCs w:val="22"/>
          <w:highlight w:val="none"/>
          <w:lang w:val="en-US" w:eastAsia="zh-CN"/>
        </w:rPr>
        <w:t>“民宿+节庆”体验套餐，</w:t>
      </w:r>
      <w:r>
        <w:rPr>
          <w:rFonts w:hint="default" w:ascii="Times New Roman" w:hAnsi="Times New Roman" w:eastAsia="仿宋_GB2312" w:cs="Times New Roman"/>
          <w:color w:val="auto"/>
          <w:sz w:val="32"/>
          <w:szCs w:val="22"/>
          <w:highlight w:val="none"/>
          <w:lang w:val="en-US" w:eastAsia="zh-CN"/>
        </w:rPr>
        <w:t>常态化举办若木纽节、夬儒节、羌年等民俗节庆活动，积极策划春日赏花、鲜果采摘等主题节事活动，打造“一乡一节”节庆IP。</w:t>
      </w:r>
    </w:p>
    <w:p w14:paraId="0721681E">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default" w:ascii="Times New Roman" w:hAnsi="Times New Roman" w:eastAsia="仿宋_GB2312" w:cs="Times New Roman"/>
          <w:b w:val="0"/>
          <w:bCs w:val="0"/>
          <w:color w:val="auto"/>
          <w:sz w:val="32"/>
          <w:szCs w:val="22"/>
          <w:highlight w:val="none"/>
          <w:lang w:val="en-US" w:eastAsia="zh-CN"/>
        </w:rPr>
      </w:pPr>
      <w:r>
        <w:rPr>
          <w:rFonts w:hint="default" w:ascii="Times New Roman" w:hAnsi="Times New Roman" w:eastAsia="仿宋_GB2312" w:cs="Times New Roman"/>
          <w:b/>
          <w:bCs/>
          <w:color w:val="auto"/>
          <w:sz w:val="32"/>
          <w:szCs w:val="22"/>
          <w:highlight w:val="none"/>
          <w:lang w:val="en-US" w:eastAsia="zh-CN"/>
        </w:rPr>
        <w:t>推动民宿标准化品牌化发展。</w:t>
      </w:r>
      <w:r>
        <w:rPr>
          <w:rFonts w:hint="default" w:ascii="Times New Roman" w:hAnsi="Times New Roman" w:eastAsia="仿宋_GB2312" w:cs="Times New Roman"/>
          <w:b w:val="0"/>
          <w:bCs w:val="0"/>
          <w:color w:val="auto"/>
          <w:sz w:val="32"/>
          <w:szCs w:val="22"/>
          <w:highlight w:val="none"/>
          <w:lang w:val="en-US" w:eastAsia="zh-CN"/>
        </w:rPr>
        <w:t>规范民宿管理，健全民宿建设和运营管理规范化体系，</w:t>
      </w:r>
      <w:r>
        <w:rPr>
          <w:rFonts w:hint="default" w:ascii="Times New Roman" w:hAnsi="Times New Roman" w:eastAsia="仿宋_GB2312" w:cs="Times New Roman"/>
          <w:b w:val="0"/>
          <w:bCs w:val="0"/>
          <w:color w:val="auto"/>
          <w:sz w:val="32"/>
          <w:szCs w:val="32"/>
          <w:highlight w:val="none"/>
          <w:lang w:val="en-US" w:eastAsia="zh-CN"/>
        </w:rPr>
        <w:t>实施民宿分级管理</w:t>
      </w:r>
      <w:r>
        <w:rPr>
          <w:rFonts w:hint="default" w:ascii="Times New Roman" w:hAnsi="Times New Roman" w:eastAsia="仿宋_GB2312" w:cs="Times New Roman"/>
          <w:color w:val="auto"/>
          <w:sz w:val="32"/>
          <w:szCs w:val="32"/>
          <w:highlight w:val="none"/>
          <w:lang w:val="en-US" w:eastAsia="zh-CN"/>
        </w:rPr>
        <w:t>策略，明确差异化服务规范与</w:t>
      </w:r>
      <w:r>
        <w:rPr>
          <w:rFonts w:hint="default" w:ascii="Times New Roman" w:hAnsi="Times New Roman" w:eastAsia="仿宋_GB2312" w:cs="Times New Roman"/>
          <w:b w:val="0"/>
          <w:bCs w:val="0"/>
          <w:color w:val="auto"/>
          <w:sz w:val="32"/>
          <w:szCs w:val="32"/>
          <w:highlight w:val="none"/>
          <w:lang w:val="en-US" w:eastAsia="zh-CN"/>
        </w:rPr>
        <w:t>品质标准</w:t>
      </w:r>
      <w:r>
        <w:rPr>
          <w:rFonts w:hint="default" w:ascii="Times New Roman" w:hAnsi="Times New Roman" w:eastAsia="仿宋_GB2312" w:cs="Times New Roman"/>
          <w:b w:val="0"/>
          <w:bCs w:val="0"/>
          <w:color w:val="auto"/>
          <w:sz w:val="32"/>
          <w:szCs w:val="22"/>
          <w:highlight w:val="none"/>
          <w:lang w:val="en-US" w:eastAsia="zh-CN"/>
        </w:rPr>
        <w:t>，</w:t>
      </w:r>
      <w:r>
        <w:rPr>
          <w:rFonts w:hint="default" w:ascii="Times New Roman" w:hAnsi="Times New Roman" w:eastAsia="仿宋_GB2312" w:cs="Times New Roman"/>
          <w:color w:val="auto"/>
          <w:sz w:val="32"/>
          <w:szCs w:val="32"/>
          <w:highlight w:val="none"/>
          <w:lang w:val="en-US" w:eastAsia="zh-CN"/>
        </w:rPr>
        <w:t>推动中端民宿品质化、高端民宿体验化发展，实现民宿产业从“粗放发展”向“规范提质”转型</w:t>
      </w:r>
      <w:r>
        <w:rPr>
          <w:rFonts w:hint="default" w:ascii="Times New Roman" w:hAnsi="Times New Roman" w:eastAsia="仿宋_GB2312" w:cs="Times New Roman"/>
          <w:b w:val="0"/>
          <w:bCs w:val="0"/>
          <w:color w:val="auto"/>
          <w:sz w:val="32"/>
          <w:szCs w:val="22"/>
          <w:highlight w:val="none"/>
          <w:lang w:val="en-US" w:eastAsia="zh-CN"/>
        </w:rPr>
        <w:t>。打造民宿标杆，</w:t>
      </w:r>
      <w:r>
        <w:rPr>
          <w:rFonts w:hint="default" w:ascii="Times New Roman" w:hAnsi="Times New Roman" w:eastAsia="仿宋_GB2312" w:cs="Times New Roman"/>
          <w:b w:val="0"/>
          <w:bCs w:val="0"/>
          <w:color w:val="auto"/>
          <w:sz w:val="32"/>
          <w:szCs w:val="32"/>
          <w:highlight w:val="none"/>
          <w:lang w:val="en-US" w:eastAsia="zh-CN"/>
        </w:rPr>
        <w:t>以孟屯河谷为重点培育2家甲级标准民宿，梯次培育5家乙级标准民宿及系列丙级民宿，打造</w:t>
      </w:r>
      <w:r>
        <w:rPr>
          <w:rFonts w:hint="default" w:ascii="Times New Roman" w:hAnsi="Times New Roman" w:eastAsia="仿宋_GB2312" w:cs="Times New Roman"/>
          <w:b w:val="0"/>
          <w:bCs w:val="0"/>
          <w:color w:val="auto"/>
          <w:sz w:val="32"/>
          <w:szCs w:val="22"/>
          <w:highlight w:val="none"/>
          <w:lang w:val="en-US" w:eastAsia="zh-CN"/>
        </w:rPr>
        <w:t>3家国家级品牌民宿，鼓励华美达、娜姆湖等品牌酒店改造升级，支持尔玛人家、沐云谷等打造国家级品牌民宿，推进梭罗沟尚寨酒店、下孟高山野奢民宿等精品民宿建设，</w:t>
      </w:r>
      <w:r>
        <w:rPr>
          <w:rFonts w:hint="default" w:ascii="Times New Roman" w:hAnsi="Times New Roman" w:eastAsia="仿宋_GB2312" w:cs="Times New Roman"/>
          <w:b w:val="0"/>
          <w:bCs w:val="0"/>
          <w:color w:val="auto"/>
          <w:sz w:val="32"/>
          <w:szCs w:val="32"/>
          <w:highlight w:val="none"/>
          <w:lang w:val="en-US" w:eastAsia="zh-CN"/>
        </w:rPr>
        <w:t>推动特色庭院、屋顶经济、露营经济发展</w:t>
      </w:r>
      <w:r>
        <w:rPr>
          <w:rFonts w:hint="default" w:ascii="Times New Roman" w:hAnsi="Times New Roman" w:eastAsia="仿宋_GB2312" w:cs="Times New Roman"/>
          <w:b w:val="0"/>
          <w:bCs w:val="0"/>
          <w:color w:val="auto"/>
          <w:sz w:val="32"/>
          <w:szCs w:val="22"/>
          <w:highlight w:val="none"/>
          <w:lang w:val="en-US" w:eastAsia="zh-CN"/>
        </w:rPr>
        <w:t>。</w:t>
      </w:r>
    </w:p>
    <w:p w14:paraId="2B2704FC">
      <w:pPr>
        <w:keepNext/>
        <w:widowControl w:val="0"/>
        <w:numPr>
          <w:ilvl w:val="0"/>
          <w:numId w:val="8"/>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89" w:name="_Toc13611"/>
      <w:bookmarkStart w:id="90" w:name="_Toc3466"/>
      <w:bookmarkStart w:id="91" w:name="_Toc24036"/>
      <w:bookmarkStart w:id="92" w:name="_Toc9002"/>
      <w:r>
        <w:rPr>
          <w:rFonts w:hint="default" w:ascii="Times New Roman" w:hAnsi="Times New Roman" w:eastAsia="楷体_GB2312" w:cs="Times New Roman"/>
          <w:b/>
          <w:bCs w:val="0"/>
          <w:color w:val="auto"/>
          <w:kern w:val="2"/>
          <w:sz w:val="32"/>
          <w:szCs w:val="32"/>
          <w:highlight w:val="none"/>
          <w:lang w:val="en-US" w:eastAsia="zh-CN" w:bidi="ar-SA"/>
        </w:rPr>
        <w:t>培育医养</w:t>
      </w:r>
      <w:r>
        <w:rPr>
          <w:rFonts w:hint="eastAsia" w:eastAsia="楷体_GB2312" w:cs="Times New Roman"/>
          <w:b/>
          <w:bCs w:val="0"/>
          <w:color w:val="auto"/>
          <w:kern w:val="2"/>
          <w:sz w:val="32"/>
          <w:szCs w:val="32"/>
          <w:highlight w:val="none"/>
          <w:lang w:val="en-US" w:eastAsia="zh-CN" w:bidi="ar-SA"/>
        </w:rPr>
        <w:t>康养</w:t>
      </w:r>
      <w:r>
        <w:rPr>
          <w:rFonts w:hint="default" w:ascii="Times New Roman" w:hAnsi="Times New Roman" w:eastAsia="楷体_GB2312" w:cs="Times New Roman"/>
          <w:b/>
          <w:bCs w:val="0"/>
          <w:color w:val="auto"/>
          <w:kern w:val="2"/>
          <w:sz w:val="32"/>
          <w:szCs w:val="32"/>
          <w:highlight w:val="none"/>
          <w:lang w:val="en-US" w:eastAsia="zh-CN" w:bidi="ar-SA"/>
        </w:rPr>
        <w:t>融合旅游产品</w:t>
      </w:r>
      <w:bookmarkEnd w:id="89"/>
      <w:bookmarkEnd w:id="90"/>
      <w:bookmarkEnd w:id="91"/>
      <w:bookmarkEnd w:id="92"/>
    </w:p>
    <w:p w14:paraId="7B6469B8">
      <w:pPr>
        <w:keepNext w:val="0"/>
        <w:keepLines w:val="0"/>
        <w:pageBreakBefore w:val="0"/>
        <w:widowControl w:val="0"/>
        <w:kinsoku/>
        <w:wordWrap/>
        <w:overflowPunct/>
        <w:topLinePunct w:val="0"/>
        <w:autoSpaceDE/>
        <w:autoSpaceDN/>
        <w:bidi w:val="0"/>
        <w:adjustRightInd/>
        <w:snapToGrid/>
        <w:spacing w:line="560" w:lineRule="exact"/>
        <w:ind w:left="0" w:leftChars="0" w:firstLine="660" w:firstLineChars="200"/>
        <w:textAlignment w:val="auto"/>
        <w:rPr>
          <w:rFonts w:hint="default" w:ascii="Times New Roman" w:hAnsi="Times New Roman" w:eastAsia="仿宋_GB2312" w:cs="Times New Roman"/>
          <w:b w:val="0"/>
          <w:bCs w:val="0"/>
          <w:color w:val="auto"/>
          <w:sz w:val="32"/>
          <w:szCs w:val="22"/>
          <w:highlight w:val="none"/>
          <w:lang w:val="en-US" w:eastAsia="zh-CN"/>
        </w:rPr>
      </w:pPr>
      <w:r>
        <w:rPr>
          <w:rFonts w:hint="default" w:ascii="Times New Roman" w:hAnsi="Times New Roman" w:eastAsia="仿宋_GB2312" w:cs="Times New Roman"/>
          <w:color w:val="auto"/>
          <w:spacing w:val="5"/>
          <w:sz w:val="32"/>
          <w:szCs w:val="22"/>
          <w:highlight w:val="none"/>
          <w:lang w:eastAsia="zh-CN"/>
        </w:rPr>
        <w:t>开发生态</w:t>
      </w:r>
      <w:r>
        <w:rPr>
          <w:rFonts w:hint="default" w:ascii="Times New Roman" w:hAnsi="Times New Roman" w:eastAsia="仿宋_GB2312" w:cs="Times New Roman"/>
          <w:color w:val="auto"/>
          <w:spacing w:val="5"/>
          <w:sz w:val="32"/>
          <w:szCs w:val="22"/>
          <w:highlight w:val="none"/>
          <w:lang w:val="en-US" w:eastAsia="zh-CN"/>
        </w:rPr>
        <w:t>康养</w:t>
      </w:r>
      <w:r>
        <w:rPr>
          <w:rFonts w:hint="default" w:ascii="Times New Roman" w:hAnsi="Times New Roman" w:eastAsia="仿宋_GB2312" w:cs="Times New Roman"/>
          <w:color w:val="auto"/>
          <w:spacing w:val="5"/>
          <w:sz w:val="32"/>
          <w:szCs w:val="22"/>
          <w:highlight w:val="none"/>
          <w:lang w:eastAsia="zh-CN"/>
        </w:rPr>
        <w:t>美食</w:t>
      </w:r>
      <w:r>
        <w:rPr>
          <w:rFonts w:hint="default" w:ascii="Times New Roman" w:hAnsi="Times New Roman" w:eastAsia="仿宋_GB2312" w:cs="Times New Roman"/>
          <w:b w:val="0"/>
          <w:bCs w:val="0"/>
          <w:color w:val="auto"/>
          <w:sz w:val="32"/>
          <w:szCs w:val="22"/>
          <w:highlight w:val="none"/>
          <w:lang w:val="en-US" w:eastAsia="zh-CN"/>
        </w:rPr>
        <w:t>，以冷水鱼、精品果蔬、赤松茸、羊肚菌等本土食材为核心，推出绿色有机食品系列，深挖药食同源资源价值，扩大药膳食疗产品有效供给</w:t>
      </w:r>
      <w:r>
        <w:rPr>
          <w:rFonts w:hint="eastAsia" w:cs="Times New Roman"/>
          <w:b w:val="0"/>
          <w:bCs w:val="0"/>
          <w:color w:val="auto"/>
          <w:sz w:val="32"/>
          <w:szCs w:val="22"/>
          <w:highlight w:val="none"/>
          <w:lang w:val="en-US" w:eastAsia="zh-CN"/>
        </w:rPr>
        <w:t>；</w:t>
      </w:r>
      <w:r>
        <w:rPr>
          <w:rFonts w:hint="default" w:ascii="Times New Roman" w:hAnsi="Times New Roman" w:eastAsia="仿宋_GB2312" w:cs="Times New Roman"/>
          <w:b w:val="0"/>
          <w:bCs w:val="0"/>
          <w:color w:val="auto"/>
          <w:sz w:val="32"/>
          <w:szCs w:val="22"/>
          <w:highlight w:val="none"/>
          <w:lang w:val="en-US" w:eastAsia="zh-CN"/>
        </w:rPr>
        <w:t>融合藏羌传统烹饪技艺，推动餐饮品类提质升级，开发“羌寨药膳煲”“藏式菌汤”等特色菜品；配套打造民俗餐桌沉浸式体验场景，提升消费吸引力与市场竞争力。</w:t>
      </w:r>
      <w:r>
        <w:rPr>
          <w:rFonts w:hint="default" w:ascii="Times New Roman" w:hAnsi="Times New Roman" w:eastAsia="仿宋_GB2312" w:cs="Times New Roman"/>
          <w:color w:val="auto"/>
          <w:spacing w:val="5"/>
          <w:sz w:val="32"/>
          <w:szCs w:val="22"/>
          <w:highlight w:val="none"/>
          <w:lang w:eastAsia="zh-CN"/>
        </w:rPr>
        <w:t>推广中藏医康养服务</w:t>
      </w:r>
      <w:r>
        <w:rPr>
          <w:rFonts w:hint="default" w:ascii="Times New Roman" w:hAnsi="Times New Roman" w:eastAsia="仿宋_GB2312" w:cs="Times New Roman"/>
          <w:b w:val="0"/>
          <w:bCs w:val="0"/>
          <w:color w:val="auto"/>
          <w:sz w:val="32"/>
          <w:szCs w:val="22"/>
          <w:highlight w:val="none"/>
          <w:lang w:val="en-US" w:eastAsia="zh-CN"/>
        </w:rPr>
        <w:t>，依托县中藏医院、桃坪中羌医药文化体验中心等载体，重点推广中藏医药浴、羌医理疗、针灸推拿等医养产品，推出“康养体验套餐”联动乡村民宿与景区。推进专业康养中心建设，</w:t>
      </w:r>
      <w:r>
        <w:rPr>
          <w:rFonts w:hint="eastAsia" w:cs="Times New Roman"/>
          <w:b w:val="0"/>
          <w:bCs w:val="0"/>
          <w:color w:val="auto"/>
          <w:sz w:val="32"/>
          <w:szCs w:val="22"/>
          <w:highlight w:val="none"/>
          <w:lang w:val="en-US" w:eastAsia="zh-CN"/>
        </w:rPr>
        <w:t>重点建设</w:t>
      </w:r>
      <w:r>
        <w:rPr>
          <w:rFonts w:hint="default" w:ascii="Times New Roman" w:hAnsi="Times New Roman" w:eastAsia="仿宋_GB2312" w:cs="Times New Roman"/>
          <w:b w:val="0"/>
          <w:bCs w:val="0"/>
          <w:color w:val="auto"/>
          <w:sz w:val="32"/>
          <w:szCs w:val="22"/>
          <w:highlight w:val="none"/>
          <w:lang w:val="en-US" w:eastAsia="zh-CN"/>
        </w:rPr>
        <w:t>古尔沟温泉保健中心和大沟藏医药、桃坪羌医药、上孟中老年等康养中心，打造集疗愈、养生、休闲于一体的特色服务体系，延伸农特产品价值链条，拓展康养消费新场景，让乡村旅游与康养产业互促共进，惠及更多群众。</w:t>
      </w:r>
    </w:p>
    <w:p w14:paraId="52389CA4">
      <w:pPr>
        <w:keepNext/>
        <w:widowControl w:val="0"/>
        <w:numPr>
          <w:ilvl w:val="0"/>
          <w:numId w:val="1"/>
        </w:numPr>
        <w:bidi w:val="0"/>
        <w:snapToGrid w:val="0"/>
        <w:spacing w:before="100" w:beforeLines="100" w:after="100" w:afterLines="100" w:line="560" w:lineRule="exact"/>
        <w:ind w:left="0" w:leftChars="0" w:firstLine="0" w:firstLineChars="0"/>
        <w:jc w:val="center"/>
        <w:outlineLvl w:val="1"/>
        <w:rPr>
          <w:rFonts w:hint="default" w:ascii="Times New Roman" w:hAnsi="Times New Roman" w:eastAsia="黑体" w:cs="Times New Roman"/>
          <w:color w:val="auto"/>
          <w:kern w:val="2"/>
          <w:sz w:val="32"/>
          <w:szCs w:val="24"/>
          <w:highlight w:val="none"/>
          <w:lang w:val="en-US" w:eastAsia="zh-CN" w:bidi="ar-SA"/>
        </w:rPr>
      </w:pPr>
      <w:bookmarkStart w:id="93" w:name="_Toc32479"/>
      <w:bookmarkStart w:id="94" w:name="_Toc21040"/>
      <w:r>
        <w:rPr>
          <w:rFonts w:hint="default" w:ascii="Times New Roman" w:hAnsi="Times New Roman" w:eastAsia="黑体" w:cs="Times New Roman"/>
          <w:color w:val="auto"/>
          <w:kern w:val="2"/>
          <w:sz w:val="32"/>
          <w:szCs w:val="24"/>
          <w:highlight w:val="none"/>
          <w:lang w:val="en-US" w:eastAsia="zh-CN" w:bidi="ar-SA"/>
        </w:rPr>
        <w:t xml:space="preserve"> </w:t>
      </w:r>
      <w:bookmarkStart w:id="95" w:name="_Toc1730"/>
      <w:bookmarkStart w:id="96" w:name="_Toc18765"/>
      <w:r>
        <w:rPr>
          <w:rFonts w:hint="default" w:ascii="Times New Roman" w:hAnsi="Times New Roman" w:eastAsia="黑体" w:cs="Times New Roman"/>
          <w:color w:val="auto"/>
          <w:kern w:val="2"/>
          <w:sz w:val="32"/>
          <w:szCs w:val="24"/>
          <w:highlight w:val="none"/>
          <w:lang w:val="en-US" w:eastAsia="zh-CN" w:bidi="ar-SA"/>
        </w:rPr>
        <w:t>打造冰雪温泉旅游度假地</w:t>
      </w:r>
      <w:bookmarkEnd w:id="93"/>
      <w:bookmarkEnd w:id="94"/>
      <w:bookmarkEnd w:id="95"/>
      <w:bookmarkEnd w:id="96"/>
    </w:p>
    <w:p w14:paraId="7A9E25EB">
      <w:pPr>
        <w:keepNext/>
        <w:widowControl w:val="0"/>
        <w:numPr>
          <w:ilvl w:val="0"/>
          <w:numId w:val="9"/>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97" w:name="_Toc21467"/>
      <w:bookmarkStart w:id="98" w:name="_Toc26979"/>
      <w:bookmarkStart w:id="99" w:name="_Toc6404"/>
      <w:bookmarkStart w:id="100" w:name="_Toc9084"/>
      <w:r>
        <w:rPr>
          <w:rFonts w:hint="default" w:ascii="Times New Roman" w:hAnsi="Times New Roman" w:eastAsia="楷体_GB2312" w:cs="Times New Roman"/>
          <w:b/>
          <w:bCs w:val="0"/>
          <w:color w:val="auto"/>
          <w:kern w:val="2"/>
          <w:sz w:val="32"/>
          <w:szCs w:val="32"/>
          <w:highlight w:val="none"/>
          <w:lang w:val="en-US" w:eastAsia="zh-CN" w:bidi="ar-SA"/>
        </w:rPr>
        <w:t>创建国际化冰雪旅游度假区</w:t>
      </w:r>
      <w:bookmarkEnd w:id="97"/>
      <w:bookmarkEnd w:id="98"/>
      <w:bookmarkEnd w:id="99"/>
      <w:bookmarkEnd w:id="100"/>
    </w:p>
    <w:p w14:paraId="23A9D0BB">
      <w:pPr>
        <w:bidi w:val="0"/>
        <w:spacing w:line="560" w:lineRule="exact"/>
        <w:ind w:firstLine="660" w:firstLineChars="200"/>
        <w:rPr>
          <w:rFonts w:hint="default" w:ascii="Times New Roman" w:hAnsi="Times New Roman" w:eastAsia="方正仿宋_GB2312" w:cs="Times New Roman"/>
          <w:b w:val="0"/>
          <w:bCs/>
          <w:color w:val="auto"/>
          <w:kern w:val="2"/>
          <w:sz w:val="32"/>
          <w:szCs w:val="32"/>
          <w:highlight w:val="none"/>
          <w:lang w:val="en-US" w:eastAsia="zh-CN" w:bidi="ar-SA"/>
        </w:rPr>
      </w:pPr>
      <w:r>
        <w:rPr>
          <w:rFonts w:hint="default" w:ascii="Times New Roman" w:hAnsi="Times New Roman" w:eastAsia="仿宋_GB2312" w:cs="Times New Roman"/>
          <w:color w:val="auto"/>
          <w:spacing w:val="5"/>
          <w:sz w:val="32"/>
          <w:szCs w:val="22"/>
          <w:highlight w:val="none"/>
          <w:lang w:val="en-US" w:eastAsia="zh-CN"/>
        </w:rPr>
        <w:t>坚持国际化标准，深挖鹧鸪山、毕棚沟、孟屯河谷三大冰雪基地优质资源，实施“一基地一主题”战略</w:t>
      </w:r>
      <w:r>
        <w:rPr>
          <w:rFonts w:hint="eastAsia" w:cs="Times New Roman"/>
          <w:color w:val="auto"/>
          <w:spacing w:val="5"/>
          <w:sz w:val="32"/>
          <w:szCs w:val="22"/>
          <w:highlight w:val="none"/>
          <w:lang w:val="en-US" w:eastAsia="zh-CN"/>
        </w:rPr>
        <w:t>，</w:t>
      </w:r>
      <w:r>
        <w:rPr>
          <w:rFonts w:hint="default" w:ascii="Times New Roman" w:hAnsi="Times New Roman" w:eastAsia="仿宋_GB2312" w:cs="Times New Roman"/>
          <w:color w:val="auto"/>
          <w:spacing w:val="5"/>
          <w:sz w:val="32"/>
          <w:szCs w:val="22"/>
          <w:highlight w:val="none"/>
          <w:lang w:val="en-US" w:eastAsia="zh-CN"/>
        </w:rPr>
        <w:t>打造差异化冰雪基地</w:t>
      </w:r>
      <w:r>
        <w:rPr>
          <w:rFonts w:hint="eastAsia" w:cs="Times New Roman"/>
          <w:color w:val="auto"/>
          <w:spacing w:val="5"/>
          <w:sz w:val="32"/>
          <w:szCs w:val="22"/>
          <w:highlight w:val="none"/>
          <w:lang w:val="en-US" w:eastAsia="zh-CN"/>
        </w:rPr>
        <w:t>；</w:t>
      </w:r>
      <w:r>
        <w:rPr>
          <w:rFonts w:hint="default" w:ascii="Times New Roman" w:hAnsi="Times New Roman" w:eastAsia="仿宋_GB2312" w:cs="Times New Roman"/>
          <w:color w:val="auto"/>
          <w:spacing w:val="5"/>
          <w:sz w:val="32"/>
          <w:szCs w:val="22"/>
          <w:highlight w:val="none"/>
          <w:lang w:val="en-US" w:eastAsia="zh-CN"/>
        </w:rPr>
        <w:t>毕棚沟联动古尔沟温泉资源，打造集高端滑雪、冰川观光、温泉康养于一体的四季冰雪基地</w:t>
      </w:r>
      <w:r>
        <w:rPr>
          <w:rFonts w:hint="eastAsia" w:cs="Times New Roman"/>
          <w:color w:val="auto"/>
          <w:spacing w:val="5"/>
          <w:sz w:val="32"/>
          <w:szCs w:val="22"/>
          <w:highlight w:val="none"/>
          <w:lang w:val="en-US" w:eastAsia="zh-CN"/>
        </w:rPr>
        <w:t>；</w:t>
      </w:r>
      <w:r>
        <w:rPr>
          <w:rFonts w:hint="default" w:ascii="Times New Roman" w:hAnsi="Times New Roman" w:eastAsia="仿宋_GB2312" w:cs="Times New Roman"/>
          <w:color w:val="auto"/>
          <w:spacing w:val="5"/>
          <w:sz w:val="32"/>
          <w:szCs w:val="22"/>
          <w:highlight w:val="none"/>
          <w:lang w:val="en-US" w:eastAsia="zh-CN"/>
        </w:rPr>
        <w:t>鹧鸪山整合开阔雪场资源，打造集专业滑雪、亲子娱乐、网红打卡的全民娱乐冰雪基地</w:t>
      </w:r>
      <w:r>
        <w:rPr>
          <w:rFonts w:hint="eastAsia" w:cs="Times New Roman"/>
          <w:color w:val="auto"/>
          <w:spacing w:val="5"/>
          <w:sz w:val="32"/>
          <w:szCs w:val="22"/>
          <w:highlight w:val="none"/>
          <w:lang w:val="en-US" w:eastAsia="zh-CN"/>
        </w:rPr>
        <w:t>；</w:t>
      </w:r>
      <w:r>
        <w:rPr>
          <w:rFonts w:hint="default" w:ascii="Times New Roman" w:hAnsi="Times New Roman" w:eastAsia="仿宋_GB2312" w:cs="Times New Roman"/>
          <w:color w:val="auto"/>
          <w:spacing w:val="5"/>
          <w:sz w:val="32"/>
          <w:szCs w:val="22"/>
          <w:highlight w:val="none"/>
          <w:lang w:val="en-US" w:eastAsia="zh-CN"/>
        </w:rPr>
        <w:t>孟屯河谷开发山地资源，打造集探险运动、文化体验、康养休憩的轻探险冰雪基地。完善冰雪旅游基础设施，推进鹧鸪山冰雪旅游综合体</w:t>
      </w:r>
      <w:r>
        <w:rPr>
          <w:rFonts w:hint="eastAsia" w:cs="Times New Roman"/>
          <w:color w:val="auto"/>
          <w:spacing w:val="5"/>
          <w:sz w:val="32"/>
          <w:szCs w:val="22"/>
          <w:highlight w:val="none"/>
          <w:lang w:val="en-US" w:eastAsia="zh-CN"/>
        </w:rPr>
        <w:t>建设</w:t>
      </w:r>
      <w:r>
        <w:rPr>
          <w:rFonts w:hint="default" w:ascii="Times New Roman" w:hAnsi="Times New Roman" w:eastAsia="仿宋_GB2312" w:cs="Times New Roman"/>
          <w:b w:val="0"/>
          <w:bCs/>
          <w:color w:val="auto"/>
          <w:kern w:val="2"/>
          <w:sz w:val="32"/>
          <w:szCs w:val="32"/>
          <w:highlight w:val="none"/>
          <w:lang w:val="en-US" w:eastAsia="zh-CN" w:bidi="ar-SA"/>
        </w:rPr>
        <w:t>，</w:t>
      </w:r>
      <w:r>
        <w:rPr>
          <w:rFonts w:hint="default" w:ascii="Times New Roman" w:hAnsi="Times New Roman" w:eastAsia="仿宋_GB2312" w:cs="Times New Roman"/>
          <w:color w:val="auto"/>
          <w:spacing w:val="5"/>
          <w:sz w:val="32"/>
          <w:szCs w:val="22"/>
          <w:highlight w:val="none"/>
          <w:lang w:val="en-US" w:eastAsia="zh-CN"/>
        </w:rPr>
        <w:t>改造升级冰雪景区水电路网等基础设施，</w:t>
      </w:r>
      <w:r>
        <w:rPr>
          <w:rFonts w:hint="default" w:ascii="Times New Roman" w:hAnsi="Times New Roman" w:eastAsia="仿宋_GB2312" w:cs="Times New Roman"/>
          <w:b w:val="0"/>
          <w:bCs/>
          <w:color w:val="auto"/>
          <w:kern w:val="2"/>
          <w:sz w:val="32"/>
          <w:szCs w:val="32"/>
          <w:highlight w:val="none"/>
          <w:lang w:val="en-US" w:eastAsia="zh-CN" w:bidi="ar-SA"/>
        </w:rPr>
        <w:t>健全完善多语言服务、旅游厕所、停车、充电、应急、垃圾转运等公共服务设施，</w:t>
      </w:r>
      <w:r>
        <w:rPr>
          <w:rFonts w:hint="default" w:ascii="Times New Roman" w:hAnsi="Times New Roman" w:eastAsia="仿宋_GB2312" w:cs="Times New Roman"/>
          <w:color w:val="auto"/>
          <w:spacing w:val="5"/>
          <w:sz w:val="32"/>
          <w:szCs w:val="22"/>
          <w:highlight w:val="none"/>
          <w:lang w:val="en-US" w:eastAsia="zh-CN"/>
        </w:rPr>
        <w:t>强化景区冰雪安全管理，为游客营造安全舒心的度假环境。提供多元化服务供给，拓展冰雪体验项目，延伸业态链条，全面提升景区及周边餐饮、住宿、购物等配套服务品质，增强游客综合体验感。</w:t>
      </w:r>
    </w:p>
    <w:p w14:paraId="2DF59F3E">
      <w:pPr>
        <w:keepNext/>
        <w:widowControl w:val="0"/>
        <w:numPr>
          <w:ilvl w:val="0"/>
          <w:numId w:val="9"/>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101" w:name="_Toc13913"/>
      <w:bookmarkStart w:id="102" w:name="_Toc8115"/>
      <w:bookmarkStart w:id="103" w:name="_Toc30232"/>
      <w:bookmarkStart w:id="104" w:name="_Toc8611"/>
      <w:r>
        <w:rPr>
          <w:rFonts w:hint="default" w:ascii="Times New Roman" w:hAnsi="Times New Roman" w:eastAsia="楷体_GB2312" w:cs="Times New Roman"/>
          <w:b/>
          <w:bCs w:val="0"/>
          <w:color w:val="auto"/>
          <w:kern w:val="2"/>
          <w:sz w:val="32"/>
          <w:szCs w:val="32"/>
          <w:highlight w:val="none"/>
          <w:lang w:val="en-US" w:eastAsia="zh-CN" w:bidi="ar-SA"/>
        </w:rPr>
        <w:t>创新开展精品冰雪赛事活动</w:t>
      </w:r>
      <w:bookmarkEnd w:id="101"/>
      <w:bookmarkEnd w:id="102"/>
      <w:bookmarkEnd w:id="103"/>
      <w:bookmarkEnd w:id="104"/>
    </w:p>
    <w:p w14:paraId="1F719336">
      <w:pPr>
        <w:bidi w:val="0"/>
        <w:spacing w:line="560" w:lineRule="exact"/>
        <w:ind w:firstLine="660" w:firstLineChars="200"/>
        <w:rPr>
          <w:rFonts w:hint="default" w:ascii="Times New Roman" w:hAnsi="Times New Roman" w:eastAsia="仿宋_GB2312" w:cs="Times New Roman"/>
          <w:b w:val="0"/>
          <w:bCs/>
          <w:color w:val="auto"/>
          <w:kern w:val="2"/>
          <w:sz w:val="32"/>
          <w:szCs w:val="32"/>
          <w:highlight w:val="none"/>
          <w:lang w:val="en-US" w:eastAsia="zh-CN" w:bidi="ar-SA"/>
        </w:rPr>
      </w:pPr>
      <w:r>
        <w:rPr>
          <w:rFonts w:hint="default" w:ascii="Times New Roman" w:hAnsi="Times New Roman" w:eastAsia="仿宋_GB2312" w:cs="Times New Roman"/>
          <w:color w:val="auto"/>
          <w:spacing w:val="5"/>
          <w:sz w:val="32"/>
          <w:szCs w:val="22"/>
          <w:highlight w:val="none"/>
          <w:lang w:val="en-US" w:eastAsia="zh-CN"/>
        </w:rPr>
        <w:t>打造冰雪赛事专业平台，聚焦鹧鸪山高海拔优势，建设国家队运动员高海拔抗阻训练基地，完善专业雪道、体能监测等配套设施，重点争取承办全国高山滑雪锦标赛、四川省冰雪运动会等国家级、省级赛事；联动毕棚沟、孟屯河谷，鼓励举办融入藏羌锅庄、羌绣展演的州级、县级“冰雪民俗赛”，以专业赛事提升行业影响力，以民俗赛事彰显文化特色。开展全民冰雪运动，策划亲子滑雪接力赛、高原雪地徒步挑战赛、冰雪嘉年华等全民活动，配套设置冰雪市集、民俗互动体验区，扩大冰雪运动群众参与度。提升理县冰雪运动影响力，构建“线上+线下”全域宣传矩阵：线上联动短视频平台、户外达人开展内容营销，线下协同川渝文旅主体开展联合推广；以“硬件提级+赛事引流”为双轮驱动，持续做强冰雪文旅品牌，共建共享“南国冰雪运动胜地”。</w:t>
      </w:r>
    </w:p>
    <w:p w14:paraId="1C93EEDE">
      <w:pPr>
        <w:keepNext/>
        <w:widowControl w:val="0"/>
        <w:numPr>
          <w:ilvl w:val="0"/>
          <w:numId w:val="9"/>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105" w:name="_Toc14982"/>
      <w:bookmarkStart w:id="106" w:name="_Toc17401"/>
      <w:bookmarkStart w:id="107" w:name="_Toc16508"/>
      <w:bookmarkStart w:id="108" w:name="_Toc26883"/>
      <w:r>
        <w:rPr>
          <w:rFonts w:hint="default" w:ascii="Times New Roman" w:hAnsi="Times New Roman" w:eastAsia="楷体_GB2312" w:cs="Times New Roman"/>
          <w:b/>
          <w:bCs w:val="0"/>
          <w:color w:val="auto"/>
          <w:kern w:val="2"/>
          <w:sz w:val="32"/>
          <w:szCs w:val="32"/>
          <w:highlight w:val="none"/>
          <w:lang w:val="en-US" w:eastAsia="zh-CN" w:bidi="ar-SA"/>
        </w:rPr>
        <w:t>促进“冰雪”“温泉”冷热联动</w:t>
      </w:r>
      <w:bookmarkEnd w:id="105"/>
      <w:bookmarkEnd w:id="106"/>
      <w:bookmarkEnd w:id="107"/>
      <w:bookmarkEnd w:id="108"/>
    </w:p>
    <w:p w14:paraId="21EA86D4">
      <w:pPr>
        <w:bidi w:val="0"/>
        <w:spacing w:line="560" w:lineRule="exact"/>
        <w:ind w:firstLine="640" w:firstLineChars="200"/>
        <w:rPr>
          <w:rFonts w:hint="default" w:ascii="Times New Roman" w:hAnsi="Times New Roman" w:eastAsia="仿宋_GB2312" w:cs="Times New Roman"/>
          <w:b w:val="0"/>
          <w:bCs w:val="0"/>
          <w:color w:val="auto"/>
          <w:sz w:val="32"/>
          <w:szCs w:val="22"/>
          <w:highlight w:val="none"/>
          <w:lang w:val="en-US" w:eastAsia="zh-CN"/>
        </w:rPr>
      </w:pPr>
      <w:r>
        <w:rPr>
          <w:rFonts w:hint="default" w:ascii="Times New Roman" w:hAnsi="Times New Roman" w:eastAsia="仿宋_GB2312" w:cs="Times New Roman"/>
          <w:b w:val="0"/>
          <w:bCs w:val="0"/>
          <w:color w:val="auto"/>
          <w:sz w:val="32"/>
          <w:szCs w:val="22"/>
          <w:highlight w:val="none"/>
          <w:lang w:val="en-US" w:eastAsia="zh-CN"/>
        </w:rPr>
        <w:t>聚焦消费拉动核心，整合冰雪、温泉、民俗等资源推出普惠性消费优惠，搭建智慧文旅服务平台，实现“一码通办”覆盖购票、住宿、餐饮、体验全消费场景，探索“日间冰雪运动+夜间文化体验+全域康养服务”的全时消费链条，推动文旅消费提质升级。深化县域资源联动，全力建设古尔沟国际温泉康养度假区，联合毕棚沟、鹧鸪山、孟屯河谷三大冰雪基地推出分级套票，精心开发“白天滑雪、夜晚泡汤”主题旅游线路，配套藏羌夜宴、民俗展演等特色体验，延长游客停留时间，促进“冰雪冷资源”与“温泉热经济”深度互联。扩大区域协作维度，联合阿尔沟、九顶山、达古冰川等景区成立“川西北冰雪旅游联盟”，共同推出“联票优惠、一票通”等政策福利，建立客源共享、数据互通机制，通过“客源互送、广告互推、活动联办”形成叠加效应，推动从“过境游”向“深度游”转变。</w:t>
      </w:r>
    </w:p>
    <w:p w14:paraId="7CF8A1BE">
      <w:pPr>
        <w:keepNext/>
        <w:widowControl w:val="0"/>
        <w:numPr>
          <w:ilvl w:val="0"/>
          <w:numId w:val="1"/>
        </w:numPr>
        <w:bidi w:val="0"/>
        <w:snapToGrid w:val="0"/>
        <w:spacing w:before="100" w:beforeLines="100" w:after="100" w:afterLines="100" w:line="560" w:lineRule="exact"/>
        <w:ind w:left="0" w:leftChars="0" w:firstLine="0" w:firstLineChars="0"/>
        <w:jc w:val="center"/>
        <w:outlineLvl w:val="1"/>
        <w:rPr>
          <w:rFonts w:hint="default" w:ascii="Times New Roman" w:hAnsi="Times New Roman" w:eastAsia="黑体" w:cs="Times New Roman"/>
          <w:color w:val="auto"/>
          <w:kern w:val="2"/>
          <w:sz w:val="32"/>
          <w:szCs w:val="24"/>
          <w:highlight w:val="none"/>
          <w:lang w:val="en-US" w:eastAsia="zh-CN" w:bidi="ar-SA"/>
        </w:rPr>
      </w:pPr>
      <w:bookmarkStart w:id="109" w:name="_Toc32685"/>
      <w:bookmarkStart w:id="110" w:name="_Toc11425"/>
      <w:r>
        <w:rPr>
          <w:rFonts w:hint="default" w:ascii="Times New Roman" w:hAnsi="Times New Roman" w:eastAsia="黑体" w:cs="Times New Roman"/>
          <w:color w:val="auto"/>
          <w:kern w:val="2"/>
          <w:sz w:val="32"/>
          <w:szCs w:val="24"/>
          <w:highlight w:val="none"/>
          <w:lang w:val="en-US" w:eastAsia="zh-CN" w:bidi="ar-SA"/>
        </w:rPr>
        <w:t xml:space="preserve"> </w:t>
      </w:r>
      <w:bookmarkStart w:id="111" w:name="_Toc2336"/>
      <w:bookmarkStart w:id="112" w:name="_Toc20719"/>
      <w:r>
        <w:rPr>
          <w:rFonts w:hint="default" w:ascii="Times New Roman" w:hAnsi="Times New Roman" w:eastAsia="黑体" w:cs="Times New Roman"/>
          <w:color w:val="auto"/>
          <w:kern w:val="2"/>
          <w:sz w:val="32"/>
          <w:szCs w:val="24"/>
          <w:highlight w:val="none"/>
          <w:lang w:val="en-US" w:eastAsia="zh-CN" w:bidi="ar-SA"/>
        </w:rPr>
        <w:t>打造魅力自驾旅游网红地</w:t>
      </w:r>
      <w:bookmarkEnd w:id="109"/>
      <w:bookmarkEnd w:id="110"/>
      <w:bookmarkEnd w:id="111"/>
      <w:bookmarkEnd w:id="112"/>
    </w:p>
    <w:p w14:paraId="0F42C881">
      <w:pPr>
        <w:keepNext/>
        <w:widowControl w:val="0"/>
        <w:numPr>
          <w:ilvl w:val="0"/>
          <w:numId w:val="10"/>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113" w:name="_Toc18583"/>
      <w:bookmarkStart w:id="114" w:name="_Toc11893"/>
      <w:bookmarkStart w:id="115" w:name="_Toc28039"/>
      <w:bookmarkStart w:id="116" w:name="_Toc28580"/>
      <w:bookmarkStart w:id="117" w:name="_Toc19467"/>
      <w:r>
        <w:rPr>
          <w:rFonts w:hint="default" w:ascii="Times New Roman" w:hAnsi="Times New Roman" w:eastAsia="楷体_GB2312" w:cs="Times New Roman"/>
          <w:b/>
          <w:bCs w:val="0"/>
          <w:color w:val="auto"/>
          <w:kern w:val="2"/>
          <w:sz w:val="32"/>
          <w:szCs w:val="32"/>
          <w:highlight w:val="none"/>
          <w:lang w:val="en-US" w:eastAsia="zh-CN" w:bidi="ar-SA"/>
        </w:rPr>
        <w:t>打造交旅融合品牌风景道</w:t>
      </w:r>
      <w:bookmarkEnd w:id="113"/>
      <w:bookmarkEnd w:id="114"/>
      <w:bookmarkEnd w:id="115"/>
      <w:bookmarkEnd w:id="116"/>
      <w:bookmarkEnd w:id="117"/>
    </w:p>
    <w:p w14:paraId="0DAEFD2B">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仿宋_GB2312" w:cs="Times New Roman"/>
          <w:bCs/>
          <w:color w:val="auto"/>
          <w:sz w:val="32"/>
          <w:szCs w:val="32"/>
          <w:highlight w:val="none"/>
          <w:lang w:val="en-US" w:eastAsia="zh-CN"/>
        </w:rPr>
      </w:pPr>
      <w:r>
        <w:rPr>
          <w:rFonts w:hint="default" w:ascii="Times New Roman" w:hAnsi="Times New Roman" w:eastAsia="仿宋_GB2312" w:cs="Times New Roman"/>
          <w:bCs/>
          <w:color w:val="auto"/>
          <w:sz w:val="32"/>
          <w:szCs w:val="32"/>
          <w:highlight w:val="none"/>
          <w:lang w:val="en-US" w:eastAsia="zh-CN"/>
        </w:rPr>
        <w:t>坚持以路为带、依路兴旅，全力建设“理小路世界级旅游风景道、国道317中国最美景观大道和米孟路内环自驾旅游精品道”三条风景道，大力发展自驾露营游产业带，带动道路沿线景城景镇一体发展，构建“快进慢游”路网。</w:t>
      </w:r>
    </w:p>
    <w:p w14:paraId="18CDC17E">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default" w:ascii="Times New Roman" w:hAnsi="Times New Roman" w:eastAsia="仿宋_GB2312" w:cs="Times New Roman"/>
          <w:color w:val="auto"/>
          <w:sz w:val="32"/>
          <w:szCs w:val="32"/>
          <w:highlight w:val="none"/>
          <w:lang w:val="en-US" w:eastAsia="zh-CN" w:bidi="ar-SA"/>
        </w:rPr>
      </w:pPr>
      <w:r>
        <w:rPr>
          <w:rFonts w:hint="default" w:ascii="Times New Roman" w:hAnsi="Times New Roman" w:eastAsia="仿宋_GB2312" w:cs="Times New Roman"/>
          <w:b/>
          <w:bCs w:val="0"/>
          <w:color w:val="auto"/>
          <w:sz w:val="32"/>
          <w:szCs w:val="32"/>
          <w:highlight w:val="none"/>
          <w:lang w:val="en-US" w:eastAsia="zh-CN"/>
        </w:rPr>
        <w:t>全力打造理小路世界级旅游风景道。</w:t>
      </w:r>
      <w:r>
        <w:rPr>
          <w:rFonts w:hint="default" w:ascii="Times New Roman" w:hAnsi="Times New Roman" w:eastAsia="仿宋_GB2312" w:cs="Times New Roman"/>
          <w:color w:val="auto"/>
          <w:sz w:val="32"/>
          <w:szCs w:val="32"/>
          <w:highlight w:val="none"/>
          <w:lang w:val="en-US" w:eastAsia="zh-CN" w:bidi="ar-SA"/>
        </w:rPr>
        <w:t>坚持交通、旅游、产业协同发展理念，统筹推进理小路整体发展规划及沿线镇村配套建设，聚焦红石滩、海子沟、马槽沟等核心节点，合理布局沿线业态功能。创新运营管理模式，积极引育专业化运营主体，建立健全镇、村、企联动机制。</w:t>
      </w:r>
      <w:r>
        <w:rPr>
          <w:rFonts w:hint="default" w:ascii="Times New Roman" w:hAnsi="Times New Roman" w:eastAsia="仿宋_GB2312" w:cs="Times New Roman"/>
          <w:color w:val="auto"/>
          <w:sz w:val="32"/>
          <w:szCs w:val="22"/>
          <w:highlight w:val="none"/>
        </w:rPr>
        <w:t>以理小路为纽带，</w:t>
      </w:r>
      <w:r>
        <w:rPr>
          <w:rFonts w:hint="default" w:ascii="Times New Roman" w:hAnsi="Times New Roman" w:eastAsia="仿宋_GB2312" w:cs="Times New Roman"/>
          <w:bCs/>
          <w:color w:val="auto"/>
          <w:sz w:val="32"/>
          <w:szCs w:val="32"/>
          <w:highlight w:val="none"/>
          <w:lang w:val="en-US" w:eastAsia="zh-CN"/>
        </w:rPr>
        <w:t>加强“毕棚沟—四姑娘山”景区联动，</w:t>
      </w:r>
      <w:r>
        <w:rPr>
          <w:rFonts w:hint="default" w:ascii="Times New Roman" w:hAnsi="Times New Roman" w:eastAsia="仿宋_GB2312" w:cs="Times New Roman"/>
          <w:color w:val="auto"/>
          <w:sz w:val="32"/>
          <w:szCs w:val="32"/>
          <w:highlight w:val="none"/>
          <w:lang w:val="en-US" w:eastAsia="zh-CN" w:bidi="ar-SA"/>
        </w:rPr>
        <w:t>着力打造以自驾露营为特色的“雪山画廊”主题旅游景观带，</w:t>
      </w:r>
      <w:r>
        <w:rPr>
          <w:rFonts w:hint="default" w:ascii="Times New Roman" w:hAnsi="Times New Roman" w:eastAsia="仿宋_GB2312" w:cs="Times New Roman"/>
          <w:bCs/>
          <w:color w:val="auto"/>
          <w:sz w:val="32"/>
          <w:szCs w:val="32"/>
          <w:highlight w:val="none"/>
          <w:lang w:val="en-US" w:eastAsia="zh-CN"/>
        </w:rPr>
        <w:t>打造交旅融合发展新标杆。</w:t>
      </w:r>
    </w:p>
    <w:p w14:paraId="7FA1BD61">
      <w:pPr>
        <w:bidi w:val="0"/>
        <w:spacing w:line="560" w:lineRule="exact"/>
        <w:ind w:firstLine="643" w:firstLineChars="200"/>
        <w:rPr>
          <w:rFonts w:hint="default" w:ascii="Times New Roman" w:hAnsi="Times New Roman" w:eastAsia="仿宋_GB2312" w:cs="Times New Roman"/>
          <w:color w:val="auto"/>
          <w:sz w:val="32"/>
          <w:szCs w:val="32"/>
          <w:highlight w:val="none"/>
          <w:lang w:val="en-US" w:eastAsia="zh-CN" w:bidi="ar-SA"/>
        </w:rPr>
      </w:pPr>
      <w:r>
        <w:rPr>
          <w:rFonts w:hint="default" w:ascii="Times New Roman" w:hAnsi="Times New Roman" w:eastAsia="仿宋_GB2312" w:cs="Times New Roman"/>
          <w:b/>
          <w:bCs/>
          <w:color w:val="auto"/>
          <w:sz w:val="32"/>
          <w:szCs w:val="32"/>
          <w:highlight w:val="none"/>
          <w:lang w:val="en-US" w:eastAsia="zh-CN" w:bidi="ar-SA"/>
        </w:rPr>
        <w:t>提档升级国道317中国最美景观大道。</w:t>
      </w:r>
      <w:r>
        <w:rPr>
          <w:rFonts w:hint="default" w:ascii="Times New Roman" w:hAnsi="Times New Roman" w:eastAsia="仿宋_GB2312" w:cs="Times New Roman"/>
          <w:b w:val="0"/>
          <w:bCs w:val="0"/>
          <w:color w:val="auto"/>
          <w:sz w:val="32"/>
          <w:szCs w:val="32"/>
          <w:highlight w:val="none"/>
          <w:lang w:val="en-US" w:eastAsia="zh-CN" w:bidi="ar-SA"/>
        </w:rPr>
        <w:t>深入实施城乡环境“三化两提升”行动，强化沿线村庄建设管控，美化净化村容村貌，</w:t>
      </w:r>
      <w:r>
        <w:rPr>
          <w:rFonts w:hint="default" w:ascii="Times New Roman" w:hAnsi="Times New Roman" w:eastAsia="仿宋_GB2312" w:cs="Times New Roman"/>
          <w:color w:val="auto"/>
          <w:sz w:val="32"/>
          <w:szCs w:val="22"/>
          <w:highlight w:val="none"/>
        </w:rPr>
        <w:t>适度实施沿线村镇景观化改造</w:t>
      </w:r>
      <w:r>
        <w:rPr>
          <w:rFonts w:hint="default" w:ascii="Times New Roman" w:hAnsi="Times New Roman" w:eastAsia="仿宋_GB2312" w:cs="Times New Roman"/>
          <w:b w:val="0"/>
          <w:bCs w:val="0"/>
          <w:color w:val="auto"/>
          <w:sz w:val="32"/>
          <w:szCs w:val="32"/>
          <w:highlight w:val="none"/>
          <w:lang w:val="en-US" w:eastAsia="zh-CN" w:bidi="ar-SA"/>
        </w:rPr>
        <w:t>。突出</w:t>
      </w:r>
      <w:r>
        <w:rPr>
          <w:rFonts w:hint="default" w:ascii="Times New Roman" w:hAnsi="Times New Roman" w:eastAsia="仿宋_GB2312" w:cs="Times New Roman"/>
          <w:color w:val="auto"/>
          <w:sz w:val="32"/>
          <w:szCs w:val="32"/>
          <w:highlight w:val="none"/>
          <w:lang w:val="en-US" w:eastAsia="zh-CN" w:bidi="ar-SA"/>
        </w:rPr>
        <w:t>藏羌</w:t>
      </w:r>
      <w:r>
        <w:rPr>
          <w:rFonts w:hint="default" w:ascii="Times New Roman" w:hAnsi="Times New Roman" w:eastAsia="仿宋_GB2312" w:cs="Times New Roman"/>
          <w:b w:val="0"/>
          <w:bCs w:val="0"/>
          <w:color w:val="auto"/>
          <w:sz w:val="32"/>
          <w:szCs w:val="32"/>
          <w:highlight w:val="none"/>
          <w:lang w:val="en-US" w:eastAsia="zh-CN" w:bidi="ar-SA"/>
        </w:rPr>
        <w:t>文化特色，提升薛城较场、朴头关口、米亚罗大郎坝等节点建设水平，融入藏羌文化元素，</w:t>
      </w:r>
      <w:r>
        <w:rPr>
          <w:rFonts w:hint="default" w:ascii="Times New Roman" w:hAnsi="Times New Roman" w:eastAsia="仿宋_GB2312" w:cs="Times New Roman"/>
          <w:color w:val="auto"/>
          <w:sz w:val="32"/>
          <w:szCs w:val="32"/>
          <w:highlight w:val="none"/>
          <w:lang w:val="en-US" w:eastAsia="zh-CN" w:bidi="ar-SA"/>
        </w:rPr>
        <w:t>塑造具有地域辨识度的景观景点，打造集藏羌文化体验、自然观光、休闲度假等功能于一体的最美景观大道。</w:t>
      </w:r>
    </w:p>
    <w:p w14:paraId="7D3AF72E">
      <w:pPr>
        <w:bidi w:val="0"/>
        <w:spacing w:line="560" w:lineRule="exact"/>
        <w:ind w:firstLine="643" w:firstLineChars="200"/>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bidi="ar-SA"/>
        </w:rPr>
        <w:t>加快建设米孟路内环自驾旅游精品道。</w:t>
      </w:r>
      <w:r>
        <w:rPr>
          <w:rFonts w:hint="default" w:ascii="Times New Roman" w:hAnsi="Times New Roman" w:eastAsia="仿宋_GB2312" w:cs="Times New Roman"/>
          <w:color w:val="auto"/>
          <w:sz w:val="32"/>
          <w:szCs w:val="32"/>
          <w:highlight w:val="none"/>
          <w:lang w:val="en-US" w:eastAsia="zh-CN" w:bidi="ar-SA"/>
        </w:rPr>
        <w:t>夯实自驾旅游交通保障，加快推进薛孟路、孟屯河谷通景公路升级改造等重点工程，切实提升环线道路通行能力。丰富沿线旅游体验业态，打造精品民宿、生态餐厅、非遗工坊等体验场景。推动“交通+赛事+文旅”多业态协同发展，积极申办汽车越野挑战赛、徒步露营等赛事活动，提升环线自驾旅游品牌影响力，打造集民俗体验、户外探险、赛事活动于一体的自驾旅游精品路。</w:t>
      </w:r>
    </w:p>
    <w:p w14:paraId="797BF576">
      <w:pPr>
        <w:keepNext/>
        <w:widowControl w:val="0"/>
        <w:numPr>
          <w:ilvl w:val="0"/>
          <w:numId w:val="10"/>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118" w:name="_Toc27374"/>
      <w:bookmarkStart w:id="119" w:name="_Toc4512"/>
      <w:bookmarkStart w:id="120" w:name="_Toc30585"/>
      <w:bookmarkStart w:id="121" w:name="_Toc30123"/>
      <w:bookmarkStart w:id="122" w:name="_Toc10168"/>
      <w:r>
        <w:rPr>
          <w:rFonts w:hint="default" w:ascii="Times New Roman" w:hAnsi="Times New Roman" w:eastAsia="楷体_GB2312" w:cs="Times New Roman"/>
          <w:b/>
          <w:bCs w:val="0"/>
          <w:color w:val="auto"/>
          <w:kern w:val="2"/>
          <w:sz w:val="32"/>
          <w:szCs w:val="32"/>
          <w:highlight w:val="none"/>
          <w:lang w:val="en-US" w:eastAsia="zh-CN" w:bidi="ar-SA"/>
        </w:rPr>
        <w:t>提高自驾游服务保障能力</w:t>
      </w:r>
      <w:bookmarkEnd w:id="118"/>
      <w:bookmarkEnd w:id="119"/>
      <w:bookmarkEnd w:id="120"/>
      <w:bookmarkEnd w:id="121"/>
      <w:bookmarkEnd w:id="122"/>
    </w:p>
    <w:p w14:paraId="38321AD1">
      <w:pPr>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560" w:lineRule="exact"/>
        <w:ind w:firstLine="640" w:firstLineChars="200"/>
        <w:jc w:val="both"/>
        <w:textAlignment w:val="auto"/>
        <w:outlineLvl w:val="9"/>
        <w:rPr>
          <w:rFonts w:hint="default" w:ascii="Times New Roman" w:hAnsi="Times New Roman" w:eastAsia="楷体_GB2312" w:cs="Times New Roman"/>
          <w:b w:val="0"/>
          <w:bCs/>
          <w:color w:val="auto"/>
          <w:kern w:val="2"/>
          <w:sz w:val="32"/>
          <w:szCs w:val="32"/>
          <w:highlight w:val="none"/>
          <w:lang w:val="en-US" w:eastAsia="zh-CN" w:bidi="ar-SA"/>
        </w:rPr>
      </w:pPr>
      <w:r>
        <w:rPr>
          <w:rFonts w:hint="default" w:ascii="Times New Roman" w:hAnsi="Times New Roman" w:eastAsia="仿宋_GB2312" w:cs="Times New Roman"/>
          <w:b w:val="0"/>
          <w:bCs/>
          <w:color w:val="auto"/>
          <w:kern w:val="2"/>
          <w:sz w:val="32"/>
          <w:szCs w:val="32"/>
          <w:highlight w:val="none"/>
          <w:lang w:val="en-US" w:eastAsia="zh-CN" w:bidi="ar-SA"/>
        </w:rPr>
        <w:t>系统提升全域自驾旅游服务保障能力，重点围绕三大旅游风景道布局，科学规划建设高原旅游驿站、观景平台、自驾露营地及户外管理中心，扎实推进风景道沿线公共服务设施建设，新建理小路红石驿综合服务区，提升国道317吉柯大车驿站服务功能，加快推进花之营、岩之营、垭口等自驾营地和红石桥、吉祥天瀑、九龙瀑布等观景平台建设。统筹推进自驾游沿线服务设施一体化建设与运营，合理布局充换电设施，全面规范旅游引导标识系统，推进旅游厕所提标改造，加快充电设施网络化布局，因地制宜推进公共服务设施适老化适儿化改造和无障碍设施建设，完善汽车租赁、车辆维护、旅游咨询等一站式服务，试点建设安全应急、医疗救援等保障设施，构建完整高效的自驾服务支撑体系。</w:t>
      </w:r>
    </w:p>
    <w:p w14:paraId="07B12130">
      <w:pPr>
        <w:keepNext/>
        <w:widowControl w:val="0"/>
        <w:numPr>
          <w:ilvl w:val="0"/>
          <w:numId w:val="10"/>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123" w:name="_Toc211"/>
      <w:bookmarkStart w:id="124" w:name="_Toc24661"/>
      <w:bookmarkStart w:id="125" w:name="_Toc20828"/>
      <w:bookmarkStart w:id="126" w:name="_Toc9258"/>
      <w:bookmarkStart w:id="127" w:name="_Toc30667"/>
      <w:r>
        <w:rPr>
          <w:rFonts w:hint="default" w:ascii="Times New Roman" w:hAnsi="Times New Roman" w:eastAsia="楷体_GB2312" w:cs="Times New Roman"/>
          <w:b/>
          <w:bCs w:val="0"/>
          <w:color w:val="auto"/>
          <w:kern w:val="2"/>
          <w:sz w:val="32"/>
          <w:szCs w:val="32"/>
          <w:highlight w:val="none"/>
          <w:lang w:val="en-US" w:eastAsia="zh-CN" w:bidi="ar-SA"/>
        </w:rPr>
        <w:t>示范建设交旅融合先行区</w:t>
      </w:r>
      <w:bookmarkEnd w:id="123"/>
      <w:bookmarkEnd w:id="124"/>
      <w:bookmarkEnd w:id="125"/>
      <w:bookmarkEnd w:id="126"/>
      <w:bookmarkEnd w:id="127"/>
    </w:p>
    <w:p w14:paraId="2AFE6E0E">
      <w:pPr>
        <w:bidi w:val="0"/>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b w:val="0"/>
          <w:color w:val="auto"/>
          <w:sz w:val="32"/>
          <w:szCs w:val="32"/>
          <w:highlight w:val="none"/>
          <w:lang w:val="en-US" w:eastAsia="zh-CN" w:bidi="ar-SA"/>
        </w:rPr>
        <w:t>构建“快进慢游”路网体系，强化与成渝地区双城经济圈的“快进”连接，增强主干路网的通行能力与景观功能，</w:t>
      </w:r>
      <w:r>
        <w:rPr>
          <w:rFonts w:hint="default" w:ascii="Times New Roman" w:hAnsi="Times New Roman" w:eastAsia="仿宋_GB2312" w:cs="Times New Roman"/>
          <w:b w:val="0"/>
          <w:bCs w:val="0"/>
          <w:color w:val="auto"/>
          <w:sz w:val="32"/>
          <w:szCs w:val="32"/>
          <w:highlight w:val="none"/>
          <w:lang w:val="en-US" w:eastAsia="zh-CN" w:bidi="ar-SA"/>
        </w:rPr>
        <w:t>推进理小路、国道317中国最美景观大道、理黑路等干道沿线植被旅游化修复；以理小路、国道317为“慢游”主轴，系统性整合毕棚沟、米亚罗、桃坪羌寨、甘堡藏寨等核心景区资源，设计推广一线多景精品旅游线路，积极融入“大九寨旅游融合示范区”建设。丰富交旅融合业态，推进自驾旅游与体育、农业、文创深度融合，培育开发运动赛事、农特产品展销、乡村酒吧、农事体验、文化互动等融合场景，强化旅游辐射带动能力。深化跨区域旅游合作，加强与小金、汶川、茂县等周边地区协同，对接四姑娘山、阿尔沟、九顶山、达古冰川等景区联动发展，推动跨区域景区联票、客源互送、品牌共塑，合作共建藏羌彝民族风情文旅风景道，</w:t>
      </w:r>
      <w:r>
        <w:rPr>
          <w:rFonts w:hint="default" w:ascii="Times New Roman" w:hAnsi="Times New Roman" w:eastAsia="仿宋_GB2312" w:cs="Times New Roman"/>
          <w:b w:val="0"/>
          <w:color w:val="auto"/>
          <w:sz w:val="32"/>
          <w:szCs w:val="32"/>
          <w:highlight w:val="none"/>
          <w:lang w:val="en-US" w:eastAsia="zh-CN" w:bidi="ar-SA"/>
        </w:rPr>
        <w:t>打造服务全州的交旅融合先行区样板。</w:t>
      </w:r>
    </w:p>
    <w:p w14:paraId="2EFA1949">
      <w:pPr>
        <w:keepNext/>
        <w:widowControl w:val="0"/>
        <w:numPr>
          <w:ilvl w:val="0"/>
          <w:numId w:val="1"/>
        </w:numPr>
        <w:bidi w:val="0"/>
        <w:snapToGrid w:val="0"/>
        <w:spacing w:before="100" w:beforeLines="100" w:after="100" w:afterLines="100" w:line="560" w:lineRule="exact"/>
        <w:ind w:left="0" w:leftChars="0" w:firstLine="0" w:firstLineChars="0"/>
        <w:jc w:val="center"/>
        <w:outlineLvl w:val="1"/>
        <w:rPr>
          <w:rFonts w:hint="default" w:ascii="Times New Roman" w:hAnsi="Times New Roman" w:eastAsia="黑体" w:cs="Times New Roman"/>
          <w:color w:val="auto"/>
          <w:kern w:val="2"/>
          <w:sz w:val="32"/>
          <w:szCs w:val="24"/>
          <w:highlight w:val="none"/>
          <w:lang w:val="en-US" w:eastAsia="zh-CN" w:bidi="ar-SA"/>
        </w:rPr>
      </w:pPr>
      <w:r>
        <w:rPr>
          <w:rFonts w:hint="default" w:ascii="Times New Roman" w:hAnsi="Times New Roman" w:eastAsia="黑体" w:cs="Times New Roman"/>
          <w:color w:val="auto"/>
          <w:kern w:val="2"/>
          <w:sz w:val="32"/>
          <w:szCs w:val="24"/>
          <w:highlight w:val="none"/>
          <w:lang w:val="en-US" w:eastAsia="zh-CN" w:bidi="ar-SA"/>
        </w:rPr>
        <w:t xml:space="preserve"> </w:t>
      </w:r>
      <w:bookmarkStart w:id="128" w:name="_Toc29527"/>
      <w:bookmarkStart w:id="129" w:name="_Toc20459"/>
      <w:bookmarkStart w:id="130" w:name="_Toc12033"/>
      <w:bookmarkStart w:id="131" w:name="_Toc20501"/>
      <w:r>
        <w:rPr>
          <w:rFonts w:hint="default" w:ascii="Times New Roman" w:hAnsi="Times New Roman" w:eastAsia="黑体" w:cs="Times New Roman"/>
          <w:color w:val="auto"/>
          <w:kern w:val="2"/>
          <w:sz w:val="32"/>
          <w:szCs w:val="24"/>
          <w:highlight w:val="none"/>
          <w:lang w:val="en-US" w:eastAsia="zh-CN" w:bidi="ar-SA"/>
        </w:rPr>
        <w:t>打造户外运动旅游目的地</w:t>
      </w:r>
      <w:bookmarkEnd w:id="128"/>
      <w:bookmarkEnd w:id="129"/>
      <w:bookmarkEnd w:id="130"/>
      <w:bookmarkEnd w:id="131"/>
    </w:p>
    <w:p w14:paraId="7C20C701">
      <w:pPr>
        <w:keepNext/>
        <w:widowControl w:val="0"/>
        <w:numPr>
          <w:ilvl w:val="0"/>
          <w:numId w:val="11"/>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132" w:name="_Toc23966"/>
      <w:bookmarkStart w:id="133" w:name="_Toc21283"/>
      <w:bookmarkStart w:id="134" w:name="_Toc3911"/>
      <w:bookmarkStart w:id="135" w:name="_Toc6505"/>
      <w:r>
        <w:rPr>
          <w:rFonts w:hint="default" w:ascii="Times New Roman" w:hAnsi="Times New Roman" w:eastAsia="楷体_GB2312" w:cs="Times New Roman"/>
          <w:b/>
          <w:bCs w:val="0"/>
          <w:color w:val="auto"/>
          <w:kern w:val="2"/>
          <w:sz w:val="32"/>
          <w:szCs w:val="32"/>
          <w:highlight w:val="none"/>
          <w:lang w:val="en-US" w:eastAsia="zh-CN" w:bidi="ar-SA"/>
        </w:rPr>
        <w:t>健全户外运动旅游产品体系</w:t>
      </w:r>
      <w:bookmarkEnd w:id="132"/>
      <w:bookmarkEnd w:id="133"/>
      <w:bookmarkEnd w:id="134"/>
      <w:bookmarkEnd w:id="135"/>
    </w:p>
    <w:p w14:paraId="3CC558EA">
      <w:pPr>
        <w:bidi w:val="0"/>
        <w:spacing w:line="560" w:lineRule="exact"/>
        <w:ind w:firstLine="640" w:firstLineChars="200"/>
        <w:rPr>
          <w:rFonts w:hint="default" w:ascii="Times New Roman" w:hAnsi="Times New Roman" w:eastAsia="仿宋_GB2312" w:cs="Times New Roman"/>
          <w:b/>
          <w:bCs/>
          <w:color w:val="auto"/>
          <w:sz w:val="32"/>
          <w:szCs w:val="22"/>
          <w:highlight w:val="none"/>
          <w:lang w:eastAsia="zh-CN"/>
        </w:rPr>
      </w:pPr>
      <w:r>
        <w:rPr>
          <w:rFonts w:hint="default" w:ascii="Times New Roman" w:hAnsi="Times New Roman" w:eastAsia="仿宋_GB2312" w:cs="Times New Roman"/>
          <w:b w:val="0"/>
          <w:bCs w:val="0"/>
          <w:color w:val="auto"/>
          <w:sz w:val="32"/>
          <w:szCs w:val="22"/>
          <w:highlight w:val="none"/>
          <w:lang w:val="en-US" w:eastAsia="zh-CN"/>
        </w:rPr>
        <w:t>丰富山地</w:t>
      </w:r>
      <w:r>
        <w:rPr>
          <w:rFonts w:hint="default" w:ascii="Times New Roman" w:hAnsi="Times New Roman" w:eastAsia="仿宋_GB2312" w:cs="Times New Roman"/>
          <w:b w:val="0"/>
          <w:bCs w:val="0"/>
          <w:color w:val="auto"/>
          <w:sz w:val="32"/>
          <w:szCs w:val="22"/>
          <w:highlight w:val="none"/>
          <w:lang w:eastAsia="zh-CN"/>
        </w:rPr>
        <w:t>运动新业态，鼓励毕棚沟</w:t>
      </w:r>
      <w:r>
        <w:rPr>
          <w:rFonts w:hint="default" w:ascii="Times New Roman" w:hAnsi="Times New Roman" w:eastAsia="仿宋_GB2312" w:cs="Times New Roman"/>
          <w:b w:val="0"/>
          <w:bCs w:val="0"/>
          <w:color w:val="auto"/>
          <w:sz w:val="32"/>
          <w:szCs w:val="22"/>
          <w:highlight w:val="none"/>
          <w:lang w:val="en-US" w:eastAsia="zh-CN"/>
        </w:rPr>
        <w:t>景区</w:t>
      </w:r>
      <w:r>
        <w:rPr>
          <w:rFonts w:hint="default" w:ascii="Times New Roman" w:hAnsi="Times New Roman" w:eastAsia="仿宋_GB2312" w:cs="Times New Roman"/>
          <w:b w:val="0"/>
          <w:bCs w:val="0"/>
          <w:color w:val="auto"/>
          <w:sz w:val="32"/>
          <w:szCs w:val="22"/>
          <w:highlight w:val="none"/>
          <w:lang w:eastAsia="zh-CN"/>
        </w:rPr>
        <w:t>、孟屯河谷</w:t>
      </w:r>
      <w:r>
        <w:rPr>
          <w:rFonts w:hint="default" w:ascii="Times New Roman" w:hAnsi="Times New Roman" w:eastAsia="仿宋_GB2312" w:cs="Times New Roman"/>
          <w:b w:val="0"/>
          <w:bCs w:val="0"/>
          <w:color w:val="auto"/>
          <w:sz w:val="32"/>
          <w:szCs w:val="22"/>
          <w:highlight w:val="none"/>
          <w:lang w:val="en-US" w:eastAsia="zh-CN"/>
        </w:rPr>
        <w:t>景区</w:t>
      </w:r>
      <w:r>
        <w:rPr>
          <w:rFonts w:hint="default" w:ascii="Times New Roman" w:hAnsi="Times New Roman" w:eastAsia="仿宋_GB2312" w:cs="Times New Roman"/>
          <w:b w:val="0"/>
          <w:bCs w:val="0"/>
          <w:color w:val="auto"/>
          <w:sz w:val="32"/>
          <w:szCs w:val="22"/>
          <w:highlight w:val="none"/>
          <w:lang w:eastAsia="zh-CN"/>
        </w:rPr>
        <w:t>等</w:t>
      </w:r>
      <w:r>
        <w:rPr>
          <w:rFonts w:hint="default" w:ascii="Times New Roman" w:hAnsi="Times New Roman" w:eastAsia="仿宋_GB2312" w:cs="Times New Roman"/>
          <w:color w:val="auto"/>
          <w:spacing w:val="5"/>
          <w:sz w:val="32"/>
          <w:szCs w:val="22"/>
          <w:highlight w:val="none"/>
          <w:lang w:val="en-US" w:eastAsia="zh-CN"/>
        </w:rPr>
        <w:t>山地资源优势区域</w:t>
      </w:r>
      <w:r>
        <w:rPr>
          <w:rFonts w:hint="default" w:ascii="Times New Roman" w:hAnsi="Times New Roman" w:eastAsia="仿宋_GB2312" w:cs="Times New Roman"/>
          <w:b w:val="0"/>
          <w:bCs w:val="0"/>
          <w:color w:val="auto"/>
          <w:sz w:val="32"/>
          <w:szCs w:val="22"/>
          <w:highlight w:val="none"/>
          <w:lang w:eastAsia="zh-CN"/>
        </w:rPr>
        <w:t>探索开发高空滑索、野外骑行、林地探险、徒步穿越等户外运动项目，</w:t>
      </w:r>
      <w:r>
        <w:rPr>
          <w:rFonts w:hint="default" w:ascii="Times New Roman" w:hAnsi="Times New Roman" w:eastAsia="仿宋_GB2312" w:cs="Times New Roman"/>
          <w:color w:val="auto"/>
          <w:sz w:val="32"/>
          <w:szCs w:val="22"/>
          <w:highlight w:val="none"/>
          <w:lang w:val="en-US" w:eastAsia="zh-CN"/>
        </w:rPr>
        <w:t>支持猛古山地、汶山禹迹等旅游项目开发建设</w:t>
      </w:r>
      <w:r>
        <w:rPr>
          <w:rFonts w:hint="default" w:ascii="Times New Roman" w:hAnsi="Times New Roman" w:eastAsia="仿宋_GB2312" w:cs="Times New Roman"/>
          <w:b w:val="0"/>
          <w:bCs w:val="0"/>
          <w:color w:val="auto"/>
          <w:sz w:val="32"/>
          <w:szCs w:val="22"/>
          <w:highlight w:val="none"/>
          <w:lang w:eastAsia="zh-CN"/>
        </w:rPr>
        <w:t>。建设</w:t>
      </w:r>
      <w:r>
        <w:rPr>
          <w:rFonts w:hint="default" w:ascii="Times New Roman" w:hAnsi="Times New Roman" w:eastAsia="仿宋_GB2312" w:cs="Times New Roman"/>
          <w:b w:val="0"/>
          <w:bCs w:val="0"/>
          <w:color w:val="auto"/>
          <w:sz w:val="32"/>
          <w:szCs w:val="22"/>
          <w:highlight w:val="none"/>
          <w:lang w:val="en-US" w:eastAsia="zh-CN"/>
        </w:rPr>
        <w:t>户外特色徒步</w:t>
      </w:r>
      <w:r>
        <w:rPr>
          <w:rFonts w:hint="default" w:ascii="Times New Roman" w:hAnsi="Times New Roman" w:eastAsia="仿宋_GB2312" w:cs="Times New Roman"/>
          <w:b w:val="0"/>
          <w:bCs w:val="0"/>
          <w:color w:val="auto"/>
          <w:sz w:val="32"/>
          <w:szCs w:val="22"/>
          <w:highlight w:val="none"/>
          <w:lang w:eastAsia="zh-CN"/>
        </w:rPr>
        <w:t>线路，开发二古溪、打色尔沟等</w:t>
      </w:r>
      <w:r>
        <w:rPr>
          <w:rFonts w:hint="default" w:ascii="Times New Roman" w:hAnsi="Times New Roman" w:eastAsia="仿宋_GB2312" w:cs="Times New Roman"/>
          <w:b w:val="0"/>
          <w:bCs w:val="0"/>
          <w:color w:val="auto"/>
          <w:sz w:val="32"/>
          <w:szCs w:val="22"/>
          <w:highlight w:val="none"/>
          <w:lang w:val="en-US" w:eastAsia="zh-CN"/>
        </w:rPr>
        <w:t>县内</w:t>
      </w:r>
      <w:r>
        <w:rPr>
          <w:rFonts w:hint="default" w:ascii="Times New Roman" w:hAnsi="Times New Roman" w:eastAsia="仿宋_GB2312" w:cs="Times New Roman"/>
          <w:b w:val="0"/>
          <w:bCs w:val="0"/>
          <w:color w:val="auto"/>
          <w:sz w:val="32"/>
          <w:szCs w:val="22"/>
          <w:highlight w:val="none"/>
          <w:lang w:eastAsia="zh-CN"/>
        </w:rPr>
        <w:t>特色徒步线路，深化与小金跨区域协作，共同</w:t>
      </w:r>
      <w:r>
        <w:rPr>
          <w:rFonts w:hint="default" w:ascii="Times New Roman" w:hAnsi="Times New Roman" w:eastAsia="仿宋_GB2312" w:cs="Times New Roman"/>
          <w:b w:val="0"/>
          <w:bCs w:val="0"/>
          <w:color w:val="auto"/>
          <w:sz w:val="32"/>
          <w:szCs w:val="22"/>
          <w:highlight w:val="none"/>
          <w:lang w:val="en-US" w:eastAsia="zh-CN"/>
        </w:rPr>
        <w:t>完善</w:t>
      </w:r>
      <w:r>
        <w:rPr>
          <w:rFonts w:hint="default" w:ascii="Times New Roman" w:hAnsi="Times New Roman" w:eastAsia="仿宋_GB2312" w:cs="Times New Roman"/>
          <w:b w:val="0"/>
          <w:bCs w:val="0"/>
          <w:color w:val="auto"/>
          <w:sz w:val="32"/>
          <w:szCs w:val="22"/>
          <w:highlight w:val="none"/>
          <w:lang w:eastAsia="zh-CN"/>
        </w:rPr>
        <w:t>“长穿毕”经典穿越线路，打造“川西北户外黄金线”。</w:t>
      </w:r>
      <w:r>
        <w:rPr>
          <w:rFonts w:hint="default" w:ascii="Times New Roman" w:hAnsi="Times New Roman" w:eastAsia="仿宋_GB2312" w:cs="Times New Roman"/>
          <w:color w:val="auto"/>
          <w:spacing w:val="5"/>
          <w:sz w:val="32"/>
          <w:szCs w:val="22"/>
          <w:highlight w:val="none"/>
        </w:rPr>
        <w:t>打造</w:t>
      </w:r>
      <w:r>
        <w:rPr>
          <w:rFonts w:hint="default" w:ascii="Times New Roman" w:hAnsi="Times New Roman" w:eastAsia="仿宋_GB2312" w:cs="Times New Roman"/>
          <w:color w:val="auto"/>
          <w:spacing w:val="5"/>
          <w:sz w:val="32"/>
          <w:szCs w:val="22"/>
          <w:highlight w:val="none"/>
          <w:lang w:val="en-US" w:eastAsia="zh-CN"/>
        </w:rPr>
        <w:t>专业化</w:t>
      </w:r>
      <w:r>
        <w:rPr>
          <w:rFonts w:hint="default" w:ascii="Times New Roman" w:hAnsi="Times New Roman" w:eastAsia="仿宋_GB2312" w:cs="Times New Roman"/>
          <w:color w:val="auto"/>
          <w:spacing w:val="5"/>
          <w:sz w:val="32"/>
          <w:szCs w:val="22"/>
          <w:highlight w:val="none"/>
        </w:rPr>
        <w:t>户外</w:t>
      </w:r>
      <w:r>
        <w:rPr>
          <w:rFonts w:hint="default" w:ascii="Times New Roman" w:hAnsi="Times New Roman" w:eastAsia="仿宋_GB2312" w:cs="Times New Roman"/>
          <w:color w:val="auto"/>
          <w:spacing w:val="5"/>
          <w:sz w:val="32"/>
          <w:szCs w:val="22"/>
          <w:highlight w:val="none"/>
          <w:lang w:val="en-US" w:eastAsia="zh-CN"/>
        </w:rPr>
        <w:t>新</w:t>
      </w:r>
      <w:r>
        <w:rPr>
          <w:rFonts w:hint="default" w:ascii="Times New Roman" w:hAnsi="Times New Roman" w:eastAsia="仿宋_GB2312" w:cs="Times New Roman"/>
          <w:color w:val="auto"/>
          <w:spacing w:val="5"/>
          <w:sz w:val="32"/>
          <w:szCs w:val="22"/>
          <w:highlight w:val="none"/>
        </w:rPr>
        <w:t>基地</w:t>
      </w:r>
      <w:r>
        <w:rPr>
          <w:rFonts w:hint="default" w:ascii="Times New Roman" w:hAnsi="Times New Roman" w:eastAsia="仿宋_GB2312" w:cs="Times New Roman"/>
          <w:b w:val="0"/>
          <w:bCs w:val="0"/>
          <w:color w:val="auto"/>
          <w:sz w:val="32"/>
          <w:szCs w:val="22"/>
          <w:highlight w:val="none"/>
          <w:lang w:eastAsia="zh-CN"/>
        </w:rPr>
        <w:t>，</w:t>
      </w:r>
      <w:r>
        <w:rPr>
          <w:rFonts w:hint="default" w:ascii="Times New Roman" w:hAnsi="Times New Roman" w:eastAsia="仿宋_GB2312" w:cs="Times New Roman"/>
          <w:color w:val="auto"/>
          <w:spacing w:val="5"/>
          <w:sz w:val="32"/>
          <w:szCs w:val="22"/>
          <w:highlight w:val="none"/>
          <w:lang w:val="en-US" w:eastAsia="zh-CN"/>
        </w:rPr>
        <w:t>结合</w:t>
      </w:r>
      <w:r>
        <w:rPr>
          <w:rFonts w:hint="default" w:ascii="Times New Roman" w:hAnsi="Times New Roman" w:eastAsia="仿宋_GB2312" w:cs="Times New Roman"/>
          <w:color w:val="auto"/>
          <w:spacing w:val="5"/>
          <w:sz w:val="32"/>
          <w:szCs w:val="22"/>
          <w:highlight w:val="none"/>
        </w:rPr>
        <w:t>甲尔猛措、红山、九架棚、渔海子、休溪坪、甲米沟等</w:t>
      </w:r>
      <w:r>
        <w:rPr>
          <w:rFonts w:hint="default" w:ascii="Times New Roman" w:hAnsi="Times New Roman" w:eastAsia="仿宋_GB2312" w:cs="Times New Roman"/>
          <w:color w:val="auto"/>
          <w:spacing w:val="5"/>
          <w:sz w:val="32"/>
          <w:szCs w:val="22"/>
          <w:highlight w:val="none"/>
          <w:lang w:val="en-US" w:eastAsia="zh-CN"/>
        </w:rPr>
        <w:t>点位资源特质，建设一批徒步探险型、星空露营型、亲子户外型、轻探险型、康养户外型、山地运动型等</w:t>
      </w:r>
      <w:r>
        <w:rPr>
          <w:rFonts w:hint="default" w:ascii="Times New Roman" w:hAnsi="Times New Roman" w:eastAsia="仿宋_GB2312" w:cs="Times New Roman"/>
          <w:color w:val="auto"/>
          <w:spacing w:val="5"/>
          <w:sz w:val="32"/>
          <w:szCs w:val="22"/>
          <w:highlight w:val="none"/>
        </w:rPr>
        <w:t>户外运动目的地</w:t>
      </w:r>
      <w:r>
        <w:rPr>
          <w:rFonts w:hint="default" w:ascii="Times New Roman" w:hAnsi="Times New Roman" w:eastAsia="仿宋_GB2312" w:cs="Times New Roman"/>
          <w:color w:val="auto"/>
          <w:spacing w:val="5"/>
          <w:sz w:val="32"/>
          <w:szCs w:val="22"/>
          <w:highlight w:val="none"/>
          <w:lang w:eastAsia="zh-CN"/>
        </w:rPr>
        <w:t>，形成“一基地一主题”格局。</w:t>
      </w:r>
      <w:r>
        <w:rPr>
          <w:rFonts w:hint="default" w:ascii="Times New Roman" w:hAnsi="Times New Roman" w:eastAsia="仿宋_GB2312" w:cs="Times New Roman"/>
          <w:b w:val="0"/>
          <w:bCs w:val="0"/>
          <w:color w:val="auto"/>
          <w:sz w:val="32"/>
          <w:szCs w:val="22"/>
          <w:highlight w:val="none"/>
          <w:lang w:eastAsia="zh-CN"/>
        </w:rPr>
        <w:t>探索户外运动新模式，支持毕棚沟</w:t>
      </w:r>
      <w:r>
        <w:rPr>
          <w:rFonts w:hint="default" w:ascii="Times New Roman" w:hAnsi="Times New Roman" w:eastAsia="仿宋_GB2312" w:cs="Times New Roman"/>
          <w:b w:val="0"/>
          <w:bCs w:val="0"/>
          <w:color w:val="auto"/>
          <w:sz w:val="32"/>
          <w:szCs w:val="22"/>
          <w:highlight w:val="none"/>
          <w:lang w:val="en-US" w:eastAsia="zh-CN"/>
        </w:rPr>
        <w:t>景区</w:t>
      </w:r>
      <w:r>
        <w:rPr>
          <w:rFonts w:hint="default" w:ascii="Times New Roman" w:hAnsi="Times New Roman" w:eastAsia="仿宋_GB2312" w:cs="Times New Roman"/>
          <w:b w:val="0"/>
          <w:bCs w:val="0"/>
          <w:color w:val="auto"/>
          <w:sz w:val="32"/>
          <w:szCs w:val="22"/>
          <w:highlight w:val="none"/>
          <w:lang w:eastAsia="zh-CN"/>
        </w:rPr>
        <w:t>、孟屯河谷景区</w:t>
      </w:r>
      <w:r>
        <w:rPr>
          <w:rFonts w:hint="default" w:ascii="Times New Roman" w:hAnsi="Times New Roman" w:eastAsia="仿宋_GB2312" w:cs="Times New Roman"/>
          <w:b w:val="0"/>
          <w:bCs w:val="0"/>
          <w:color w:val="auto"/>
          <w:sz w:val="32"/>
          <w:szCs w:val="22"/>
          <w:highlight w:val="none"/>
          <w:lang w:val="en-US" w:eastAsia="zh-CN"/>
        </w:rPr>
        <w:t>等景观独特区域</w:t>
      </w:r>
      <w:r>
        <w:rPr>
          <w:rFonts w:hint="default" w:ascii="Times New Roman" w:hAnsi="Times New Roman" w:eastAsia="仿宋_GB2312" w:cs="Times New Roman"/>
          <w:b w:val="0"/>
          <w:bCs w:val="0"/>
          <w:color w:val="auto"/>
          <w:sz w:val="32"/>
          <w:szCs w:val="22"/>
          <w:highlight w:val="none"/>
          <w:lang w:eastAsia="zh-CN"/>
        </w:rPr>
        <w:t>发展直升机、热气球等低空</w:t>
      </w:r>
      <w:r>
        <w:rPr>
          <w:rFonts w:hint="default" w:ascii="Times New Roman" w:hAnsi="Times New Roman" w:eastAsia="仿宋_GB2312" w:cs="Times New Roman"/>
          <w:b w:val="0"/>
          <w:bCs w:val="0"/>
          <w:color w:val="auto"/>
          <w:sz w:val="32"/>
          <w:szCs w:val="22"/>
          <w:highlight w:val="none"/>
          <w:lang w:val="en-US" w:eastAsia="zh-CN"/>
        </w:rPr>
        <w:t>项目</w:t>
      </w:r>
      <w:r>
        <w:rPr>
          <w:rFonts w:hint="default" w:ascii="Times New Roman" w:hAnsi="Times New Roman" w:eastAsia="仿宋_GB2312" w:cs="Times New Roman"/>
          <w:b w:val="0"/>
          <w:bCs w:val="0"/>
          <w:color w:val="auto"/>
          <w:sz w:val="32"/>
          <w:szCs w:val="22"/>
          <w:highlight w:val="none"/>
          <w:lang w:eastAsia="zh-CN"/>
        </w:rPr>
        <w:t>，</w:t>
      </w:r>
      <w:r>
        <w:rPr>
          <w:rFonts w:hint="default" w:ascii="Times New Roman" w:hAnsi="Times New Roman" w:eastAsia="仿宋_GB2312" w:cs="Times New Roman"/>
          <w:b w:val="0"/>
          <w:bCs w:val="0"/>
          <w:color w:val="auto"/>
          <w:sz w:val="32"/>
          <w:szCs w:val="22"/>
          <w:highlight w:val="none"/>
          <w:lang w:val="en-US" w:eastAsia="zh-CN"/>
        </w:rPr>
        <w:t>开发低空旅游</w:t>
      </w:r>
      <w:r>
        <w:rPr>
          <w:rFonts w:hint="default" w:ascii="Times New Roman" w:hAnsi="Times New Roman" w:eastAsia="仿宋_GB2312" w:cs="Times New Roman"/>
          <w:b w:val="0"/>
          <w:bCs w:val="0"/>
          <w:color w:val="auto"/>
          <w:sz w:val="32"/>
          <w:szCs w:val="22"/>
          <w:highlight w:val="none"/>
          <w:lang w:eastAsia="zh-CN"/>
        </w:rPr>
        <w:t>航线，打造“低空+地面”联动立体体验模式。</w:t>
      </w:r>
    </w:p>
    <w:p w14:paraId="3B70A3D3">
      <w:pPr>
        <w:keepNext/>
        <w:widowControl w:val="0"/>
        <w:numPr>
          <w:ilvl w:val="0"/>
          <w:numId w:val="11"/>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136" w:name="_Toc15157"/>
      <w:bookmarkStart w:id="137" w:name="_Toc16067"/>
      <w:bookmarkStart w:id="138" w:name="_Toc27905"/>
      <w:bookmarkStart w:id="139" w:name="_Toc7569"/>
      <w:r>
        <w:rPr>
          <w:rFonts w:hint="default" w:ascii="Times New Roman" w:hAnsi="Times New Roman" w:eastAsia="楷体_GB2312" w:cs="Times New Roman"/>
          <w:b/>
          <w:bCs w:val="0"/>
          <w:color w:val="auto"/>
          <w:kern w:val="2"/>
          <w:sz w:val="32"/>
          <w:szCs w:val="32"/>
          <w:highlight w:val="none"/>
          <w:lang w:val="en-US" w:eastAsia="zh-CN" w:bidi="ar-SA"/>
        </w:rPr>
        <w:t>培育户外运动旅游关联产业</w:t>
      </w:r>
      <w:bookmarkEnd w:id="136"/>
      <w:bookmarkEnd w:id="137"/>
      <w:bookmarkEnd w:id="138"/>
      <w:bookmarkEnd w:id="139"/>
    </w:p>
    <w:p w14:paraId="16255766">
      <w:pPr>
        <w:bidi w:val="0"/>
        <w:spacing w:line="560" w:lineRule="exact"/>
        <w:ind w:firstLine="660" w:firstLineChars="200"/>
        <w:rPr>
          <w:rFonts w:hint="default" w:ascii="Times New Roman" w:hAnsi="Times New Roman" w:eastAsia="仿宋_GB2312" w:cs="Times New Roman"/>
          <w:b w:val="0"/>
          <w:color w:val="auto"/>
          <w:sz w:val="32"/>
          <w:szCs w:val="32"/>
          <w:highlight w:val="none"/>
          <w:lang w:val="en-US" w:eastAsia="zh-CN" w:bidi="ar-SA"/>
        </w:rPr>
      </w:pPr>
      <w:r>
        <w:rPr>
          <w:rFonts w:hint="default" w:ascii="Times New Roman" w:hAnsi="Times New Roman" w:eastAsia="仿宋_GB2312" w:cs="Times New Roman"/>
          <w:color w:val="auto"/>
          <w:spacing w:val="5"/>
          <w:sz w:val="32"/>
          <w:szCs w:val="22"/>
          <w:highlight w:val="none"/>
        </w:rPr>
        <w:t>培育</w:t>
      </w:r>
      <w:r>
        <w:rPr>
          <w:rFonts w:hint="default" w:ascii="Times New Roman" w:hAnsi="Times New Roman" w:eastAsia="仿宋_GB2312" w:cs="Times New Roman"/>
          <w:color w:val="auto"/>
          <w:spacing w:val="5"/>
          <w:sz w:val="32"/>
          <w:szCs w:val="22"/>
          <w:highlight w:val="none"/>
          <w:lang w:val="en-US" w:eastAsia="zh-CN"/>
        </w:rPr>
        <w:t>装备服务配套</w:t>
      </w:r>
      <w:r>
        <w:rPr>
          <w:rFonts w:hint="default" w:ascii="Times New Roman" w:hAnsi="Times New Roman" w:eastAsia="仿宋_GB2312" w:cs="Times New Roman"/>
          <w:color w:val="auto"/>
          <w:spacing w:val="5"/>
          <w:sz w:val="32"/>
          <w:szCs w:val="22"/>
          <w:highlight w:val="none"/>
        </w:rPr>
        <w:t>产业，</w:t>
      </w:r>
      <w:r>
        <w:rPr>
          <w:rFonts w:hint="default" w:ascii="Times New Roman" w:hAnsi="Times New Roman" w:eastAsia="仿宋_GB2312" w:cs="Times New Roman"/>
          <w:color w:val="auto"/>
          <w:spacing w:val="5"/>
          <w:sz w:val="32"/>
          <w:szCs w:val="22"/>
          <w:highlight w:val="none"/>
          <w:lang w:eastAsia="zh-CN"/>
        </w:rPr>
        <w:t>以上孟、米亚罗、朴头、薛城等交通便利的旅游集镇为节点，</w:t>
      </w:r>
      <w:r>
        <w:rPr>
          <w:rFonts w:hint="default" w:ascii="Times New Roman" w:hAnsi="Times New Roman" w:eastAsia="仿宋_GB2312" w:cs="Times New Roman"/>
          <w:color w:val="auto"/>
          <w:spacing w:val="5"/>
          <w:sz w:val="32"/>
          <w:szCs w:val="22"/>
          <w:highlight w:val="none"/>
          <w:lang w:val="en-US" w:eastAsia="zh-CN"/>
        </w:rPr>
        <w:t>建设</w:t>
      </w:r>
      <w:r>
        <w:rPr>
          <w:rFonts w:hint="default" w:ascii="Times New Roman" w:hAnsi="Times New Roman" w:eastAsia="仿宋_GB2312" w:cs="Times New Roman"/>
          <w:color w:val="auto"/>
          <w:spacing w:val="5"/>
          <w:sz w:val="32"/>
          <w:szCs w:val="22"/>
          <w:highlight w:val="none"/>
          <w:lang w:eastAsia="zh-CN"/>
        </w:rPr>
        <w:t>“户外装备租赁+销售+维修”一体化服务点，重点引入适合高原环境的专业装备，提供“入门套装租赁、高端装备定制”分级服务，推动装备服务专业化、标准化。</w:t>
      </w:r>
      <w:r>
        <w:rPr>
          <w:rFonts w:hint="default" w:ascii="Times New Roman" w:hAnsi="Times New Roman" w:eastAsia="仿宋_GB2312" w:cs="Times New Roman"/>
          <w:color w:val="auto"/>
          <w:spacing w:val="5"/>
          <w:sz w:val="32"/>
          <w:szCs w:val="22"/>
          <w:highlight w:val="none"/>
        </w:rPr>
        <w:t>拓展</w:t>
      </w:r>
      <w:r>
        <w:rPr>
          <w:rFonts w:hint="default" w:ascii="Times New Roman" w:hAnsi="Times New Roman" w:eastAsia="仿宋_GB2312" w:cs="Times New Roman"/>
          <w:color w:val="auto"/>
          <w:spacing w:val="5"/>
          <w:sz w:val="32"/>
          <w:szCs w:val="22"/>
          <w:highlight w:val="none"/>
          <w:lang w:val="en-US" w:eastAsia="zh-CN"/>
        </w:rPr>
        <w:t>专业供给</w:t>
      </w:r>
      <w:r>
        <w:rPr>
          <w:rFonts w:hint="default" w:ascii="Times New Roman" w:hAnsi="Times New Roman" w:eastAsia="仿宋_GB2312" w:cs="Times New Roman"/>
          <w:color w:val="auto"/>
          <w:spacing w:val="5"/>
          <w:sz w:val="32"/>
          <w:szCs w:val="22"/>
          <w:highlight w:val="none"/>
        </w:rPr>
        <w:t>服务能力，采取“外引内培”模式，引进国内顶尖户外运营团队参与项目策划</w:t>
      </w:r>
      <w:r>
        <w:rPr>
          <w:rFonts w:hint="default" w:ascii="Times New Roman" w:hAnsi="Times New Roman" w:eastAsia="仿宋_GB2312" w:cs="Times New Roman"/>
          <w:color w:val="auto"/>
          <w:spacing w:val="5"/>
          <w:sz w:val="32"/>
          <w:szCs w:val="22"/>
          <w:highlight w:val="none"/>
          <w:lang w:eastAsia="zh-CN"/>
        </w:rPr>
        <w:t>，</w:t>
      </w:r>
      <w:r>
        <w:rPr>
          <w:rFonts w:hint="default" w:ascii="Times New Roman" w:hAnsi="Times New Roman" w:eastAsia="仿宋_GB2312" w:cs="Times New Roman"/>
          <w:color w:val="auto"/>
          <w:spacing w:val="5"/>
          <w:sz w:val="32"/>
          <w:szCs w:val="22"/>
          <w:highlight w:val="none"/>
        </w:rPr>
        <w:t>选拔本地藏族、羌族群众开展向导培训，打造“会讲藏羌故事、懂户外安全、熟区域路线”的本土向导队伍，培育壮大“向导+文化讲解”的特色向导经济</w:t>
      </w:r>
      <w:r>
        <w:rPr>
          <w:rFonts w:hint="default" w:ascii="Times New Roman" w:hAnsi="Times New Roman" w:eastAsia="仿宋_GB2312" w:cs="Times New Roman"/>
          <w:color w:val="auto"/>
          <w:spacing w:val="5"/>
          <w:sz w:val="32"/>
          <w:szCs w:val="22"/>
          <w:highlight w:val="none"/>
          <w:lang w:eastAsia="zh-CN"/>
        </w:rPr>
        <w:t>。</w:t>
      </w:r>
      <w:r>
        <w:rPr>
          <w:rFonts w:hint="default" w:ascii="Times New Roman" w:hAnsi="Times New Roman" w:eastAsia="仿宋_GB2312" w:cs="Times New Roman"/>
          <w:color w:val="auto"/>
          <w:spacing w:val="5"/>
          <w:sz w:val="32"/>
          <w:szCs w:val="22"/>
          <w:highlight w:val="none"/>
        </w:rPr>
        <w:t>健全</w:t>
      </w:r>
      <w:r>
        <w:rPr>
          <w:rFonts w:hint="default" w:ascii="Times New Roman" w:hAnsi="Times New Roman" w:eastAsia="仿宋_GB2312" w:cs="Times New Roman"/>
          <w:color w:val="auto"/>
          <w:spacing w:val="5"/>
          <w:sz w:val="32"/>
          <w:szCs w:val="22"/>
          <w:highlight w:val="none"/>
          <w:lang w:val="en-US" w:eastAsia="zh-CN"/>
        </w:rPr>
        <w:t>安全</w:t>
      </w:r>
      <w:r>
        <w:rPr>
          <w:rFonts w:hint="default" w:ascii="Times New Roman" w:hAnsi="Times New Roman" w:eastAsia="仿宋_GB2312" w:cs="Times New Roman"/>
          <w:color w:val="auto"/>
          <w:spacing w:val="5"/>
          <w:sz w:val="32"/>
          <w:szCs w:val="22"/>
          <w:highlight w:val="none"/>
        </w:rPr>
        <w:t>救援体系，</w:t>
      </w:r>
      <w:r>
        <w:rPr>
          <w:rFonts w:hint="default" w:ascii="Times New Roman" w:hAnsi="Times New Roman" w:eastAsia="仿宋_GB2312" w:cs="Times New Roman"/>
          <w:b w:val="0"/>
          <w:color w:val="auto"/>
          <w:sz w:val="32"/>
          <w:szCs w:val="32"/>
          <w:highlight w:val="none"/>
          <w:lang w:val="en-US" w:eastAsia="zh-CN" w:bidi="ar-SA"/>
        </w:rPr>
        <w:t>以“数智化+专业化”筑牢安全底线，升级北斗定位救援系统，在“长穿毕”等重点线路增设智能呼叫桩，组建由本地牧民、专业救援人员组成的混合救援队伍，建立“事前预警—事中救援—事后保障”全流程安全防护网络，提升游客体验安全感。</w:t>
      </w:r>
    </w:p>
    <w:p w14:paraId="7DCF8424">
      <w:pPr>
        <w:keepNext/>
        <w:widowControl w:val="0"/>
        <w:numPr>
          <w:ilvl w:val="0"/>
          <w:numId w:val="11"/>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140" w:name="_Toc3776"/>
      <w:bookmarkStart w:id="141" w:name="_Toc8848"/>
      <w:bookmarkStart w:id="142" w:name="_Toc24534"/>
      <w:bookmarkStart w:id="143" w:name="_Toc12524"/>
      <w:r>
        <w:rPr>
          <w:rFonts w:hint="default" w:ascii="Times New Roman" w:hAnsi="Times New Roman" w:eastAsia="楷体_GB2312" w:cs="Times New Roman"/>
          <w:b/>
          <w:bCs w:val="0"/>
          <w:color w:val="auto"/>
          <w:kern w:val="2"/>
          <w:sz w:val="32"/>
          <w:szCs w:val="32"/>
          <w:highlight w:val="none"/>
          <w:lang w:val="en-US" w:eastAsia="zh-CN" w:bidi="ar-SA"/>
        </w:rPr>
        <w:t>提升户外运动旅游管理水平</w:t>
      </w:r>
      <w:bookmarkEnd w:id="140"/>
      <w:bookmarkEnd w:id="141"/>
      <w:bookmarkEnd w:id="142"/>
      <w:bookmarkEnd w:id="143"/>
    </w:p>
    <w:p w14:paraId="086A6103">
      <w:pPr>
        <w:bidi w:val="0"/>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color w:val="auto"/>
          <w:sz w:val="32"/>
          <w:szCs w:val="22"/>
          <w:highlight w:val="none"/>
          <w:lang w:val="en-US" w:eastAsia="zh-CN"/>
        </w:rPr>
        <w:t>借鉴标杆经验赋能提升，</w:t>
      </w:r>
      <w:r>
        <w:rPr>
          <w:rFonts w:hint="default" w:ascii="Times New Roman" w:hAnsi="Times New Roman" w:eastAsia="仿宋_GB2312" w:cs="Times New Roman"/>
          <w:color w:val="auto"/>
          <w:spacing w:val="5"/>
          <w:sz w:val="32"/>
          <w:szCs w:val="22"/>
          <w:highlight w:val="none"/>
          <w:lang w:val="en-US" w:eastAsia="zh-CN"/>
        </w:rPr>
        <w:t>深度</w:t>
      </w:r>
      <w:r>
        <w:rPr>
          <w:rFonts w:hint="default" w:ascii="Times New Roman" w:hAnsi="Times New Roman" w:eastAsia="仿宋_GB2312" w:cs="Times New Roman"/>
          <w:color w:val="auto"/>
          <w:spacing w:val="5"/>
          <w:sz w:val="32"/>
          <w:szCs w:val="22"/>
          <w:highlight w:val="none"/>
        </w:rPr>
        <w:t>学习</w:t>
      </w:r>
      <w:r>
        <w:rPr>
          <w:rFonts w:hint="default" w:ascii="Times New Roman" w:hAnsi="Times New Roman" w:eastAsia="仿宋_GB2312" w:cs="Times New Roman"/>
          <w:color w:val="auto"/>
          <w:sz w:val="32"/>
          <w:szCs w:val="22"/>
          <w:highlight w:val="none"/>
          <w:lang w:val="en-US" w:eastAsia="zh-CN"/>
        </w:rPr>
        <w:t>四姑娘山景区“全国最佳户外旅行目的地”创建经验，同步总结甲尔猛措户外管理中心运营经验与成效，推动经验转化为全域适用的管理标准。打造试点点位示范带动，以甲尔猛措经验为蓝本，聚焦猛古沟、梭罗沟、老君沟等网红户外点位，试点建设集“路线预约、安全宣教、向导调度、应急处置”于一体的户外管理中心，融入藏羌元素打造特色服务站。</w:t>
      </w:r>
    </w:p>
    <w:p w14:paraId="16FBC31F">
      <w:pPr>
        <w:bidi w:val="0"/>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p>
    <w:p w14:paraId="0378336D">
      <w:pPr>
        <w:bidi w:val="0"/>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p>
    <w:p w14:paraId="121CF7DC">
      <w:pPr>
        <w:bidi w:val="0"/>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2F718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00" w:type="pct"/>
            <w:shd w:val="clear" w:color="auto" w:fill="7F7F7F" w:themeFill="text1" w:themeFillTint="7F"/>
            <w:vAlign w:val="center"/>
          </w:tcPr>
          <w:p w14:paraId="5E1B0390">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center"/>
              <w:rPr>
                <w:rFonts w:hint="default" w:ascii="Times New Roman" w:hAnsi="Times New Roman" w:eastAsia="黑体" w:cs="Times New Roman"/>
                <w:color w:val="auto"/>
                <w:kern w:val="2"/>
                <w:sz w:val="30"/>
                <w:szCs w:val="22"/>
                <w:highlight w:val="none"/>
                <w:lang w:val="en-US" w:eastAsia="zh-CN"/>
              </w:rPr>
            </w:pPr>
            <w:r>
              <w:rPr>
                <w:rFonts w:hint="default" w:ascii="Times New Roman" w:hAnsi="Times New Roman" w:eastAsia="黑体" w:cs="Times New Roman"/>
                <w:b/>
                <w:bCs/>
                <w:color w:val="auto"/>
                <w:kern w:val="0"/>
                <w:sz w:val="28"/>
                <w:szCs w:val="28"/>
                <w:highlight w:val="none"/>
                <w:lang w:bidi="ar"/>
              </w:rPr>
              <w:t>专栏</w:t>
            </w:r>
            <w:r>
              <w:rPr>
                <w:rFonts w:hint="default" w:ascii="Times New Roman" w:hAnsi="Times New Roman" w:eastAsia="黑体" w:cs="Times New Roman"/>
                <w:b/>
                <w:bCs/>
                <w:color w:val="auto"/>
                <w:kern w:val="0"/>
                <w:sz w:val="28"/>
                <w:szCs w:val="28"/>
                <w:highlight w:val="none"/>
                <w:lang w:val="en-US" w:eastAsia="zh-CN" w:bidi="ar"/>
              </w:rPr>
              <w:t>4</w:t>
            </w:r>
            <w:r>
              <w:rPr>
                <w:rFonts w:hint="default" w:ascii="Times New Roman" w:hAnsi="Times New Roman" w:eastAsia="黑体" w:cs="Times New Roman"/>
                <w:b/>
                <w:bCs/>
                <w:color w:val="auto"/>
                <w:kern w:val="0"/>
                <w:sz w:val="28"/>
                <w:szCs w:val="28"/>
                <w:highlight w:val="none"/>
                <w:lang w:bidi="ar"/>
              </w:rPr>
              <w:t xml:space="preserve"> </w:t>
            </w:r>
            <w:r>
              <w:rPr>
                <w:rFonts w:hint="default" w:ascii="Times New Roman" w:hAnsi="Times New Roman" w:eastAsia="黑体" w:cs="Times New Roman"/>
                <w:b/>
                <w:bCs/>
                <w:color w:val="auto"/>
                <w:kern w:val="0"/>
                <w:sz w:val="28"/>
                <w:szCs w:val="28"/>
                <w:highlight w:val="none"/>
                <w:lang w:val="en-US" w:eastAsia="zh-CN" w:bidi="ar"/>
              </w:rPr>
              <w:t xml:space="preserve"> 全域旅游示范地建设重点工程</w:t>
            </w:r>
          </w:p>
        </w:tc>
      </w:tr>
      <w:tr w14:paraId="7A864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tcPr>
          <w:p w14:paraId="088CD58E">
            <w:pPr>
              <w:keepNext w:val="0"/>
              <w:keepLines w:val="0"/>
              <w:pageBreakBefore w:val="0"/>
              <w:widowControl/>
              <w:numPr>
                <w:ilvl w:val="0"/>
                <w:numId w:val="5"/>
              </w:numPr>
              <w:kinsoku/>
              <w:wordWrap/>
              <w:overflowPunct/>
              <w:topLinePunct w:val="0"/>
              <w:autoSpaceDE/>
              <w:autoSpaceDN/>
              <w:bidi w:val="0"/>
              <w:adjustRightInd w:val="0"/>
              <w:snapToGrid w:val="0"/>
              <w:spacing w:line="440" w:lineRule="exact"/>
              <w:ind w:left="420" w:leftChars="0" w:hanging="420" w:firstLineChars="0"/>
              <w:jc w:val="left"/>
              <w:textAlignment w:val="auto"/>
              <w:rPr>
                <w:rFonts w:hint="default" w:ascii="Times New Roman" w:hAnsi="Times New Roman" w:eastAsia="仿宋_GB2312" w:cs="Times New Roman"/>
                <w:color w:val="auto"/>
                <w:kern w:val="2"/>
                <w:sz w:val="28"/>
                <w:szCs w:val="28"/>
                <w:highlight w:val="none"/>
                <w:lang w:val="en-US" w:eastAsia="zh-CN"/>
              </w:rPr>
            </w:pPr>
            <w:r>
              <w:rPr>
                <w:rFonts w:hint="default" w:ascii="Times New Roman" w:hAnsi="Times New Roman" w:eastAsia="仿宋_GB2312" w:cs="Times New Roman"/>
                <w:b/>
                <w:color w:val="auto"/>
                <w:kern w:val="0"/>
                <w:sz w:val="28"/>
                <w:szCs w:val="28"/>
                <w:highlight w:val="none"/>
                <w:lang w:val="en-US" w:eastAsia="zh-CN" w:bidi="ar-SA"/>
              </w:rPr>
              <w:t>打造文化沉浸旅游体验地：</w:t>
            </w:r>
            <w:r>
              <w:rPr>
                <w:rFonts w:hint="default" w:ascii="Times New Roman" w:hAnsi="Times New Roman" w:eastAsia="仿宋_GB2312" w:cs="Times New Roman"/>
                <w:b w:val="0"/>
                <w:bCs/>
                <w:color w:val="auto"/>
                <w:kern w:val="0"/>
                <w:sz w:val="28"/>
                <w:szCs w:val="28"/>
                <w:highlight w:val="none"/>
                <w:lang w:val="en-US" w:eastAsia="zh-CN" w:bidi="ar-SA"/>
              </w:rPr>
              <w:t>实施国际友人文化走廊暨伊莎白故事村建设、木卡村老寨保护开发、上孟乡木厂沟自然教育基地、桃坪镇古城村古衙门遗址研学基地等项目。</w:t>
            </w:r>
          </w:p>
          <w:p w14:paraId="0604B3C6">
            <w:pPr>
              <w:keepNext w:val="0"/>
              <w:keepLines w:val="0"/>
              <w:pageBreakBefore w:val="0"/>
              <w:widowControl/>
              <w:numPr>
                <w:ilvl w:val="0"/>
                <w:numId w:val="5"/>
              </w:numPr>
              <w:kinsoku/>
              <w:wordWrap/>
              <w:overflowPunct/>
              <w:topLinePunct w:val="0"/>
              <w:autoSpaceDE/>
              <w:autoSpaceDN/>
              <w:bidi w:val="0"/>
              <w:adjustRightInd w:val="0"/>
              <w:snapToGrid w:val="0"/>
              <w:spacing w:line="440" w:lineRule="exact"/>
              <w:ind w:left="420" w:leftChars="0" w:hanging="420" w:firstLineChars="0"/>
              <w:jc w:val="left"/>
              <w:textAlignment w:val="auto"/>
              <w:rPr>
                <w:rFonts w:hint="default" w:ascii="Times New Roman" w:hAnsi="Times New Roman" w:eastAsia="仿宋_GB2312" w:cs="Times New Roman"/>
                <w:color w:val="auto"/>
                <w:kern w:val="2"/>
                <w:sz w:val="28"/>
                <w:szCs w:val="28"/>
                <w:highlight w:val="none"/>
                <w:lang w:val="en-US" w:eastAsia="zh-CN"/>
              </w:rPr>
            </w:pPr>
            <w:r>
              <w:rPr>
                <w:rFonts w:hint="default" w:ascii="Times New Roman" w:hAnsi="Times New Roman" w:eastAsia="仿宋_GB2312" w:cs="Times New Roman"/>
                <w:b/>
                <w:color w:val="auto"/>
                <w:kern w:val="0"/>
                <w:sz w:val="28"/>
                <w:szCs w:val="28"/>
                <w:highlight w:val="none"/>
                <w:lang w:val="en-US" w:eastAsia="zh-CN" w:bidi="ar-SA"/>
              </w:rPr>
              <w:t>打造生态观光旅游示范地：</w:t>
            </w:r>
            <w:r>
              <w:rPr>
                <w:rFonts w:hint="default" w:ascii="Times New Roman" w:hAnsi="Times New Roman" w:eastAsia="仿宋_GB2312" w:cs="Times New Roman"/>
                <w:b w:val="0"/>
                <w:bCs/>
                <w:color w:val="auto"/>
                <w:kern w:val="0"/>
                <w:sz w:val="28"/>
                <w:szCs w:val="28"/>
                <w:highlight w:val="none"/>
                <w:lang w:val="en-US" w:eastAsia="zh-CN" w:bidi="ar-SA"/>
              </w:rPr>
              <w:t>实施理县桃坪羌寨4A级景区基础设施改造建设、理县智慧文旅信息基础设施建设、</w:t>
            </w:r>
            <w:r>
              <w:rPr>
                <w:rFonts w:hint="eastAsia" w:cs="Times New Roman"/>
                <w:b w:val="0"/>
                <w:bCs/>
                <w:color w:val="auto"/>
                <w:kern w:val="0"/>
                <w:sz w:val="28"/>
                <w:szCs w:val="28"/>
                <w:highlight w:val="none"/>
                <w:lang w:val="en-US" w:eastAsia="zh-CN" w:bidi="ar-SA"/>
              </w:rPr>
              <w:t>理县乡村旅游基础设施建设、</w:t>
            </w:r>
            <w:r>
              <w:rPr>
                <w:rFonts w:hint="default" w:ascii="Times New Roman" w:hAnsi="Times New Roman" w:eastAsia="仿宋_GB2312" w:cs="Times New Roman"/>
                <w:b w:val="0"/>
                <w:bCs/>
                <w:color w:val="auto"/>
                <w:kern w:val="0"/>
                <w:sz w:val="28"/>
                <w:szCs w:val="28"/>
                <w:highlight w:val="none"/>
                <w:lang w:val="en-US" w:eastAsia="zh-CN" w:bidi="ar-SA"/>
              </w:rPr>
              <w:t>理县生态观光旅游基础建设、毕棚沟景区游客中心至龙王海客运索道建设、毕棚沟景区游客中心综合改造、毕棚沟景区基础设施提升改造、孟屯河谷景区拓景扩容</w:t>
            </w:r>
            <w:r>
              <w:rPr>
                <w:rFonts w:hint="eastAsia" w:cs="Times New Roman"/>
                <w:b w:val="0"/>
                <w:bCs/>
                <w:color w:val="auto"/>
                <w:kern w:val="0"/>
                <w:sz w:val="28"/>
                <w:szCs w:val="28"/>
                <w:highlight w:val="none"/>
                <w:lang w:val="en-US" w:eastAsia="zh-CN" w:bidi="ar-SA"/>
              </w:rPr>
              <w:t>、理县薛城镇文旅融合发展建设、</w:t>
            </w:r>
            <w:r>
              <w:rPr>
                <w:rFonts w:hint="default" w:ascii="Times New Roman" w:hAnsi="Times New Roman" w:eastAsia="仿宋_GB2312" w:cs="Times New Roman"/>
                <w:b w:val="0"/>
                <w:bCs/>
                <w:color w:val="auto"/>
                <w:kern w:val="0"/>
                <w:sz w:val="28"/>
                <w:szCs w:val="28"/>
                <w:highlight w:val="none"/>
                <w:lang w:val="en-US" w:eastAsia="zh-CN" w:bidi="ar-SA"/>
              </w:rPr>
              <w:t>理县九子屯开发</w:t>
            </w:r>
            <w:r>
              <w:rPr>
                <w:rFonts w:hint="eastAsia" w:cs="Times New Roman"/>
                <w:b w:val="0"/>
                <w:bCs/>
                <w:color w:val="auto"/>
                <w:kern w:val="0"/>
                <w:sz w:val="28"/>
                <w:szCs w:val="28"/>
                <w:highlight w:val="none"/>
                <w:lang w:val="en-US" w:eastAsia="zh-CN" w:bidi="ar-SA"/>
              </w:rPr>
              <w:t>建设、通化乡龙胆沟农文旅融合</w:t>
            </w:r>
            <w:r>
              <w:rPr>
                <w:rFonts w:hint="default" w:ascii="Times New Roman" w:hAnsi="Times New Roman" w:eastAsia="仿宋_GB2312" w:cs="Times New Roman"/>
                <w:b w:val="0"/>
                <w:bCs/>
                <w:color w:val="auto"/>
                <w:kern w:val="0"/>
                <w:sz w:val="28"/>
                <w:szCs w:val="28"/>
                <w:highlight w:val="none"/>
                <w:lang w:val="en-US" w:eastAsia="zh-CN" w:bidi="ar-SA"/>
              </w:rPr>
              <w:t>等项目。</w:t>
            </w:r>
          </w:p>
          <w:p w14:paraId="27918E26">
            <w:pPr>
              <w:keepNext w:val="0"/>
              <w:keepLines w:val="0"/>
              <w:pageBreakBefore w:val="0"/>
              <w:widowControl/>
              <w:numPr>
                <w:ilvl w:val="0"/>
                <w:numId w:val="5"/>
              </w:numPr>
              <w:kinsoku/>
              <w:wordWrap/>
              <w:overflowPunct/>
              <w:topLinePunct w:val="0"/>
              <w:autoSpaceDE/>
              <w:autoSpaceDN/>
              <w:bidi w:val="0"/>
              <w:adjustRightInd w:val="0"/>
              <w:snapToGrid w:val="0"/>
              <w:spacing w:line="440" w:lineRule="exact"/>
              <w:ind w:left="420" w:leftChars="0" w:hanging="420" w:firstLineChars="0"/>
              <w:jc w:val="left"/>
              <w:textAlignment w:val="auto"/>
              <w:rPr>
                <w:rFonts w:hint="default" w:ascii="Times New Roman" w:hAnsi="Times New Roman" w:eastAsia="仿宋_GB2312" w:cs="Times New Roman"/>
                <w:b w:val="0"/>
                <w:bCs/>
                <w:color w:val="auto"/>
                <w:kern w:val="2"/>
                <w:sz w:val="28"/>
                <w:szCs w:val="28"/>
                <w:highlight w:val="none"/>
                <w:lang w:val="en-US" w:eastAsia="zh-CN"/>
              </w:rPr>
            </w:pPr>
            <w:r>
              <w:rPr>
                <w:rFonts w:hint="default" w:ascii="Times New Roman" w:hAnsi="Times New Roman" w:eastAsia="仿宋_GB2312" w:cs="Times New Roman"/>
                <w:b/>
                <w:color w:val="auto"/>
                <w:kern w:val="0"/>
                <w:sz w:val="28"/>
                <w:szCs w:val="28"/>
                <w:highlight w:val="none"/>
                <w:lang w:val="en-US" w:eastAsia="zh-CN" w:bidi="ar-SA"/>
              </w:rPr>
              <w:t>打造康养休闲旅游引领地：</w:t>
            </w:r>
            <w:r>
              <w:rPr>
                <w:rFonts w:hint="default" w:ascii="Times New Roman" w:hAnsi="Times New Roman" w:eastAsia="仿宋_GB2312" w:cs="Times New Roman"/>
                <w:b w:val="0"/>
                <w:bCs/>
                <w:color w:val="auto"/>
                <w:kern w:val="0"/>
                <w:sz w:val="28"/>
                <w:szCs w:val="28"/>
                <w:highlight w:val="none"/>
                <w:lang w:val="en-US" w:eastAsia="zh-CN" w:bidi="ar-SA"/>
              </w:rPr>
              <w:t>实施古尔沟国际温泉旅游度假区开发、理县毕棚沟森林康养中心建设、理县胆扎木沟（红山）康养旅游景区、理县甘堡乡熊耳村九龙湖生态旅游产业、孟屯河谷康养旅游区基础设施建设</w:t>
            </w:r>
            <w:r>
              <w:rPr>
                <w:rFonts w:hint="eastAsia" w:cs="Times New Roman"/>
                <w:b w:val="0"/>
                <w:bCs/>
                <w:color w:val="auto"/>
                <w:kern w:val="0"/>
                <w:sz w:val="28"/>
                <w:szCs w:val="28"/>
                <w:highlight w:val="none"/>
                <w:lang w:val="en-US" w:eastAsia="zh-CN" w:bidi="ar-SA"/>
              </w:rPr>
              <w:t>、理县特色民宿连片开发</w:t>
            </w:r>
            <w:r>
              <w:rPr>
                <w:rFonts w:hint="default" w:ascii="Times New Roman" w:hAnsi="Times New Roman" w:eastAsia="仿宋_GB2312" w:cs="Times New Roman"/>
                <w:b w:val="0"/>
                <w:bCs/>
                <w:color w:val="auto"/>
                <w:kern w:val="0"/>
                <w:sz w:val="28"/>
                <w:szCs w:val="28"/>
                <w:highlight w:val="none"/>
                <w:lang w:val="en-US" w:eastAsia="zh-CN" w:bidi="ar-SA"/>
              </w:rPr>
              <w:t>等项目</w:t>
            </w:r>
            <w:r>
              <w:rPr>
                <w:rFonts w:hint="default" w:ascii="Times New Roman" w:hAnsi="Times New Roman" w:eastAsia="仿宋_GB2312" w:cs="Times New Roman"/>
                <w:b w:val="0"/>
                <w:bCs/>
                <w:color w:val="auto"/>
                <w:kern w:val="2"/>
                <w:sz w:val="28"/>
                <w:szCs w:val="28"/>
                <w:highlight w:val="none"/>
                <w:lang w:val="en-US" w:eastAsia="zh-CN"/>
              </w:rPr>
              <w:t>。</w:t>
            </w:r>
          </w:p>
          <w:p w14:paraId="1EB349AC">
            <w:pPr>
              <w:keepNext w:val="0"/>
              <w:keepLines w:val="0"/>
              <w:pageBreakBefore w:val="0"/>
              <w:widowControl/>
              <w:numPr>
                <w:ilvl w:val="0"/>
                <w:numId w:val="5"/>
              </w:numPr>
              <w:kinsoku/>
              <w:wordWrap/>
              <w:overflowPunct/>
              <w:topLinePunct w:val="0"/>
              <w:autoSpaceDE/>
              <w:autoSpaceDN/>
              <w:bidi w:val="0"/>
              <w:adjustRightInd w:val="0"/>
              <w:snapToGrid w:val="0"/>
              <w:spacing w:line="440" w:lineRule="exact"/>
              <w:ind w:left="420" w:leftChars="0" w:hanging="420" w:firstLineChars="0"/>
              <w:jc w:val="left"/>
              <w:textAlignment w:val="auto"/>
              <w:rPr>
                <w:rFonts w:hint="default" w:ascii="Times New Roman" w:hAnsi="Times New Roman" w:eastAsia="仿宋_GB2312" w:cs="Times New Roman"/>
                <w:color w:val="auto"/>
                <w:kern w:val="2"/>
                <w:sz w:val="28"/>
                <w:szCs w:val="28"/>
                <w:highlight w:val="none"/>
                <w:lang w:val="en-US" w:eastAsia="zh-CN"/>
              </w:rPr>
            </w:pPr>
            <w:r>
              <w:rPr>
                <w:rFonts w:hint="default" w:ascii="Times New Roman" w:hAnsi="Times New Roman" w:eastAsia="仿宋_GB2312" w:cs="Times New Roman"/>
                <w:b/>
                <w:color w:val="auto"/>
                <w:kern w:val="0"/>
                <w:sz w:val="28"/>
                <w:szCs w:val="28"/>
                <w:highlight w:val="none"/>
                <w:lang w:val="en-US" w:eastAsia="zh-CN" w:bidi="ar-SA"/>
              </w:rPr>
              <w:t>打造</w:t>
            </w:r>
            <w:r>
              <w:rPr>
                <w:rFonts w:hint="default" w:ascii="Times New Roman" w:hAnsi="Times New Roman" w:eastAsia="仿宋_GB2312" w:cs="Times New Roman"/>
                <w:b/>
                <w:bCs/>
                <w:color w:val="auto"/>
                <w:kern w:val="2"/>
                <w:sz w:val="28"/>
                <w:szCs w:val="28"/>
                <w:highlight w:val="none"/>
                <w:lang w:val="en-US" w:eastAsia="zh-CN"/>
              </w:rPr>
              <w:t>冰雪温泉旅游度假地</w:t>
            </w:r>
            <w:r>
              <w:rPr>
                <w:rFonts w:hint="default" w:ascii="Times New Roman" w:hAnsi="Times New Roman" w:eastAsia="仿宋_GB2312" w:cs="Times New Roman"/>
                <w:b/>
                <w:bCs/>
                <w:color w:val="auto"/>
                <w:kern w:val="0"/>
                <w:sz w:val="28"/>
                <w:szCs w:val="28"/>
                <w:highlight w:val="none"/>
                <w:lang w:val="en-US" w:eastAsia="zh-CN" w:bidi="ar-SA"/>
              </w:rPr>
              <w:t>：</w:t>
            </w:r>
            <w:r>
              <w:rPr>
                <w:rFonts w:hint="default" w:ascii="Times New Roman" w:hAnsi="Times New Roman" w:eastAsia="仿宋_GB2312" w:cs="Times New Roman"/>
                <w:b w:val="0"/>
                <w:bCs w:val="0"/>
                <w:color w:val="auto"/>
                <w:kern w:val="0"/>
                <w:sz w:val="28"/>
                <w:szCs w:val="28"/>
                <w:highlight w:val="none"/>
                <w:lang w:val="en-US" w:eastAsia="zh-CN" w:bidi="ar-SA"/>
              </w:rPr>
              <w:t>实施阿坝州理县鹧鸪山4A景区冰雪运动公共服务设施建设、理县旅游产业发展提升等项目。</w:t>
            </w:r>
          </w:p>
          <w:p w14:paraId="40801F0A">
            <w:pPr>
              <w:keepNext w:val="0"/>
              <w:keepLines w:val="0"/>
              <w:pageBreakBefore w:val="0"/>
              <w:widowControl/>
              <w:numPr>
                <w:ilvl w:val="0"/>
                <w:numId w:val="5"/>
              </w:numPr>
              <w:kinsoku/>
              <w:wordWrap/>
              <w:overflowPunct/>
              <w:topLinePunct w:val="0"/>
              <w:autoSpaceDE/>
              <w:autoSpaceDN/>
              <w:bidi w:val="0"/>
              <w:adjustRightInd w:val="0"/>
              <w:snapToGrid w:val="0"/>
              <w:spacing w:line="440" w:lineRule="exact"/>
              <w:ind w:left="420" w:leftChars="0" w:hanging="420" w:firstLineChars="0"/>
              <w:jc w:val="left"/>
              <w:textAlignment w:val="auto"/>
              <w:rPr>
                <w:rFonts w:hint="default" w:ascii="Times New Roman" w:hAnsi="Times New Roman" w:eastAsia="仿宋_GB2312" w:cs="Times New Roman"/>
                <w:color w:val="auto"/>
                <w:kern w:val="2"/>
                <w:sz w:val="28"/>
                <w:szCs w:val="28"/>
                <w:highlight w:val="none"/>
                <w:lang w:val="en-US" w:eastAsia="zh-CN"/>
              </w:rPr>
            </w:pPr>
            <w:r>
              <w:rPr>
                <w:rFonts w:hint="default" w:ascii="Times New Roman" w:hAnsi="Times New Roman" w:eastAsia="仿宋_GB2312" w:cs="Times New Roman"/>
                <w:b/>
                <w:color w:val="auto"/>
                <w:kern w:val="0"/>
                <w:sz w:val="28"/>
                <w:szCs w:val="28"/>
                <w:highlight w:val="none"/>
                <w:lang w:val="en-US" w:eastAsia="zh-CN" w:bidi="ar-SA"/>
              </w:rPr>
              <w:t>打造魅力自驾旅游网红地：</w:t>
            </w:r>
            <w:r>
              <w:rPr>
                <w:rFonts w:hint="default" w:ascii="Times New Roman" w:hAnsi="Times New Roman" w:eastAsia="仿宋_GB2312" w:cs="Times New Roman"/>
                <w:b w:val="0"/>
                <w:bCs/>
                <w:color w:val="auto"/>
                <w:kern w:val="0"/>
                <w:sz w:val="28"/>
                <w:szCs w:val="28"/>
                <w:highlight w:val="none"/>
                <w:lang w:val="en-US" w:eastAsia="zh-CN" w:bidi="ar-SA"/>
              </w:rPr>
              <w:t>实施</w:t>
            </w:r>
            <w:r>
              <w:rPr>
                <w:rFonts w:hint="eastAsia" w:cs="Times New Roman"/>
                <w:b w:val="0"/>
                <w:bCs/>
                <w:color w:val="auto"/>
                <w:kern w:val="0"/>
                <w:sz w:val="28"/>
                <w:szCs w:val="28"/>
                <w:highlight w:val="none"/>
                <w:lang w:val="en-US" w:eastAsia="zh-CN" w:bidi="ar-SA"/>
              </w:rPr>
              <w:t>理小路沿线公共服务基础设施建设、理黑路旅游基础设施建设、</w:t>
            </w:r>
            <w:r>
              <w:rPr>
                <w:rFonts w:hint="default" w:ascii="Times New Roman" w:hAnsi="Times New Roman" w:eastAsia="仿宋_GB2312" w:cs="Times New Roman"/>
                <w:b w:val="0"/>
                <w:bCs/>
                <w:color w:val="auto"/>
                <w:kern w:val="0"/>
                <w:sz w:val="28"/>
                <w:szCs w:val="28"/>
                <w:highlight w:val="none"/>
                <w:lang w:val="en-US" w:eastAsia="zh-CN" w:bidi="ar-SA"/>
              </w:rPr>
              <w:t>理县露营体验基地建设、“车友驿站”等项目</w:t>
            </w:r>
            <w:r>
              <w:rPr>
                <w:rFonts w:hint="default" w:ascii="Times New Roman" w:hAnsi="Times New Roman" w:eastAsia="仿宋_GB2312" w:cs="Times New Roman"/>
                <w:b w:val="0"/>
                <w:bCs/>
                <w:color w:val="auto"/>
                <w:kern w:val="2"/>
                <w:sz w:val="28"/>
                <w:szCs w:val="28"/>
                <w:highlight w:val="none"/>
                <w:lang w:val="en-US" w:eastAsia="zh-CN"/>
              </w:rPr>
              <w:t>。</w:t>
            </w:r>
          </w:p>
          <w:p w14:paraId="6D36F37C">
            <w:pPr>
              <w:keepNext w:val="0"/>
              <w:keepLines w:val="0"/>
              <w:pageBreakBefore w:val="0"/>
              <w:widowControl/>
              <w:numPr>
                <w:ilvl w:val="0"/>
                <w:numId w:val="5"/>
              </w:numPr>
              <w:kinsoku/>
              <w:wordWrap/>
              <w:overflowPunct/>
              <w:topLinePunct w:val="0"/>
              <w:autoSpaceDE/>
              <w:autoSpaceDN/>
              <w:bidi w:val="0"/>
              <w:adjustRightInd w:val="0"/>
              <w:snapToGrid w:val="0"/>
              <w:spacing w:line="440" w:lineRule="exact"/>
              <w:ind w:left="420" w:leftChars="0" w:hanging="420" w:firstLineChars="0"/>
              <w:jc w:val="left"/>
              <w:textAlignment w:val="auto"/>
              <w:rPr>
                <w:rFonts w:hint="default" w:ascii="Times New Roman" w:hAnsi="Times New Roman" w:eastAsia="仿宋_GB2312" w:cs="Times New Roman"/>
                <w:color w:val="auto"/>
                <w:sz w:val="32"/>
                <w:szCs w:val="22"/>
                <w:highlight w:val="none"/>
                <w:lang w:eastAsia="zh-CN"/>
              </w:rPr>
            </w:pPr>
            <w:r>
              <w:rPr>
                <w:rFonts w:hint="default" w:ascii="Times New Roman" w:hAnsi="Times New Roman" w:eastAsia="仿宋_GB2312" w:cs="Times New Roman"/>
                <w:b/>
                <w:color w:val="auto"/>
                <w:kern w:val="0"/>
                <w:sz w:val="28"/>
                <w:szCs w:val="28"/>
                <w:highlight w:val="none"/>
                <w:lang w:val="en-US" w:eastAsia="zh-CN" w:bidi="ar-SA"/>
              </w:rPr>
              <w:t>打造户外运动旅游目的地：</w:t>
            </w:r>
            <w:r>
              <w:rPr>
                <w:rFonts w:hint="default" w:ascii="Times New Roman" w:hAnsi="Times New Roman" w:eastAsia="仿宋_GB2312" w:cs="Times New Roman"/>
                <w:b w:val="0"/>
                <w:bCs/>
                <w:color w:val="auto"/>
                <w:kern w:val="0"/>
                <w:sz w:val="28"/>
                <w:szCs w:val="28"/>
                <w:highlight w:val="none"/>
                <w:lang w:val="en-US" w:eastAsia="zh-CN" w:bidi="ar-SA"/>
              </w:rPr>
              <w:t>实施理县山地救援队野外实训基地、米亚罗-孟屯河谷山地越野开发、理县户外旅游基地建设及运营、“云上之路”体旅融合发展、蒲溪-上孟-桃坪三区联合低空经济培育发展、南沟农旅融合产业发展配套设施等项目。</w:t>
            </w:r>
          </w:p>
        </w:tc>
      </w:tr>
    </w:tbl>
    <w:p w14:paraId="6F52B6AF">
      <w:pPr>
        <w:bidi w:val="0"/>
        <w:ind w:left="0" w:leftChars="0" w:firstLine="0" w:firstLineChars="0"/>
        <w:rPr>
          <w:rFonts w:hint="default" w:ascii="Times New Roman" w:hAnsi="Times New Roman" w:cs="Times New Roman"/>
          <w:color w:val="auto"/>
          <w:highlight w:val="none"/>
          <w:lang w:val="en-US" w:eastAsia="zh-CN"/>
        </w:rPr>
        <w:sectPr>
          <w:pgSz w:w="11906" w:h="16838"/>
          <w:pgMar w:top="2098" w:right="1474" w:bottom="1984" w:left="1587" w:header="851" w:footer="992" w:gutter="0"/>
          <w:pgNumType w:fmt="numberInDash"/>
          <w:cols w:space="0" w:num="1"/>
          <w:rtlGutter w:val="0"/>
          <w:docGrid w:type="lines" w:linePitch="439" w:charSpace="0"/>
        </w:sectPr>
      </w:pPr>
    </w:p>
    <w:p w14:paraId="35422FF5">
      <w:pPr>
        <w:keepNext w:val="0"/>
        <w:keepLines w:val="0"/>
        <w:pageBreakBefore w:val="0"/>
        <w:widowControl w:val="0"/>
        <w:numPr>
          <w:ilvl w:val="0"/>
          <w:numId w:val="3"/>
        </w:numPr>
        <w:kinsoku/>
        <w:wordWrap/>
        <w:overflowPunct/>
        <w:topLinePunct w:val="0"/>
        <w:autoSpaceDE/>
        <w:autoSpaceDN/>
        <w:bidi w:val="0"/>
        <w:adjustRightInd/>
        <w:snapToGrid w:val="0"/>
        <w:spacing w:before="313" w:beforeLines="100" w:after="313" w:afterLines="100" w:line="560" w:lineRule="exact"/>
        <w:ind w:left="0" w:leftChars="0" w:firstLine="0" w:firstLineChars="0"/>
        <w:jc w:val="center"/>
        <w:textAlignment w:val="auto"/>
        <w:outlineLvl w:val="0"/>
        <w:rPr>
          <w:rFonts w:hint="default" w:ascii="Times New Roman" w:hAnsi="Times New Roman" w:eastAsia="方正小标宋_GBK" w:cs="Times New Roman"/>
          <w:color w:val="auto"/>
          <w:kern w:val="2"/>
          <w:sz w:val="44"/>
          <w:szCs w:val="44"/>
          <w:highlight w:val="none"/>
          <w:lang w:val="en-US" w:eastAsia="zh-CN" w:bidi="ar-SA"/>
        </w:rPr>
      </w:pPr>
      <w:r>
        <w:rPr>
          <w:rFonts w:hint="default" w:ascii="Times New Roman" w:hAnsi="Times New Roman" w:eastAsia="方正小标宋简体" w:cs="Times New Roman"/>
          <w:color w:val="auto"/>
          <w:kern w:val="2"/>
          <w:sz w:val="36"/>
          <w:szCs w:val="22"/>
          <w:highlight w:val="none"/>
          <w:lang w:val="en-US" w:eastAsia="zh-CN" w:bidi="ar-SA"/>
        </w:rPr>
        <w:t xml:space="preserve"> </w:t>
      </w:r>
      <w:bookmarkStart w:id="144" w:name="_Toc9099"/>
      <w:bookmarkStart w:id="145" w:name="_Toc19639"/>
      <w:bookmarkStart w:id="146" w:name="_Toc197"/>
      <w:bookmarkStart w:id="147" w:name="_Toc11258"/>
      <w:r>
        <w:rPr>
          <w:rFonts w:hint="default" w:ascii="Times New Roman" w:hAnsi="Times New Roman" w:eastAsia="方正小标宋简体" w:cs="Times New Roman"/>
          <w:color w:val="auto"/>
          <w:kern w:val="2"/>
          <w:sz w:val="44"/>
          <w:szCs w:val="44"/>
          <w:highlight w:val="none"/>
          <w:lang w:val="en-US" w:eastAsia="zh-CN" w:bidi="ar-SA"/>
        </w:rPr>
        <w:t>加快现代产业体系建设，打造区域经济增长引擎</w:t>
      </w:r>
      <w:bookmarkEnd w:id="144"/>
      <w:bookmarkEnd w:id="145"/>
      <w:bookmarkEnd w:id="146"/>
      <w:bookmarkEnd w:id="147"/>
    </w:p>
    <w:p w14:paraId="1728756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坚持产业绿色发展，因地制宜发展新质生产力，积极发展高原生态农业，加快发展绿色低碳工业，提质发展现代服务业，前瞻布局新兴产业，延伸产业链、稳定供应链、提升价值链，构建富有理县特色的现代化产业体系，提高县域经济质量效益和核心竞争力。</w:t>
      </w:r>
    </w:p>
    <w:p w14:paraId="78578A3F">
      <w:pPr>
        <w:keepNext/>
        <w:widowControl w:val="0"/>
        <w:numPr>
          <w:ilvl w:val="0"/>
          <w:numId w:val="1"/>
        </w:numPr>
        <w:bidi w:val="0"/>
        <w:snapToGrid w:val="0"/>
        <w:spacing w:before="100" w:beforeLines="100" w:after="100" w:afterLines="100" w:line="560" w:lineRule="exact"/>
        <w:ind w:left="0" w:leftChars="0" w:firstLine="0" w:firstLineChars="0"/>
        <w:jc w:val="center"/>
        <w:outlineLvl w:val="1"/>
        <w:rPr>
          <w:rFonts w:hint="default" w:ascii="Times New Roman" w:hAnsi="Times New Roman" w:eastAsia="黑体" w:cs="Times New Roman"/>
          <w:color w:val="auto"/>
          <w:kern w:val="2"/>
          <w:sz w:val="32"/>
          <w:szCs w:val="24"/>
          <w:highlight w:val="none"/>
          <w:lang w:val="en-US" w:eastAsia="zh-CN" w:bidi="ar-SA"/>
        </w:rPr>
      </w:pPr>
      <w:bookmarkStart w:id="148" w:name="_Toc30557"/>
      <w:bookmarkStart w:id="149" w:name="_Toc31188"/>
      <w:r>
        <w:rPr>
          <w:rFonts w:hint="default" w:ascii="Times New Roman" w:hAnsi="Times New Roman" w:eastAsia="黑体" w:cs="Times New Roman"/>
          <w:color w:val="auto"/>
          <w:kern w:val="2"/>
          <w:sz w:val="32"/>
          <w:szCs w:val="24"/>
          <w:highlight w:val="none"/>
          <w:lang w:val="en-US" w:eastAsia="zh-CN" w:bidi="ar-SA"/>
        </w:rPr>
        <w:t xml:space="preserve"> </w:t>
      </w:r>
      <w:bookmarkStart w:id="150" w:name="_Toc14778"/>
      <w:bookmarkStart w:id="151" w:name="_Toc14013"/>
      <w:r>
        <w:rPr>
          <w:rFonts w:hint="default" w:ascii="Times New Roman" w:hAnsi="Times New Roman" w:eastAsia="黑体" w:cs="Times New Roman"/>
          <w:color w:val="auto"/>
          <w:kern w:val="2"/>
          <w:sz w:val="32"/>
          <w:szCs w:val="24"/>
          <w:highlight w:val="none"/>
          <w:lang w:val="en-US" w:eastAsia="zh-CN" w:bidi="ar-SA"/>
        </w:rPr>
        <w:t>积极发展高原生态农业</w:t>
      </w:r>
      <w:bookmarkEnd w:id="148"/>
      <w:bookmarkEnd w:id="149"/>
      <w:bookmarkEnd w:id="150"/>
      <w:bookmarkEnd w:id="151"/>
    </w:p>
    <w:p w14:paraId="16F955A5">
      <w:pPr>
        <w:keepNext/>
        <w:widowControl w:val="0"/>
        <w:numPr>
          <w:ilvl w:val="0"/>
          <w:numId w:val="12"/>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152" w:name="_Toc30299"/>
      <w:bookmarkStart w:id="153" w:name="_Toc12578"/>
      <w:bookmarkStart w:id="154" w:name="_Toc4078"/>
      <w:bookmarkStart w:id="155" w:name="_Toc11242"/>
      <w:r>
        <w:rPr>
          <w:rFonts w:hint="default" w:ascii="Times New Roman" w:hAnsi="Times New Roman" w:eastAsia="楷体_GB2312" w:cs="Times New Roman"/>
          <w:b/>
          <w:bCs w:val="0"/>
          <w:color w:val="auto"/>
          <w:kern w:val="2"/>
          <w:sz w:val="32"/>
          <w:szCs w:val="32"/>
          <w:highlight w:val="none"/>
          <w:lang w:val="en-US" w:eastAsia="zh-CN" w:bidi="ar-SA"/>
        </w:rPr>
        <w:t>加强特色产业基地建设</w:t>
      </w:r>
      <w:bookmarkEnd w:id="152"/>
      <w:bookmarkEnd w:id="153"/>
      <w:bookmarkEnd w:id="154"/>
      <w:bookmarkEnd w:id="155"/>
    </w:p>
    <w:p w14:paraId="60734869">
      <w:pPr>
        <w:bidi w:val="0"/>
        <w:spacing w:line="560" w:lineRule="exact"/>
        <w:ind w:firstLine="640" w:firstLineChars="20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strike w:val="0"/>
          <w:dstrike w:val="0"/>
          <w:color w:val="auto"/>
          <w:sz w:val="32"/>
          <w:szCs w:val="22"/>
          <w:highlight w:val="none"/>
          <w:lang w:val="en-US" w:eastAsia="zh-CN"/>
        </w:rPr>
        <w:t>建优农业园区，推动产业基地规模化、集约化发展，筑牢农业产业根基，加快构建农林牧渔并举的现代农业体系，建好成渝地区高质优品的“菜篮子”“果盘子”</w:t>
      </w:r>
      <w:r>
        <w:rPr>
          <w:rFonts w:hint="default" w:ascii="Times New Roman" w:hAnsi="Times New Roman" w:eastAsia="仿宋_GB2312" w:cs="Times New Roman"/>
          <w:strike w:val="0"/>
          <w:color w:val="auto"/>
          <w:sz w:val="32"/>
          <w:szCs w:val="22"/>
          <w:highlight w:val="none"/>
          <w:lang w:val="en-US" w:eastAsia="zh-CN"/>
        </w:rPr>
        <w:t>。</w:t>
      </w:r>
    </w:p>
    <w:p w14:paraId="6EDB85AA">
      <w:pPr>
        <w:bidi w:val="0"/>
        <w:spacing w:line="560" w:lineRule="exact"/>
        <w:ind w:firstLine="643" w:firstLineChars="200"/>
        <w:rPr>
          <w:rFonts w:hint="default" w:ascii="Times New Roman" w:hAnsi="Times New Roman" w:eastAsia="仿宋_GB2312" w:cs="Times New Roman"/>
          <w:strike w:val="0"/>
          <w:dstrike w:val="0"/>
          <w:color w:val="auto"/>
          <w:sz w:val="32"/>
          <w:szCs w:val="22"/>
          <w:highlight w:val="none"/>
          <w:lang w:val="en-US" w:eastAsia="zh-CN"/>
        </w:rPr>
      </w:pPr>
      <w:r>
        <w:rPr>
          <w:rFonts w:hint="default" w:ascii="Times New Roman" w:hAnsi="Times New Roman" w:eastAsia="仿宋_GB2312" w:cs="Times New Roman"/>
          <w:b/>
          <w:bCs/>
          <w:color w:val="auto"/>
          <w:kern w:val="2"/>
          <w:sz w:val="32"/>
          <w:szCs w:val="32"/>
          <w:highlight w:val="none"/>
          <w:lang w:val="en-US" w:eastAsia="zh-CN" w:bidi="ar-SA"/>
        </w:rPr>
        <w:t>推动农业园区提档升级。</w:t>
      </w:r>
      <w:r>
        <w:rPr>
          <w:rFonts w:hint="default" w:ascii="Times New Roman" w:hAnsi="Times New Roman" w:eastAsia="仿宋_GB2312" w:cs="Times New Roman"/>
          <w:color w:val="auto"/>
          <w:kern w:val="2"/>
          <w:sz w:val="32"/>
          <w:szCs w:val="32"/>
          <w:highlight w:val="none"/>
          <w:lang w:val="en-US" w:eastAsia="zh-CN" w:bidi="ar-SA"/>
        </w:rPr>
        <w:t>全力推动高原蔬菜现代产业园创建省四星级现代农业园区、薛桃果业现代农业园区创建省</w:t>
      </w:r>
      <w:r>
        <w:rPr>
          <w:rFonts w:hint="default" w:ascii="Times New Roman" w:hAnsi="Times New Roman" w:eastAsia="仿宋_GB2312" w:cs="Times New Roman"/>
          <w:bCs/>
          <w:color w:val="auto"/>
          <w:sz w:val="32"/>
          <w:szCs w:val="32"/>
          <w:highlight w:val="none"/>
          <w:lang w:val="en-US" w:eastAsia="zh-CN"/>
        </w:rPr>
        <w:t>三星级现代农业园区，推进</w:t>
      </w:r>
      <w:r>
        <w:rPr>
          <w:rFonts w:hint="default" w:ascii="Times New Roman" w:hAnsi="Times New Roman" w:eastAsia="仿宋_GB2312" w:cs="Times New Roman"/>
          <w:color w:val="auto"/>
          <w:sz w:val="32"/>
          <w:szCs w:val="22"/>
          <w:highlight w:val="none"/>
          <w:lang w:val="en-US" w:eastAsia="zh-CN"/>
        </w:rPr>
        <w:t>高原冷水鱼产业园、蒲溪千亩椒粮产业园建设，</w:t>
      </w:r>
      <w:r>
        <w:rPr>
          <w:rFonts w:hint="default" w:ascii="Times New Roman" w:hAnsi="Times New Roman" w:eastAsia="仿宋_GB2312" w:cs="Times New Roman"/>
          <w:bCs/>
          <w:color w:val="auto"/>
          <w:sz w:val="32"/>
          <w:szCs w:val="32"/>
          <w:highlight w:val="none"/>
          <w:lang w:val="en-US" w:eastAsia="zh-CN"/>
        </w:rPr>
        <w:t>支持农业园区创新示范发展。</w:t>
      </w:r>
    </w:p>
    <w:p w14:paraId="402D7BDF">
      <w:pPr>
        <w:bidi w:val="0"/>
        <w:spacing w:line="560" w:lineRule="exact"/>
        <w:ind w:firstLine="643" w:firstLineChars="200"/>
        <w:rPr>
          <w:rFonts w:hint="default" w:ascii="Times New Roman" w:hAnsi="Times New Roman" w:eastAsia="仿宋_GB2312" w:cs="Times New Roman"/>
          <w:strike/>
          <w:dstrike w:val="0"/>
          <w:color w:val="auto"/>
          <w:sz w:val="32"/>
          <w:szCs w:val="22"/>
          <w:highlight w:val="none"/>
          <w:lang w:val="en-US" w:eastAsia="zh-CN"/>
        </w:rPr>
      </w:pPr>
      <w:r>
        <w:rPr>
          <w:rFonts w:hint="default" w:ascii="Times New Roman" w:hAnsi="Times New Roman" w:eastAsia="仿宋_GB2312" w:cs="Times New Roman"/>
          <w:b/>
          <w:bCs/>
          <w:color w:val="auto"/>
          <w:kern w:val="2"/>
          <w:sz w:val="32"/>
          <w:szCs w:val="32"/>
          <w:highlight w:val="none"/>
          <w:lang w:val="en-US" w:eastAsia="zh-CN" w:bidi="ar-SA"/>
        </w:rPr>
        <w:t>推动产业基地规模化发展。</w:t>
      </w:r>
      <w:r>
        <w:rPr>
          <w:rFonts w:hint="default" w:ascii="Times New Roman" w:hAnsi="Times New Roman" w:eastAsia="仿宋_GB2312" w:cs="Times New Roman"/>
          <w:color w:val="auto"/>
          <w:sz w:val="32"/>
          <w:szCs w:val="22"/>
          <w:highlight w:val="none"/>
          <w:lang w:val="en-US" w:eastAsia="zh-CN"/>
        </w:rPr>
        <w:t>推进种植基地扩面提质，扶持甜樱桃、蔬菜等优势品种扩大种植，引导苹果基地更新迭代，</w:t>
      </w:r>
      <w:r>
        <w:rPr>
          <w:rFonts w:hint="default" w:ascii="Times New Roman" w:hAnsi="Times New Roman" w:eastAsia="仿宋_GB2312" w:cs="Times New Roman"/>
          <w:strike w:val="0"/>
          <w:dstrike w:val="0"/>
          <w:color w:val="auto"/>
          <w:sz w:val="32"/>
          <w:szCs w:val="22"/>
          <w:highlight w:val="none"/>
          <w:lang w:val="en-US" w:eastAsia="zh-CN"/>
        </w:rPr>
        <w:t>加快打造优质饲草料、食用菌示范基地。推动养殖基地产能提升，大力建设优质牦牛、标准化生猪、中蜂养殖产业基地和良种扩繁场。</w:t>
      </w:r>
    </w:p>
    <w:p w14:paraId="3166E98D">
      <w:pPr>
        <w:widowControl w:val="0"/>
        <w:spacing w:line="560" w:lineRule="exact"/>
        <w:ind w:firstLine="643" w:firstLineChars="200"/>
        <w:jc w:val="both"/>
        <w:rPr>
          <w:rFonts w:hint="default" w:ascii="Times New Roman" w:hAnsi="Times New Roman" w:eastAsia="仿宋_GB2312" w:cs="Times New Roman"/>
          <w:color w:val="auto"/>
          <w:kern w:val="2"/>
          <w:sz w:val="32"/>
          <w:szCs w:val="22"/>
          <w:highlight w:val="none"/>
          <w:lang w:val="en-US" w:eastAsia="zh-CN" w:bidi="ar-SA"/>
        </w:rPr>
      </w:pPr>
      <w:r>
        <w:rPr>
          <w:rFonts w:hint="default" w:ascii="Times New Roman" w:hAnsi="Times New Roman" w:eastAsia="仿宋_GB2312" w:cs="Times New Roman"/>
          <w:b/>
          <w:bCs/>
          <w:strike w:val="0"/>
          <w:dstrike w:val="0"/>
          <w:color w:val="auto"/>
          <w:kern w:val="2"/>
          <w:sz w:val="32"/>
          <w:szCs w:val="22"/>
          <w:highlight w:val="none"/>
          <w:lang w:val="en-US" w:eastAsia="zh-CN" w:bidi="ar-SA"/>
        </w:rPr>
        <w:t>推动</w:t>
      </w:r>
      <w:r>
        <w:rPr>
          <w:rFonts w:hint="default" w:ascii="Times New Roman" w:hAnsi="Times New Roman" w:eastAsia="仿宋_GB2312" w:cs="Times New Roman"/>
          <w:b/>
          <w:bCs/>
          <w:color w:val="auto"/>
          <w:kern w:val="2"/>
          <w:sz w:val="32"/>
          <w:szCs w:val="32"/>
          <w:highlight w:val="none"/>
          <w:lang w:val="en-US" w:eastAsia="zh-CN" w:bidi="ar-SA"/>
        </w:rPr>
        <w:t>林下立体种养</w:t>
      </w:r>
      <w:r>
        <w:rPr>
          <w:rFonts w:hint="default" w:ascii="Times New Roman" w:hAnsi="Times New Roman" w:eastAsia="仿宋_GB2312" w:cs="Times New Roman"/>
          <w:b/>
          <w:bCs/>
          <w:strike w:val="0"/>
          <w:dstrike w:val="0"/>
          <w:color w:val="auto"/>
          <w:kern w:val="2"/>
          <w:sz w:val="32"/>
          <w:szCs w:val="22"/>
          <w:highlight w:val="none"/>
          <w:lang w:val="en-US" w:eastAsia="zh-CN" w:bidi="ar-SA"/>
        </w:rPr>
        <w:t>基地建设。</w:t>
      </w:r>
      <w:r>
        <w:rPr>
          <w:rFonts w:hint="default" w:ascii="Times New Roman" w:hAnsi="Times New Roman" w:eastAsia="仿宋_GB2312" w:cs="Times New Roman"/>
          <w:color w:val="auto"/>
          <w:kern w:val="2"/>
          <w:sz w:val="32"/>
          <w:szCs w:val="32"/>
          <w:highlight w:val="none"/>
          <w:lang w:val="en-US" w:eastAsia="zh-CN" w:bidi="ar-SA"/>
        </w:rPr>
        <w:t>锚定“六个一万”发展目标，积极发展核桃经济林，有序推进羊肚菌、赤松茸等食用菌林下标准化种植，适度扩大羌活、重楼、黄芪、天麻等道地药材林下种植基地规模，加快发展石格菜、鹿耳韭、楤木等林下蔬菜种植和岷江百合、郁金香等林下花卉种植，试点建设跑山鸡、林麝等林下养殖基地，高水平实施“高原森林四库”建设。</w:t>
      </w:r>
    </w:p>
    <w:p w14:paraId="2321F5C7">
      <w:pPr>
        <w:keepNext/>
        <w:widowControl w:val="0"/>
        <w:numPr>
          <w:ilvl w:val="0"/>
          <w:numId w:val="12"/>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156" w:name="_Toc27932"/>
      <w:bookmarkStart w:id="157" w:name="_Toc15855"/>
      <w:bookmarkStart w:id="158" w:name="_Toc20865"/>
      <w:bookmarkStart w:id="159" w:name="_Toc725"/>
      <w:r>
        <w:rPr>
          <w:rFonts w:hint="default" w:ascii="Times New Roman" w:hAnsi="Times New Roman" w:eastAsia="楷体_GB2312" w:cs="Times New Roman"/>
          <w:b/>
          <w:bCs w:val="0"/>
          <w:color w:val="auto"/>
          <w:kern w:val="2"/>
          <w:sz w:val="32"/>
          <w:szCs w:val="32"/>
          <w:highlight w:val="none"/>
          <w:lang w:val="en-US" w:eastAsia="zh-CN" w:bidi="ar-SA"/>
        </w:rPr>
        <w:t>推进优势产业建圈强链</w:t>
      </w:r>
      <w:bookmarkEnd w:id="156"/>
      <w:bookmarkEnd w:id="157"/>
      <w:bookmarkEnd w:id="158"/>
      <w:bookmarkEnd w:id="159"/>
    </w:p>
    <w:p w14:paraId="18E11FE1">
      <w:pPr>
        <w:bidi w:val="0"/>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color w:val="auto"/>
          <w:sz w:val="32"/>
          <w:szCs w:val="22"/>
          <w:highlight w:val="none"/>
          <w:lang w:val="en-US" w:eastAsia="zh-CN"/>
        </w:rPr>
        <w:t>推动生产标准化、加工精细化、品牌特色化，重点推进蔬菜、水果、畜牧优势产业建圈强链，深度融入全省“1+1+8”千亿产业建圈强链发展格局。</w:t>
      </w:r>
    </w:p>
    <w:p w14:paraId="7E4509A7">
      <w:pPr>
        <w:bidi w:val="0"/>
        <w:spacing w:line="560" w:lineRule="exact"/>
        <w:ind w:firstLine="643"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b/>
          <w:bCs w:val="0"/>
          <w:color w:val="auto"/>
          <w:sz w:val="32"/>
          <w:szCs w:val="32"/>
          <w:highlight w:val="none"/>
          <w:lang w:val="en-US" w:eastAsia="zh-CN"/>
        </w:rPr>
        <w:t>推动农产品生产标准化建设。</w:t>
      </w:r>
      <w:r>
        <w:rPr>
          <w:rFonts w:hint="default" w:ascii="Times New Roman" w:hAnsi="Times New Roman" w:eastAsia="仿宋_GB2312" w:cs="Times New Roman"/>
          <w:color w:val="auto"/>
          <w:sz w:val="32"/>
          <w:szCs w:val="22"/>
          <w:highlight w:val="none"/>
          <w:lang w:val="en-US" w:eastAsia="zh-CN"/>
        </w:rPr>
        <w:t>推动建设标准规范、装备先进、产出高效的现代种养设施，引进推广适应高原气候的果蔬良种，深化“三品一标”提升活动，加强对农户和企业的标准化培训，全面落实产业基地标准化管理、标准化生产，增加绿色优质农产品供给。持续强化农产品质量监管，加强农产品全过程质量控制，完善农产品质量分级分类监管模式，规范包装标识、仓储运输等配套标准，推动产业向标准化、优质化发展。</w:t>
      </w:r>
    </w:p>
    <w:p w14:paraId="2C0C95BE">
      <w:pPr>
        <w:bidi w:val="0"/>
        <w:spacing w:line="560" w:lineRule="exact"/>
        <w:ind w:firstLine="643"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b/>
          <w:bCs/>
          <w:color w:val="auto"/>
          <w:sz w:val="32"/>
          <w:szCs w:val="22"/>
          <w:highlight w:val="none"/>
          <w:lang w:val="en-US" w:eastAsia="zh-CN"/>
        </w:rPr>
        <w:t>推动农产品加工精细化升级。</w:t>
      </w:r>
      <w:r>
        <w:rPr>
          <w:rFonts w:hint="default" w:ascii="Times New Roman" w:hAnsi="Times New Roman" w:eastAsia="仿宋_GB2312" w:cs="Times New Roman"/>
          <w:color w:val="auto"/>
          <w:sz w:val="32"/>
          <w:szCs w:val="22"/>
          <w:highlight w:val="none"/>
          <w:lang w:val="en-US" w:eastAsia="zh-CN"/>
        </w:rPr>
        <w:t>完善农产品加工布局，优化理县绿色食品加工产业园建设，布局建设杂谷脑镇、薛城镇、桃坪镇、米亚罗镇、古尔沟镇、上孟乡、通化乡等农产品初加工基地，推进薛城镇、桃坪镇等产地冷链集配中心建设。支持</w:t>
      </w:r>
      <w:r>
        <w:rPr>
          <w:rFonts w:hint="default" w:ascii="Times New Roman" w:hAnsi="Times New Roman" w:eastAsia="仿宋_GB2312" w:cs="Times New Roman"/>
          <w:b w:val="0"/>
          <w:bCs w:val="0"/>
          <w:color w:val="auto"/>
          <w:sz w:val="32"/>
          <w:szCs w:val="22"/>
          <w:highlight w:val="none"/>
          <w:lang w:val="en-US" w:eastAsia="zh-CN"/>
        </w:rPr>
        <w:t>优势产业延链、补链发展</w:t>
      </w:r>
      <w:r>
        <w:rPr>
          <w:rFonts w:hint="default" w:ascii="Times New Roman" w:hAnsi="Times New Roman" w:eastAsia="仿宋_GB2312" w:cs="Times New Roman"/>
          <w:color w:val="auto"/>
          <w:sz w:val="32"/>
          <w:szCs w:val="22"/>
          <w:highlight w:val="none"/>
          <w:lang w:val="en-US" w:eastAsia="zh-CN"/>
        </w:rPr>
        <w:t>，推动水果、蔬菜、冷水鱼、药材、牦牛等加速形成育种、生产、加工、销售和出口的全产业链发展格局。</w:t>
      </w:r>
    </w:p>
    <w:p w14:paraId="0F366B9C">
      <w:pPr>
        <w:bidi w:val="0"/>
        <w:spacing w:line="560" w:lineRule="exact"/>
        <w:ind w:firstLine="643"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b/>
          <w:bCs w:val="0"/>
          <w:color w:val="auto"/>
          <w:sz w:val="32"/>
          <w:szCs w:val="32"/>
          <w:highlight w:val="none"/>
          <w:lang w:val="en-US" w:eastAsia="zh-CN"/>
        </w:rPr>
        <w:t>推动农产品品牌特色化提升。</w:t>
      </w:r>
      <w:r>
        <w:rPr>
          <w:rFonts w:hint="default" w:ascii="Times New Roman" w:hAnsi="Times New Roman" w:eastAsia="仿宋_GB2312" w:cs="Times New Roman"/>
          <w:color w:val="auto"/>
          <w:sz w:val="32"/>
          <w:szCs w:val="22"/>
          <w:highlight w:val="none"/>
          <w:lang w:val="en-US" w:eastAsia="zh-CN"/>
        </w:rPr>
        <w:t>持续做强高原生态农产品品牌，着力提升甜樱桃、苹果、青红脆李、高原蔬菜、牦牛、核桃等“拳头产品”</w:t>
      </w:r>
      <w:r>
        <w:rPr>
          <w:rFonts w:hint="eastAsia" w:cs="Times New Roman"/>
          <w:color w:val="auto"/>
          <w:sz w:val="32"/>
          <w:szCs w:val="22"/>
          <w:highlight w:val="none"/>
          <w:lang w:val="en-US" w:eastAsia="zh-CN"/>
        </w:rPr>
        <w:t>品牌</w:t>
      </w:r>
      <w:r>
        <w:rPr>
          <w:rFonts w:hint="default" w:ascii="Times New Roman" w:hAnsi="Times New Roman" w:eastAsia="仿宋_GB2312" w:cs="Times New Roman"/>
          <w:color w:val="auto"/>
          <w:sz w:val="32"/>
          <w:szCs w:val="22"/>
          <w:highlight w:val="none"/>
          <w:lang w:val="en-US" w:eastAsia="zh-CN"/>
        </w:rPr>
        <w:t>，加强高原冷水鱼系列产品认证，主动融入“净土阿坝”品牌战略，持续打造“藏羌理物”公共品牌。加大农产品宣传推介力度，组团参加农产品展销会、博览会、推介会，推广使用“藏羌理物”统一标识，不断</w:t>
      </w:r>
      <w:r>
        <w:rPr>
          <w:rFonts w:hint="default" w:ascii="Times New Roman" w:hAnsi="Times New Roman" w:eastAsia="仿宋_GB2312" w:cs="Times New Roman"/>
          <w:color w:val="auto"/>
          <w:sz w:val="32"/>
          <w:szCs w:val="22"/>
          <w:highlight w:val="none"/>
          <w:lang w:val="en-US" w:eastAsia="zh-Hans"/>
        </w:rPr>
        <w:t>提高</w:t>
      </w:r>
      <w:r>
        <w:rPr>
          <w:rFonts w:hint="default" w:ascii="Times New Roman" w:hAnsi="Times New Roman" w:eastAsia="仿宋_GB2312" w:cs="Times New Roman"/>
          <w:color w:val="auto"/>
          <w:sz w:val="32"/>
          <w:szCs w:val="22"/>
          <w:highlight w:val="none"/>
          <w:lang w:val="en-US" w:eastAsia="zh-CN"/>
        </w:rPr>
        <w:t>品牌知名度。</w:t>
      </w:r>
    </w:p>
    <w:p w14:paraId="77E61CB3">
      <w:pPr>
        <w:keepNext/>
        <w:widowControl w:val="0"/>
        <w:numPr>
          <w:ilvl w:val="0"/>
          <w:numId w:val="12"/>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160" w:name="_Toc30302"/>
      <w:bookmarkStart w:id="161" w:name="_Toc29035"/>
      <w:bookmarkStart w:id="162" w:name="_Toc22599"/>
      <w:bookmarkStart w:id="163" w:name="_Toc22513"/>
      <w:r>
        <w:rPr>
          <w:rFonts w:hint="default" w:ascii="Times New Roman" w:hAnsi="Times New Roman" w:eastAsia="楷体_GB2312" w:cs="Times New Roman"/>
          <w:b/>
          <w:bCs w:val="0"/>
          <w:color w:val="auto"/>
          <w:kern w:val="2"/>
          <w:sz w:val="32"/>
          <w:szCs w:val="32"/>
          <w:highlight w:val="none"/>
          <w:lang w:val="en-US" w:eastAsia="zh-CN" w:bidi="ar-SA"/>
        </w:rPr>
        <w:t>提升农业组织化程度</w:t>
      </w:r>
      <w:bookmarkEnd w:id="160"/>
      <w:bookmarkEnd w:id="161"/>
      <w:bookmarkEnd w:id="162"/>
      <w:bookmarkEnd w:id="163"/>
    </w:p>
    <w:p w14:paraId="47B86550">
      <w:pPr>
        <w:bidi w:val="0"/>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b w:val="0"/>
          <w:bCs/>
          <w:color w:val="auto"/>
          <w:kern w:val="2"/>
          <w:sz w:val="32"/>
          <w:szCs w:val="32"/>
          <w:highlight w:val="none"/>
          <w:lang w:val="en-US" w:eastAsia="zh-CN" w:bidi="ar-SA"/>
        </w:rPr>
        <w:t>创新并推广高效的组织化生产模式，着力培育壮大具有引领带动能力的新型农业经营主体，双轮驱动有效提升农业组织化程度，构建专业化的现代农业经营体系。</w:t>
      </w:r>
    </w:p>
    <w:p w14:paraId="1178D811">
      <w:pPr>
        <w:bidi w:val="0"/>
        <w:spacing w:line="560" w:lineRule="exact"/>
        <w:ind w:firstLine="643" w:firstLineChars="200"/>
        <w:rPr>
          <w:rFonts w:hint="default" w:ascii="Times New Roman" w:hAnsi="Times New Roman" w:eastAsia="仿宋_GB2312" w:cs="Times New Roman"/>
          <w:strike w:val="0"/>
          <w:color w:val="auto"/>
          <w:sz w:val="32"/>
          <w:szCs w:val="22"/>
          <w:highlight w:val="none"/>
          <w:lang w:val="en-US" w:eastAsia="zh-CN"/>
        </w:rPr>
      </w:pPr>
      <w:r>
        <w:rPr>
          <w:rFonts w:hint="default" w:ascii="Times New Roman" w:hAnsi="Times New Roman" w:eastAsia="仿宋_GB2312" w:cs="Times New Roman"/>
          <w:b/>
          <w:bCs/>
          <w:color w:val="auto"/>
          <w:sz w:val="32"/>
          <w:szCs w:val="22"/>
          <w:highlight w:val="none"/>
          <w:lang w:val="en-US" w:eastAsia="zh-CN"/>
        </w:rPr>
        <w:t>推广农业组织化生产新模式。</w:t>
      </w:r>
      <w:r>
        <w:rPr>
          <w:rFonts w:hint="default" w:ascii="Times New Roman" w:hAnsi="Times New Roman" w:eastAsia="仿宋_GB2312" w:cs="Times New Roman"/>
          <w:color w:val="auto"/>
          <w:sz w:val="32"/>
          <w:szCs w:val="22"/>
          <w:highlight w:val="none"/>
          <w:lang w:val="en-US" w:eastAsia="zh-CN"/>
        </w:rPr>
        <w:t>推广“园区+龙头企业+合作社+基地+农户”“集体经济组织+基地+农户”等模式，</w:t>
      </w:r>
      <w:r>
        <w:rPr>
          <w:rFonts w:hint="default" w:ascii="Times New Roman" w:hAnsi="Times New Roman" w:eastAsia="仿宋_GB2312" w:cs="Times New Roman"/>
          <w:strike w:val="0"/>
          <w:dstrike w:val="0"/>
          <w:color w:val="auto"/>
          <w:sz w:val="32"/>
          <w:szCs w:val="22"/>
          <w:highlight w:val="none"/>
          <w:lang w:val="en-US" w:eastAsia="zh-CN"/>
        </w:rPr>
        <w:t>支持组建农业产业化联合体。推广生产托管、就业带动、保底分红、订单农业等合作模式，支持小农户与新型农业经营主体建立收益分成、资产入股等利益联结机制，提高农牧业规模化经营水平。</w:t>
      </w:r>
    </w:p>
    <w:p w14:paraId="0671CF3C">
      <w:pPr>
        <w:bidi w:val="0"/>
        <w:spacing w:line="560" w:lineRule="exact"/>
        <w:ind w:firstLine="643"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b/>
          <w:bCs/>
          <w:color w:val="auto"/>
          <w:sz w:val="32"/>
          <w:szCs w:val="22"/>
          <w:highlight w:val="none"/>
          <w:lang w:val="en-US" w:eastAsia="zh-CN"/>
        </w:rPr>
        <w:t>培育壮大新型农业经营主体。</w:t>
      </w:r>
      <w:r>
        <w:rPr>
          <w:rFonts w:hint="default" w:ascii="Times New Roman" w:hAnsi="Times New Roman" w:eastAsia="仿宋_GB2312" w:cs="Times New Roman"/>
          <w:color w:val="auto"/>
          <w:sz w:val="32"/>
          <w:szCs w:val="22"/>
          <w:highlight w:val="none"/>
          <w:lang w:val="en-US" w:eastAsia="zh-CN"/>
        </w:rPr>
        <w:t>扶优培强农业产业化龙头企业，</w:t>
      </w:r>
      <w:r>
        <w:rPr>
          <w:rFonts w:hint="default" w:ascii="Times New Roman" w:hAnsi="Times New Roman" w:eastAsia="仿宋_GB2312" w:cs="Times New Roman"/>
          <w:b w:val="0"/>
          <w:bCs/>
          <w:color w:val="auto"/>
          <w:kern w:val="2"/>
          <w:sz w:val="32"/>
          <w:szCs w:val="32"/>
          <w:highlight w:val="none"/>
          <w:lang w:val="en-US" w:eastAsia="zh-CN" w:bidi="ar-SA"/>
        </w:rPr>
        <w:t>支持企业科技创新、技改升级，</w:t>
      </w:r>
      <w:r>
        <w:rPr>
          <w:rFonts w:hint="default" w:ascii="Times New Roman" w:hAnsi="Times New Roman" w:eastAsia="仿宋_GB2312" w:cs="Times New Roman"/>
          <w:strike w:val="0"/>
          <w:dstrike w:val="0"/>
          <w:color w:val="auto"/>
          <w:sz w:val="32"/>
          <w:szCs w:val="22"/>
          <w:highlight w:val="none"/>
          <w:lang w:val="en-US" w:eastAsia="zh-CN"/>
        </w:rPr>
        <w:t>扶持发展</w:t>
      </w:r>
      <w:r>
        <w:rPr>
          <w:rFonts w:hint="default" w:ascii="Times New Roman" w:hAnsi="Times New Roman" w:eastAsia="仿宋_GB2312" w:cs="Times New Roman"/>
          <w:color w:val="auto"/>
          <w:sz w:val="32"/>
          <w:szCs w:val="22"/>
          <w:highlight w:val="none"/>
          <w:lang w:val="en-US" w:eastAsia="zh-CN"/>
        </w:rPr>
        <w:t>中小企业，形成生产协同、技术互补、要素共享的企业发展阵型。大力培育新型职业农民、</w:t>
      </w:r>
      <w:r>
        <w:rPr>
          <w:rFonts w:hint="default" w:ascii="Times New Roman" w:hAnsi="Times New Roman" w:eastAsia="仿宋_GB2312" w:cs="Times New Roman"/>
          <w:strike w:val="0"/>
          <w:dstrike w:val="0"/>
          <w:color w:val="auto"/>
          <w:sz w:val="32"/>
          <w:szCs w:val="22"/>
          <w:highlight w:val="none"/>
          <w:lang w:val="en-US" w:eastAsia="zh-CN"/>
        </w:rPr>
        <w:t>农民专业合作社、家庭农场等经营主体</w:t>
      </w:r>
      <w:r>
        <w:rPr>
          <w:rFonts w:hint="default" w:ascii="Times New Roman" w:hAnsi="Times New Roman" w:eastAsia="仿宋_GB2312" w:cs="Times New Roman"/>
          <w:strike w:val="0"/>
          <w:color w:val="auto"/>
          <w:sz w:val="32"/>
          <w:szCs w:val="22"/>
          <w:highlight w:val="none"/>
          <w:lang w:val="en-US" w:eastAsia="zh-CN"/>
        </w:rPr>
        <w:t>，</w:t>
      </w:r>
      <w:r>
        <w:rPr>
          <w:rFonts w:hint="default" w:ascii="Times New Roman" w:hAnsi="Times New Roman" w:eastAsia="仿宋_GB2312" w:cs="Times New Roman"/>
          <w:color w:val="auto"/>
          <w:sz w:val="32"/>
          <w:szCs w:val="22"/>
          <w:highlight w:val="none"/>
          <w:lang w:val="en-US" w:eastAsia="zh-CN"/>
        </w:rPr>
        <w:t>建立职业农民教育培训体系，健全农技队伍推广体系，培育适度规模家庭农场，规范发展农民专业合作社，促进农业经营主体高质量发展。</w:t>
      </w:r>
    </w:p>
    <w:p w14:paraId="10E92FD3">
      <w:pPr>
        <w:keepNext/>
        <w:widowControl w:val="0"/>
        <w:numPr>
          <w:ilvl w:val="0"/>
          <w:numId w:val="12"/>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164" w:name="_Toc4287"/>
      <w:bookmarkStart w:id="165" w:name="_Toc27427"/>
      <w:bookmarkStart w:id="166" w:name="_Toc26823"/>
      <w:bookmarkStart w:id="167" w:name="_Toc13103"/>
      <w:r>
        <w:rPr>
          <w:rFonts w:hint="default" w:ascii="Times New Roman" w:hAnsi="Times New Roman" w:eastAsia="楷体_GB2312" w:cs="Times New Roman"/>
          <w:b/>
          <w:bCs w:val="0"/>
          <w:color w:val="auto"/>
          <w:kern w:val="2"/>
          <w:sz w:val="32"/>
          <w:szCs w:val="32"/>
          <w:highlight w:val="none"/>
          <w:lang w:val="en-US" w:eastAsia="zh-CN" w:bidi="ar-SA"/>
        </w:rPr>
        <w:t>补齐产业体系支撑性短板</w:t>
      </w:r>
      <w:bookmarkEnd w:id="164"/>
      <w:bookmarkEnd w:id="165"/>
      <w:bookmarkEnd w:id="166"/>
      <w:bookmarkEnd w:id="167"/>
    </w:p>
    <w:p w14:paraId="497210B0">
      <w:pPr>
        <w:bidi w:val="0"/>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color w:val="auto"/>
          <w:sz w:val="32"/>
          <w:szCs w:val="22"/>
          <w:highlight w:val="none"/>
          <w:lang w:val="en-US" w:eastAsia="zh-CN"/>
        </w:rPr>
        <w:t>巩固高标准农田建设成果，补齐现代农业种业、现代农业装备、现代农业冷链物流三大先导性支撑产业短板，提高农业质量效益和竞争力。</w:t>
      </w:r>
    </w:p>
    <w:p w14:paraId="1109AC1E">
      <w:pPr>
        <w:bidi w:val="0"/>
        <w:spacing w:line="560" w:lineRule="exact"/>
        <w:ind w:firstLine="643" w:firstLineChars="200"/>
        <w:rPr>
          <w:rFonts w:hint="default" w:ascii="Times New Roman" w:hAnsi="Times New Roman" w:eastAsia="仿宋_GB2312" w:cs="Times New Roman"/>
          <w:color w:val="auto"/>
          <w:sz w:val="32"/>
          <w:szCs w:val="22"/>
          <w:highlight w:val="none"/>
        </w:rPr>
      </w:pPr>
      <w:r>
        <w:rPr>
          <w:rFonts w:hint="default" w:ascii="Times New Roman" w:hAnsi="Times New Roman" w:eastAsia="仿宋_GB2312" w:cs="Times New Roman"/>
          <w:b/>
          <w:bCs/>
          <w:color w:val="auto"/>
          <w:sz w:val="32"/>
          <w:szCs w:val="22"/>
          <w:highlight w:val="none"/>
          <w:lang w:val="en-US" w:eastAsia="zh-CN"/>
        </w:rPr>
        <w:t>巩固高标准农田建设成果。</w:t>
      </w:r>
      <w:r>
        <w:rPr>
          <w:rFonts w:hint="default" w:ascii="Times New Roman" w:hAnsi="Times New Roman" w:eastAsia="仿宋_GB2312" w:cs="Times New Roman"/>
          <w:color w:val="auto"/>
          <w:sz w:val="32"/>
          <w:szCs w:val="22"/>
          <w:highlight w:val="none"/>
          <w:lang w:val="en-US" w:eastAsia="zh-CN"/>
        </w:rPr>
        <w:t>严守耕地保护红线，建立健全高标准农田质量监管长效机制，</w:t>
      </w:r>
      <w:r>
        <w:rPr>
          <w:rFonts w:hint="default" w:ascii="Times New Roman" w:hAnsi="Times New Roman" w:eastAsia="仿宋_GB2312" w:cs="Times New Roman"/>
          <w:color w:val="auto"/>
          <w:sz w:val="32"/>
          <w:szCs w:val="22"/>
          <w:highlight w:val="none"/>
        </w:rPr>
        <w:t>防止耕地“非农化”“非粮化”</w:t>
      </w:r>
      <w:r>
        <w:rPr>
          <w:rFonts w:hint="default" w:ascii="Times New Roman" w:hAnsi="Times New Roman" w:eastAsia="仿宋_GB2312" w:cs="Times New Roman"/>
          <w:color w:val="auto"/>
          <w:sz w:val="32"/>
          <w:szCs w:val="22"/>
          <w:highlight w:val="none"/>
          <w:lang w:eastAsia="zh-CN"/>
        </w:rPr>
        <w:t>。</w:t>
      </w:r>
      <w:r>
        <w:rPr>
          <w:rFonts w:hint="default" w:ascii="Times New Roman" w:hAnsi="Times New Roman" w:eastAsia="仿宋_GB2312" w:cs="Times New Roman"/>
          <w:color w:val="auto"/>
          <w:sz w:val="32"/>
          <w:szCs w:val="22"/>
          <w:highlight w:val="none"/>
        </w:rPr>
        <w:t>实施耕地质量保护提升</w:t>
      </w:r>
      <w:r>
        <w:rPr>
          <w:rFonts w:hint="default" w:ascii="Times New Roman" w:hAnsi="Times New Roman" w:eastAsia="仿宋_GB2312" w:cs="Times New Roman"/>
          <w:color w:val="auto"/>
          <w:sz w:val="32"/>
          <w:szCs w:val="22"/>
          <w:highlight w:val="none"/>
          <w:lang w:val="en-US" w:eastAsia="zh-CN"/>
        </w:rPr>
        <w:t>行动</w:t>
      </w:r>
      <w:r>
        <w:rPr>
          <w:rFonts w:hint="default" w:ascii="Times New Roman" w:hAnsi="Times New Roman" w:eastAsia="仿宋_GB2312" w:cs="Times New Roman"/>
          <w:color w:val="auto"/>
          <w:sz w:val="32"/>
          <w:szCs w:val="22"/>
          <w:highlight w:val="none"/>
          <w:lang w:eastAsia="zh-CN"/>
        </w:rPr>
        <w:t>，</w:t>
      </w:r>
      <w:r>
        <w:rPr>
          <w:rFonts w:hint="default" w:ascii="Times New Roman" w:hAnsi="Times New Roman" w:eastAsia="仿宋_GB2312" w:cs="Times New Roman"/>
          <w:color w:val="auto"/>
          <w:sz w:val="32"/>
          <w:szCs w:val="22"/>
          <w:highlight w:val="none"/>
          <w:lang w:val="en-US" w:eastAsia="zh-CN"/>
        </w:rPr>
        <w:t>整治撂荒地，整合小散地块，合理引导农村土地经营权有序流转，强化粮食供给保障，</w:t>
      </w:r>
      <w:r>
        <w:rPr>
          <w:rFonts w:hint="default" w:ascii="Times New Roman" w:hAnsi="Times New Roman" w:eastAsia="仿宋_GB2312" w:cs="Times New Roman"/>
          <w:bCs/>
          <w:strike w:val="0"/>
          <w:dstrike w:val="0"/>
          <w:color w:val="auto"/>
          <w:sz w:val="32"/>
          <w:szCs w:val="32"/>
          <w:highlight w:val="none"/>
          <w:lang w:val="en-US" w:eastAsia="zh-CN"/>
        </w:rPr>
        <w:t>持续推进“高原粮仓”建设</w:t>
      </w:r>
      <w:r>
        <w:rPr>
          <w:rFonts w:hint="default" w:ascii="Times New Roman" w:hAnsi="Times New Roman" w:eastAsia="仿宋_GB2312" w:cs="Times New Roman"/>
          <w:color w:val="auto"/>
          <w:sz w:val="32"/>
          <w:szCs w:val="22"/>
          <w:highlight w:val="none"/>
        </w:rPr>
        <w:t>。</w:t>
      </w:r>
    </w:p>
    <w:p w14:paraId="7C4800C0">
      <w:pPr>
        <w:bidi w:val="0"/>
        <w:spacing w:line="560" w:lineRule="exact"/>
        <w:ind w:firstLine="643" w:firstLineChars="200"/>
        <w:rPr>
          <w:rFonts w:hint="default" w:ascii="Times New Roman" w:hAnsi="Times New Roman" w:eastAsia="仿宋_GB2312" w:cs="Times New Roman"/>
          <w:color w:val="auto"/>
          <w:sz w:val="32"/>
          <w:szCs w:val="22"/>
          <w:highlight w:val="none"/>
          <w:lang w:eastAsia="zh-CN"/>
        </w:rPr>
      </w:pPr>
      <w:r>
        <w:rPr>
          <w:rFonts w:hint="default" w:ascii="Times New Roman" w:hAnsi="Times New Roman" w:eastAsia="仿宋_GB2312" w:cs="Times New Roman"/>
          <w:b/>
          <w:bCs/>
          <w:color w:val="auto"/>
          <w:sz w:val="32"/>
          <w:szCs w:val="22"/>
          <w:highlight w:val="none"/>
          <w:lang w:val="en-US" w:eastAsia="zh-CN"/>
        </w:rPr>
        <w:t>强化现代农业种业支撑。</w:t>
      </w:r>
      <w:r>
        <w:rPr>
          <w:rFonts w:hint="default" w:ascii="Times New Roman" w:hAnsi="Times New Roman" w:eastAsia="仿宋_GB2312" w:cs="Times New Roman"/>
          <w:color w:val="auto"/>
          <w:sz w:val="32"/>
          <w:szCs w:val="22"/>
          <w:highlight w:val="none"/>
          <w:lang w:val="en-US" w:eastAsia="zh-CN"/>
        </w:rPr>
        <w:t>实施农业种业振兴计划，引进推广一批高原新品种农作物，梯次推进果树品种更新换优，</w:t>
      </w:r>
      <w:r>
        <w:rPr>
          <w:rFonts w:hint="default" w:ascii="Times New Roman" w:hAnsi="Times New Roman" w:eastAsia="仿宋_GB2312" w:cs="Times New Roman"/>
          <w:color w:val="auto"/>
          <w:sz w:val="32"/>
          <w:szCs w:val="22"/>
          <w:highlight w:val="none"/>
          <w:lang w:eastAsia="zh-CN"/>
        </w:rPr>
        <w:t>建设</w:t>
      </w:r>
      <w:r>
        <w:rPr>
          <w:rFonts w:hint="default" w:ascii="Times New Roman" w:hAnsi="Times New Roman" w:eastAsia="仿宋_GB2312" w:cs="Times New Roman"/>
          <w:color w:val="auto"/>
          <w:sz w:val="32"/>
          <w:szCs w:val="22"/>
          <w:highlight w:val="none"/>
          <w:lang w:val="en-US" w:eastAsia="zh-CN"/>
        </w:rPr>
        <w:t>高原蔬菜</w:t>
      </w:r>
      <w:r>
        <w:rPr>
          <w:rFonts w:hint="default" w:ascii="Times New Roman" w:hAnsi="Times New Roman" w:eastAsia="仿宋_GB2312" w:cs="Times New Roman"/>
          <w:color w:val="auto"/>
          <w:sz w:val="32"/>
          <w:szCs w:val="22"/>
          <w:highlight w:val="none"/>
          <w:lang w:eastAsia="zh-CN"/>
        </w:rPr>
        <w:t>优质种子种苗生产基地。结合现有畜禽资源条件，加强特色品种资源的保护和开发利用，因地制宜建设一批</w:t>
      </w:r>
      <w:r>
        <w:rPr>
          <w:rFonts w:hint="default" w:ascii="Times New Roman" w:hAnsi="Times New Roman" w:eastAsia="仿宋_GB2312" w:cs="Times New Roman"/>
          <w:color w:val="auto"/>
          <w:sz w:val="32"/>
          <w:szCs w:val="22"/>
          <w:highlight w:val="none"/>
          <w:lang w:val="en-US" w:eastAsia="zh-CN"/>
        </w:rPr>
        <w:t>牦牛、藏香</w:t>
      </w:r>
      <w:r>
        <w:rPr>
          <w:rFonts w:hint="default" w:ascii="Times New Roman" w:hAnsi="Times New Roman" w:eastAsia="仿宋_GB2312" w:cs="Times New Roman"/>
          <w:color w:val="auto"/>
          <w:sz w:val="32"/>
          <w:szCs w:val="22"/>
          <w:highlight w:val="none"/>
          <w:lang w:eastAsia="zh-CN"/>
        </w:rPr>
        <w:t>猪、</w:t>
      </w:r>
      <w:r>
        <w:rPr>
          <w:rFonts w:hint="default" w:ascii="Times New Roman" w:hAnsi="Times New Roman" w:eastAsia="仿宋_GB2312" w:cs="Times New Roman"/>
          <w:color w:val="auto"/>
          <w:sz w:val="32"/>
          <w:szCs w:val="22"/>
          <w:highlight w:val="none"/>
          <w:lang w:val="en-US" w:eastAsia="zh-CN"/>
        </w:rPr>
        <w:t>冷水鱼</w:t>
      </w:r>
      <w:r>
        <w:rPr>
          <w:rFonts w:hint="default" w:ascii="Times New Roman" w:hAnsi="Times New Roman" w:eastAsia="仿宋_GB2312" w:cs="Times New Roman"/>
          <w:color w:val="auto"/>
          <w:sz w:val="32"/>
          <w:szCs w:val="22"/>
          <w:highlight w:val="none"/>
          <w:lang w:eastAsia="zh-CN"/>
        </w:rPr>
        <w:t>良种扩繁基地。</w:t>
      </w:r>
    </w:p>
    <w:p w14:paraId="669C3388">
      <w:pPr>
        <w:bidi w:val="0"/>
        <w:spacing w:line="560" w:lineRule="exact"/>
        <w:ind w:firstLine="643" w:firstLineChars="200"/>
        <w:rPr>
          <w:rFonts w:hint="default" w:ascii="Times New Roman" w:hAnsi="Times New Roman" w:eastAsia="仿宋_GB2312" w:cs="Times New Roman"/>
          <w:color w:val="auto"/>
          <w:sz w:val="32"/>
          <w:szCs w:val="22"/>
          <w:highlight w:val="none"/>
          <w:lang w:eastAsia="zh-CN"/>
        </w:rPr>
      </w:pPr>
      <w:r>
        <w:rPr>
          <w:rFonts w:hint="default" w:ascii="Times New Roman" w:hAnsi="Times New Roman" w:eastAsia="仿宋_GB2312" w:cs="Times New Roman"/>
          <w:b/>
          <w:bCs/>
          <w:color w:val="auto"/>
          <w:sz w:val="32"/>
          <w:szCs w:val="22"/>
          <w:highlight w:val="none"/>
          <w:lang w:val="en-US" w:eastAsia="zh-CN"/>
        </w:rPr>
        <w:t>推广应用现代农业装备。</w:t>
      </w:r>
      <w:r>
        <w:rPr>
          <w:rFonts w:hint="default" w:ascii="Times New Roman" w:hAnsi="Times New Roman" w:eastAsia="仿宋_GB2312" w:cs="Times New Roman"/>
          <w:color w:val="auto"/>
          <w:sz w:val="32"/>
          <w:szCs w:val="22"/>
          <w:highlight w:val="none"/>
          <w:lang w:eastAsia="zh-CN"/>
        </w:rPr>
        <w:t>加快</w:t>
      </w:r>
      <w:r>
        <w:rPr>
          <w:rFonts w:hint="default" w:ascii="Times New Roman" w:hAnsi="Times New Roman" w:eastAsia="仿宋_GB2312" w:cs="Times New Roman"/>
          <w:color w:val="auto"/>
          <w:sz w:val="32"/>
          <w:szCs w:val="22"/>
          <w:highlight w:val="none"/>
          <w:lang w:val="en-US" w:eastAsia="zh-CN"/>
        </w:rPr>
        <w:t>耕整地、播种、收获、排灌、修剪、饲养</w:t>
      </w:r>
      <w:r>
        <w:rPr>
          <w:rFonts w:hint="default" w:ascii="Times New Roman" w:hAnsi="Times New Roman" w:eastAsia="仿宋_GB2312" w:cs="Times New Roman"/>
          <w:color w:val="auto"/>
          <w:sz w:val="32"/>
          <w:szCs w:val="22"/>
          <w:highlight w:val="none"/>
          <w:lang w:eastAsia="zh-CN"/>
        </w:rPr>
        <w:t>等机械</w:t>
      </w:r>
      <w:r>
        <w:rPr>
          <w:rFonts w:hint="default" w:ascii="Times New Roman" w:hAnsi="Times New Roman" w:eastAsia="仿宋_GB2312" w:cs="Times New Roman"/>
          <w:color w:val="auto"/>
          <w:sz w:val="32"/>
          <w:szCs w:val="22"/>
          <w:highlight w:val="none"/>
          <w:lang w:val="en-US" w:eastAsia="zh-CN"/>
        </w:rPr>
        <w:t>设备</w:t>
      </w:r>
      <w:r>
        <w:rPr>
          <w:rFonts w:hint="default" w:ascii="Times New Roman" w:hAnsi="Times New Roman" w:eastAsia="仿宋_GB2312" w:cs="Times New Roman"/>
          <w:color w:val="auto"/>
          <w:sz w:val="32"/>
          <w:szCs w:val="22"/>
          <w:highlight w:val="none"/>
          <w:lang w:eastAsia="zh-CN"/>
        </w:rPr>
        <w:t>推广应用，</w:t>
      </w:r>
      <w:r>
        <w:rPr>
          <w:rFonts w:hint="default" w:ascii="Times New Roman" w:hAnsi="Times New Roman" w:eastAsia="仿宋_GB2312" w:cs="Times New Roman"/>
          <w:color w:val="auto"/>
          <w:sz w:val="32"/>
          <w:szCs w:val="22"/>
          <w:highlight w:val="none"/>
          <w:lang w:val="en-US" w:eastAsia="zh-CN"/>
        </w:rPr>
        <w:t>引进适应高山河谷的农业机械，推广设施农业设备，</w:t>
      </w:r>
      <w:r>
        <w:rPr>
          <w:rFonts w:hint="default" w:ascii="Times New Roman" w:hAnsi="Times New Roman" w:eastAsia="仿宋_GB2312" w:cs="Times New Roman"/>
          <w:bCs/>
          <w:color w:val="auto"/>
          <w:sz w:val="32"/>
          <w:szCs w:val="32"/>
          <w:highlight w:val="none"/>
          <w:lang w:val="en-US" w:eastAsia="zh-CN"/>
        </w:rPr>
        <w:t>推进智慧农业园区建设，探索应用</w:t>
      </w:r>
      <w:r>
        <w:rPr>
          <w:rFonts w:hint="default" w:ascii="Times New Roman" w:hAnsi="Times New Roman" w:eastAsia="仿宋_GB2312" w:cs="Times New Roman"/>
          <w:color w:val="auto"/>
          <w:sz w:val="32"/>
          <w:szCs w:val="22"/>
          <w:highlight w:val="none"/>
          <w:lang w:val="en-US" w:eastAsia="zh-CN"/>
        </w:rPr>
        <w:t>无人机运输、植保作业、巡检监测</w:t>
      </w:r>
      <w:r>
        <w:rPr>
          <w:rFonts w:hint="eastAsia" w:cs="Times New Roman"/>
          <w:color w:val="auto"/>
          <w:sz w:val="32"/>
          <w:szCs w:val="22"/>
          <w:highlight w:val="none"/>
          <w:lang w:val="en-US" w:eastAsia="zh-CN"/>
        </w:rPr>
        <w:t>等技术</w:t>
      </w:r>
      <w:r>
        <w:rPr>
          <w:rFonts w:hint="default" w:ascii="Times New Roman" w:hAnsi="Times New Roman" w:eastAsia="仿宋_GB2312" w:cs="Times New Roman"/>
          <w:color w:val="auto"/>
          <w:sz w:val="32"/>
          <w:szCs w:val="22"/>
          <w:highlight w:val="none"/>
          <w:lang w:val="en-US" w:eastAsia="zh-CN"/>
        </w:rPr>
        <w:t>，加强农业科技推广服务，</w:t>
      </w:r>
      <w:r>
        <w:rPr>
          <w:rFonts w:hint="default" w:ascii="Times New Roman" w:hAnsi="Times New Roman" w:eastAsia="仿宋_GB2312" w:cs="Times New Roman"/>
          <w:color w:val="auto"/>
          <w:sz w:val="32"/>
          <w:szCs w:val="22"/>
          <w:highlight w:val="none"/>
          <w:lang w:eastAsia="zh-CN"/>
        </w:rPr>
        <w:t>建立</w:t>
      </w:r>
      <w:r>
        <w:rPr>
          <w:rFonts w:hint="default" w:ascii="Times New Roman" w:hAnsi="Times New Roman" w:eastAsia="仿宋_GB2312" w:cs="Times New Roman"/>
          <w:color w:val="auto"/>
          <w:sz w:val="32"/>
          <w:szCs w:val="22"/>
          <w:highlight w:val="none"/>
          <w:lang w:val="en-US" w:eastAsia="zh-CN"/>
        </w:rPr>
        <w:t>健全</w:t>
      </w:r>
      <w:r>
        <w:rPr>
          <w:rFonts w:hint="default" w:ascii="Times New Roman" w:hAnsi="Times New Roman" w:eastAsia="仿宋_GB2312" w:cs="Times New Roman"/>
          <w:color w:val="auto"/>
          <w:sz w:val="32"/>
          <w:szCs w:val="22"/>
          <w:highlight w:val="none"/>
          <w:lang w:eastAsia="zh-CN"/>
        </w:rPr>
        <w:t>覆盖产前、产中、产后的农业社会化服务体系。</w:t>
      </w:r>
    </w:p>
    <w:p w14:paraId="7F96DA10">
      <w:pPr>
        <w:bidi w:val="0"/>
        <w:spacing w:line="560" w:lineRule="exact"/>
        <w:ind w:firstLine="643" w:firstLineChars="200"/>
        <w:rPr>
          <w:rFonts w:hint="default" w:ascii="Times New Roman" w:hAnsi="Times New Roman" w:eastAsia="仿宋_GB2312" w:cs="Times New Roman"/>
          <w:color w:val="auto"/>
          <w:sz w:val="32"/>
          <w:szCs w:val="22"/>
          <w:highlight w:val="none"/>
          <w:lang w:eastAsia="zh-CN"/>
        </w:rPr>
      </w:pPr>
      <w:r>
        <w:rPr>
          <w:rFonts w:hint="default" w:ascii="Times New Roman" w:hAnsi="Times New Roman" w:eastAsia="仿宋_GB2312" w:cs="Times New Roman"/>
          <w:b/>
          <w:bCs/>
          <w:color w:val="auto"/>
          <w:sz w:val="32"/>
          <w:szCs w:val="22"/>
          <w:highlight w:val="none"/>
          <w:lang w:eastAsia="zh-CN"/>
        </w:rPr>
        <w:t>加强冷链物流体系建设。</w:t>
      </w:r>
      <w:r>
        <w:rPr>
          <w:rFonts w:hint="default" w:ascii="Times New Roman" w:hAnsi="Times New Roman" w:eastAsia="仿宋_GB2312" w:cs="Times New Roman"/>
          <w:color w:val="auto"/>
          <w:sz w:val="32"/>
          <w:szCs w:val="22"/>
          <w:highlight w:val="none"/>
          <w:lang w:eastAsia="zh-CN"/>
        </w:rPr>
        <w:t>结合农业产业体系布局、农业园区建设规划和农产品流通市场建设规划，支持</w:t>
      </w:r>
      <w:r>
        <w:rPr>
          <w:rFonts w:hint="default" w:ascii="Times New Roman" w:hAnsi="Times New Roman" w:eastAsia="仿宋_GB2312" w:cs="Times New Roman"/>
          <w:color w:val="auto"/>
          <w:sz w:val="32"/>
          <w:szCs w:val="22"/>
          <w:highlight w:val="none"/>
          <w:lang w:val="en-US" w:eastAsia="zh-CN"/>
        </w:rPr>
        <w:t>构建</w:t>
      </w:r>
      <w:r>
        <w:rPr>
          <w:rFonts w:hint="default" w:ascii="Times New Roman" w:hAnsi="Times New Roman" w:eastAsia="仿宋_GB2312" w:cs="Times New Roman"/>
          <w:color w:val="auto"/>
          <w:sz w:val="32"/>
          <w:szCs w:val="22"/>
          <w:highlight w:val="none"/>
          <w:lang w:eastAsia="zh-CN"/>
        </w:rPr>
        <w:t>“1个县级冷链物流基地+</w:t>
      </w:r>
      <w:r>
        <w:rPr>
          <w:rFonts w:hint="default" w:ascii="Times New Roman" w:hAnsi="Times New Roman" w:eastAsia="仿宋_GB2312" w:cs="Times New Roman"/>
          <w:color w:val="auto"/>
          <w:sz w:val="32"/>
          <w:szCs w:val="22"/>
          <w:highlight w:val="none"/>
          <w:lang w:val="en-US" w:eastAsia="zh-CN"/>
        </w:rPr>
        <w:t>N</w:t>
      </w:r>
      <w:r>
        <w:rPr>
          <w:rFonts w:hint="default" w:ascii="Times New Roman" w:hAnsi="Times New Roman" w:eastAsia="仿宋_GB2312" w:cs="Times New Roman"/>
          <w:color w:val="auto"/>
          <w:sz w:val="32"/>
          <w:szCs w:val="22"/>
          <w:highlight w:val="none"/>
          <w:lang w:eastAsia="zh-CN"/>
        </w:rPr>
        <w:t>个产地冷链集配中心”的现代农业冷链物流体系，加强移动冷链保鲜能力建设，解决好农产品产地“最先一公里”和城市配送“最后一公里”问题。</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78A6B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00" w:type="pct"/>
            <w:shd w:val="clear" w:color="auto" w:fill="7F7F7F" w:themeFill="text1" w:themeFillTint="7F"/>
            <w:vAlign w:val="center"/>
          </w:tcPr>
          <w:p w14:paraId="7ED20F2D">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center"/>
              <w:rPr>
                <w:rFonts w:hint="default" w:ascii="Times New Roman" w:hAnsi="Times New Roman" w:eastAsia="黑体" w:cs="Times New Roman"/>
                <w:color w:val="auto"/>
                <w:kern w:val="2"/>
                <w:sz w:val="30"/>
                <w:szCs w:val="22"/>
                <w:highlight w:val="none"/>
                <w:lang w:val="en-US" w:eastAsia="zh-CN"/>
              </w:rPr>
            </w:pPr>
            <w:r>
              <w:rPr>
                <w:rFonts w:hint="default" w:ascii="Times New Roman" w:hAnsi="Times New Roman" w:eastAsia="黑体" w:cs="Times New Roman"/>
                <w:b/>
                <w:bCs/>
                <w:color w:val="auto"/>
                <w:kern w:val="0"/>
                <w:sz w:val="28"/>
                <w:szCs w:val="28"/>
                <w:highlight w:val="none"/>
                <w:lang w:bidi="ar"/>
              </w:rPr>
              <w:t>专栏</w:t>
            </w:r>
            <w:r>
              <w:rPr>
                <w:rFonts w:hint="default" w:ascii="Times New Roman" w:hAnsi="Times New Roman" w:eastAsia="黑体" w:cs="Times New Roman"/>
                <w:b/>
                <w:bCs/>
                <w:color w:val="auto"/>
                <w:kern w:val="0"/>
                <w:sz w:val="28"/>
                <w:szCs w:val="28"/>
                <w:highlight w:val="none"/>
                <w:lang w:val="en-US" w:eastAsia="zh-CN" w:bidi="ar"/>
              </w:rPr>
              <w:t>5</w:t>
            </w:r>
            <w:r>
              <w:rPr>
                <w:rFonts w:hint="default" w:ascii="Times New Roman" w:hAnsi="Times New Roman" w:eastAsia="黑体" w:cs="Times New Roman"/>
                <w:b/>
                <w:bCs/>
                <w:color w:val="auto"/>
                <w:kern w:val="0"/>
                <w:sz w:val="28"/>
                <w:szCs w:val="28"/>
                <w:highlight w:val="none"/>
                <w:lang w:bidi="ar"/>
              </w:rPr>
              <w:t xml:space="preserve"> </w:t>
            </w:r>
            <w:r>
              <w:rPr>
                <w:rFonts w:hint="default" w:ascii="Times New Roman" w:hAnsi="Times New Roman" w:eastAsia="黑体" w:cs="Times New Roman"/>
                <w:b/>
                <w:bCs/>
                <w:color w:val="auto"/>
                <w:kern w:val="0"/>
                <w:sz w:val="28"/>
                <w:szCs w:val="28"/>
                <w:highlight w:val="none"/>
                <w:lang w:val="en-US" w:eastAsia="zh-CN" w:bidi="ar"/>
              </w:rPr>
              <w:t xml:space="preserve"> 现代高原生态农业重点工程</w:t>
            </w:r>
          </w:p>
        </w:tc>
      </w:tr>
      <w:tr w14:paraId="0D61D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tcPr>
          <w:p w14:paraId="2EF4A8E2">
            <w:pPr>
              <w:keepNext w:val="0"/>
              <w:keepLines w:val="0"/>
              <w:pageBreakBefore w:val="0"/>
              <w:widowControl/>
              <w:numPr>
                <w:ilvl w:val="0"/>
                <w:numId w:val="13"/>
              </w:numPr>
              <w:kinsoku/>
              <w:wordWrap/>
              <w:overflowPunct/>
              <w:topLinePunct w:val="0"/>
              <w:autoSpaceDE/>
              <w:autoSpaceDN/>
              <w:bidi w:val="0"/>
              <w:adjustRightInd w:val="0"/>
              <w:snapToGrid w:val="0"/>
              <w:spacing w:line="440" w:lineRule="exact"/>
              <w:ind w:left="420" w:leftChars="0" w:hanging="420" w:firstLineChars="0"/>
              <w:jc w:val="left"/>
              <w:textAlignment w:val="auto"/>
              <w:rPr>
                <w:rFonts w:hint="default" w:ascii="Times New Roman" w:hAnsi="Times New Roman" w:eastAsia="仿宋_GB2312" w:cs="Times New Roman"/>
                <w:color w:val="auto"/>
                <w:kern w:val="2"/>
                <w:sz w:val="28"/>
                <w:szCs w:val="28"/>
                <w:highlight w:val="none"/>
                <w:lang w:val="en-US" w:eastAsia="zh-CN"/>
              </w:rPr>
            </w:pPr>
            <w:r>
              <w:rPr>
                <w:rFonts w:hint="default" w:ascii="Times New Roman" w:hAnsi="Times New Roman" w:eastAsia="仿宋_GB2312" w:cs="Times New Roman"/>
                <w:b/>
                <w:color w:val="auto"/>
                <w:kern w:val="0"/>
                <w:sz w:val="28"/>
                <w:szCs w:val="28"/>
                <w:highlight w:val="none"/>
                <w:lang w:val="en-US" w:eastAsia="zh-CN" w:bidi="ar-SA"/>
              </w:rPr>
              <w:t>产业基地建设</w:t>
            </w:r>
            <w:r>
              <w:rPr>
                <w:rFonts w:hint="default" w:ascii="Times New Roman" w:hAnsi="Times New Roman" w:eastAsia="仿宋_GB2312" w:cs="Times New Roman"/>
                <w:color w:val="auto"/>
                <w:kern w:val="2"/>
                <w:sz w:val="28"/>
                <w:szCs w:val="28"/>
                <w:highlight w:val="none"/>
                <w:lang w:val="en-US" w:eastAsia="zh-CN"/>
              </w:rPr>
              <w:t>：</w:t>
            </w:r>
            <w:r>
              <w:rPr>
                <w:rFonts w:hint="eastAsia" w:cs="Times New Roman"/>
                <w:color w:val="auto"/>
                <w:kern w:val="2"/>
                <w:sz w:val="28"/>
                <w:szCs w:val="28"/>
                <w:highlight w:val="none"/>
                <w:lang w:val="en-US" w:eastAsia="zh-CN"/>
              </w:rPr>
              <w:t>1.</w:t>
            </w:r>
            <w:r>
              <w:rPr>
                <w:rFonts w:hint="default" w:ascii="Times New Roman" w:hAnsi="Times New Roman" w:eastAsia="仿宋_GB2312" w:cs="Times New Roman"/>
                <w:color w:val="auto"/>
                <w:kern w:val="2"/>
                <w:sz w:val="28"/>
                <w:szCs w:val="28"/>
                <w:highlight w:val="none"/>
                <w:lang w:val="en-US" w:eastAsia="zh-CN"/>
              </w:rPr>
              <w:t>实施理县现代农业产业园、理县高原冷水鱼科研繁育</w:t>
            </w:r>
            <w:r>
              <w:rPr>
                <w:rFonts w:hint="eastAsia" w:cs="Times New Roman"/>
                <w:color w:val="auto"/>
                <w:kern w:val="2"/>
                <w:sz w:val="28"/>
                <w:szCs w:val="28"/>
                <w:highlight w:val="none"/>
                <w:lang w:val="en-US" w:eastAsia="zh-CN"/>
              </w:rPr>
              <w:t>、理县林下中草药种植、理县果蔬林苗木选育基地建设、理县特色蔬菜试验示范基地提升。2.</w:t>
            </w:r>
            <w:r>
              <w:rPr>
                <w:rFonts w:hint="default" w:ascii="Times New Roman" w:hAnsi="Times New Roman" w:eastAsia="仿宋_GB2312" w:cs="Times New Roman"/>
                <w:color w:val="auto"/>
                <w:kern w:val="2"/>
                <w:sz w:val="28"/>
                <w:szCs w:val="28"/>
                <w:highlight w:val="none"/>
                <w:lang w:val="en-US" w:eastAsia="zh-CN"/>
              </w:rPr>
              <w:t>推进理县特色果蔬物流园</w:t>
            </w:r>
            <w:r>
              <w:rPr>
                <w:rFonts w:hint="eastAsia" w:cs="Times New Roman"/>
                <w:color w:val="auto"/>
                <w:kern w:val="2"/>
                <w:sz w:val="28"/>
                <w:szCs w:val="28"/>
                <w:highlight w:val="none"/>
                <w:lang w:val="en-US" w:eastAsia="zh-CN"/>
              </w:rPr>
              <w:t>建设</w:t>
            </w:r>
            <w:r>
              <w:rPr>
                <w:rFonts w:hint="default" w:ascii="Times New Roman" w:hAnsi="Times New Roman" w:eastAsia="仿宋_GB2312" w:cs="Times New Roman"/>
                <w:color w:val="auto"/>
                <w:kern w:val="2"/>
                <w:sz w:val="28"/>
                <w:szCs w:val="28"/>
                <w:highlight w:val="none"/>
                <w:lang w:val="en-US" w:eastAsia="zh-CN"/>
              </w:rPr>
              <w:t>、</w:t>
            </w:r>
            <w:r>
              <w:rPr>
                <w:rFonts w:hint="eastAsia" w:cs="Times New Roman"/>
                <w:color w:val="auto"/>
                <w:kern w:val="2"/>
                <w:sz w:val="28"/>
                <w:szCs w:val="28"/>
                <w:highlight w:val="none"/>
                <w:lang w:val="en-US" w:eastAsia="zh-CN"/>
              </w:rPr>
              <w:t>理县高原冷水鱼养殖基地建设、理县高原冷水鱼精深加工建设、</w:t>
            </w:r>
            <w:r>
              <w:rPr>
                <w:rFonts w:hint="default" w:ascii="Times New Roman" w:hAnsi="Times New Roman" w:eastAsia="仿宋_GB2312" w:cs="Times New Roman"/>
                <w:color w:val="auto"/>
                <w:kern w:val="2"/>
                <w:sz w:val="28"/>
                <w:szCs w:val="28"/>
                <w:highlight w:val="none"/>
                <w:lang w:val="en-US" w:eastAsia="zh-CN"/>
              </w:rPr>
              <w:t>理县老旧果园改造</w:t>
            </w:r>
            <w:r>
              <w:rPr>
                <w:rFonts w:hint="eastAsia" w:cs="Times New Roman"/>
                <w:color w:val="auto"/>
                <w:kern w:val="2"/>
                <w:sz w:val="28"/>
                <w:szCs w:val="28"/>
                <w:highlight w:val="none"/>
                <w:lang w:val="en-US" w:eastAsia="zh-CN"/>
              </w:rPr>
              <w:t>、</w:t>
            </w:r>
            <w:r>
              <w:rPr>
                <w:rFonts w:hint="default" w:ascii="Times New Roman" w:hAnsi="Times New Roman" w:eastAsia="仿宋_GB2312" w:cs="Times New Roman"/>
                <w:color w:val="auto"/>
                <w:kern w:val="2"/>
                <w:sz w:val="28"/>
                <w:szCs w:val="28"/>
                <w:highlight w:val="none"/>
                <w:lang w:val="en-US" w:eastAsia="zh-CN"/>
              </w:rPr>
              <w:t>理县牛育肥基地</w:t>
            </w:r>
            <w:r>
              <w:rPr>
                <w:rFonts w:hint="eastAsia" w:cs="Times New Roman"/>
                <w:color w:val="auto"/>
                <w:kern w:val="2"/>
                <w:sz w:val="28"/>
                <w:szCs w:val="28"/>
                <w:highlight w:val="none"/>
                <w:lang w:val="en-US" w:eastAsia="zh-CN"/>
              </w:rPr>
              <w:t>、</w:t>
            </w:r>
            <w:r>
              <w:rPr>
                <w:rFonts w:hint="default" w:ascii="Times New Roman" w:hAnsi="Times New Roman" w:eastAsia="仿宋_GB2312" w:cs="Times New Roman"/>
                <w:color w:val="auto"/>
                <w:kern w:val="2"/>
                <w:sz w:val="28"/>
                <w:szCs w:val="28"/>
                <w:highlight w:val="none"/>
                <w:lang w:val="en-US" w:eastAsia="zh-CN"/>
              </w:rPr>
              <w:t>理县卡子核桃产业园</w:t>
            </w:r>
            <w:r>
              <w:rPr>
                <w:rFonts w:hint="eastAsia" w:cs="Times New Roman"/>
                <w:color w:val="auto"/>
                <w:kern w:val="2"/>
                <w:sz w:val="28"/>
                <w:szCs w:val="28"/>
                <w:highlight w:val="none"/>
                <w:lang w:val="en-US" w:eastAsia="zh-CN"/>
              </w:rPr>
              <w:t>、</w:t>
            </w:r>
            <w:r>
              <w:rPr>
                <w:rFonts w:hint="default" w:ascii="Times New Roman" w:hAnsi="Times New Roman" w:eastAsia="仿宋_GB2312" w:cs="Times New Roman"/>
                <w:color w:val="auto"/>
                <w:kern w:val="2"/>
                <w:sz w:val="28"/>
                <w:szCs w:val="28"/>
                <w:highlight w:val="none"/>
                <w:lang w:val="en-US" w:eastAsia="zh-CN"/>
              </w:rPr>
              <w:t>朴头镇朴头村特色水果园</w:t>
            </w:r>
            <w:r>
              <w:rPr>
                <w:rFonts w:hint="eastAsia" w:cs="Times New Roman"/>
                <w:color w:val="auto"/>
                <w:kern w:val="2"/>
                <w:sz w:val="28"/>
                <w:szCs w:val="28"/>
                <w:highlight w:val="none"/>
                <w:lang w:val="en-US" w:eastAsia="zh-CN"/>
              </w:rPr>
              <w:t>、</w:t>
            </w:r>
            <w:r>
              <w:rPr>
                <w:rFonts w:hint="default" w:ascii="Times New Roman" w:hAnsi="Times New Roman" w:eastAsia="仿宋_GB2312" w:cs="Times New Roman"/>
                <w:color w:val="auto"/>
                <w:kern w:val="2"/>
                <w:sz w:val="28"/>
                <w:szCs w:val="28"/>
                <w:highlight w:val="none"/>
                <w:lang w:val="en-US" w:eastAsia="zh-CN"/>
              </w:rPr>
              <w:t>朴头镇梭罗沟村林下种植基地、朴头镇一颗印村特色蔬菜种植基地等</w:t>
            </w:r>
            <w:r>
              <w:rPr>
                <w:rFonts w:hint="eastAsia" w:cs="Times New Roman"/>
                <w:color w:val="auto"/>
                <w:kern w:val="2"/>
                <w:sz w:val="28"/>
                <w:szCs w:val="28"/>
                <w:highlight w:val="none"/>
                <w:lang w:val="en-US" w:eastAsia="zh-CN"/>
              </w:rPr>
              <w:t>项目</w:t>
            </w:r>
            <w:r>
              <w:rPr>
                <w:rFonts w:hint="default" w:ascii="Times New Roman" w:hAnsi="Times New Roman" w:eastAsia="仿宋_GB2312" w:cs="Times New Roman"/>
                <w:color w:val="auto"/>
                <w:kern w:val="2"/>
                <w:sz w:val="28"/>
                <w:szCs w:val="28"/>
                <w:highlight w:val="none"/>
                <w:lang w:val="en-US" w:eastAsia="zh-CN"/>
              </w:rPr>
              <w:t>前期工作。</w:t>
            </w:r>
            <w:r>
              <w:rPr>
                <w:rFonts w:hint="eastAsia" w:cs="Times New Roman"/>
                <w:color w:val="auto"/>
                <w:kern w:val="2"/>
                <w:sz w:val="28"/>
                <w:szCs w:val="28"/>
                <w:highlight w:val="none"/>
                <w:lang w:val="en-US" w:eastAsia="zh-CN"/>
              </w:rPr>
              <w:t>3.开展通化村高标准甜樱桃示范基地建设、下孟乡仔达村崔家河坝水果种植基地、八什脑村野菜种植、米亚罗镇大郎坝村牧养基地建设等项目论证工作。</w:t>
            </w:r>
          </w:p>
          <w:p w14:paraId="1B5CC3A5">
            <w:pPr>
              <w:keepNext w:val="0"/>
              <w:keepLines w:val="0"/>
              <w:pageBreakBefore w:val="0"/>
              <w:widowControl/>
              <w:numPr>
                <w:ilvl w:val="0"/>
                <w:numId w:val="13"/>
              </w:numPr>
              <w:kinsoku/>
              <w:wordWrap/>
              <w:overflowPunct/>
              <w:topLinePunct w:val="0"/>
              <w:autoSpaceDE/>
              <w:autoSpaceDN/>
              <w:bidi w:val="0"/>
              <w:adjustRightInd w:val="0"/>
              <w:snapToGrid w:val="0"/>
              <w:spacing w:line="440" w:lineRule="exact"/>
              <w:ind w:left="420" w:leftChars="0" w:hanging="420" w:firstLineChars="0"/>
              <w:jc w:val="left"/>
              <w:textAlignment w:val="auto"/>
              <w:rPr>
                <w:rFonts w:hint="default" w:ascii="Times New Roman" w:hAnsi="Times New Roman" w:eastAsia="仿宋_GB2312" w:cs="Times New Roman"/>
                <w:color w:val="auto"/>
                <w:kern w:val="2"/>
                <w:sz w:val="28"/>
                <w:szCs w:val="28"/>
                <w:highlight w:val="none"/>
                <w:lang w:eastAsia="zh-CN"/>
              </w:rPr>
            </w:pPr>
            <w:r>
              <w:rPr>
                <w:rFonts w:hint="default" w:ascii="Times New Roman" w:hAnsi="Times New Roman" w:eastAsia="仿宋_GB2312" w:cs="Times New Roman"/>
                <w:b/>
                <w:color w:val="auto"/>
                <w:kern w:val="0"/>
                <w:sz w:val="28"/>
                <w:szCs w:val="28"/>
                <w:highlight w:val="none"/>
                <w:lang w:val="en-US" w:eastAsia="zh-CN" w:bidi="ar-SA"/>
              </w:rPr>
              <w:t>产业建圈强链</w:t>
            </w:r>
            <w:r>
              <w:rPr>
                <w:rFonts w:hint="default" w:ascii="Times New Roman" w:hAnsi="Times New Roman" w:eastAsia="仿宋_GB2312" w:cs="Times New Roman"/>
                <w:color w:val="auto"/>
                <w:kern w:val="2"/>
                <w:sz w:val="28"/>
                <w:szCs w:val="28"/>
                <w:highlight w:val="none"/>
                <w:lang w:val="en-US" w:eastAsia="zh-CN"/>
              </w:rPr>
              <w:t>：</w:t>
            </w:r>
            <w:r>
              <w:rPr>
                <w:rFonts w:hint="eastAsia" w:cs="Times New Roman"/>
                <w:color w:val="auto"/>
                <w:kern w:val="2"/>
                <w:sz w:val="28"/>
                <w:szCs w:val="28"/>
                <w:highlight w:val="none"/>
                <w:lang w:val="en-US" w:eastAsia="zh-CN"/>
              </w:rPr>
              <w:t>1.</w:t>
            </w:r>
            <w:r>
              <w:rPr>
                <w:rFonts w:hint="default" w:ascii="Times New Roman" w:hAnsi="Times New Roman" w:eastAsia="仿宋_GB2312" w:cs="Times New Roman"/>
                <w:color w:val="auto"/>
                <w:kern w:val="2"/>
                <w:sz w:val="28"/>
                <w:szCs w:val="28"/>
                <w:highlight w:val="none"/>
                <w:lang w:val="en-US" w:eastAsia="zh-CN"/>
              </w:rPr>
              <w:t>实施理县水果新品种新技术示范推广</w:t>
            </w:r>
            <w:r>
              <w:rPr>
                <w:rFonts w:hint="eastAsia" w:cs="Times New Roman"/>
                <w:color w:val="auto"/>
                <w:kern w:val="2"/>
                <w:sz w:val="28"/>
                <w:szCs w:val="28"/>
                <w:highlight w:val="none"/>
                <w:lang w:val="en-US" w:eastAsia="zh-CN"/>
              </w:rPr>
              <w:t>、理县果树专家大院及种植资源圃建设、理县粮食样本村种粮补助、理县高原蔬菜产业园区、理县农产品品牌建设、理县农旅提升、朴头镇梭罗沟村高原蔬菜园区提升、桃坪镇薛桃果业园区综合提升等项目。2.推进理县食用玫瑰高效生产技术优化与加工销售模式示范研究、理县设施蔬菜建设、</w:t>
            </w:r>
            <w:r>
              <w:rPr>
                <w:rFonts w:hint="default" w:ascii="Times New Roman" w:hAnsi="Times New Roman" w:eastAsia="仿宋_GB2312" w:cs="Times New Roman"/>
                <w:color w:val="auto"/>
                <w:kern w:val="2"/>
                <w:sz w:val="28"/>
                <w:szCs w:val="28"/>
                <w:highlight w:val="none"/>
                <w:lang w:val="en-US" w:eastAsia="zh-CN"/>
              </w:rPr>
              <w:t>朴头镇庄房村塔子沟农旅</w:t>
            </w:r>
            <w:r>
              <w:rPr>
                <w:rFonts w:hint="eastAsia" w:cs="Times New Roman"/>
                <w:color w:val="auto"/>
                <w:kern w:val="2"/>
                <w:sz w:val="28"/>
                <w:szCs w:val="28"/>
                <w:highlight w:val="none"/>
                <w:lang w:val="en-US" w:eastAsia="zh-CN"/>
              </w:rPr>
              <w:t>产业发展</w:t>
            </w:r>
            <w:r>
              <w:rPr>
                <w:rFonts w:hint="default" w:ascii="Times New Roman" w:hAnsi="Times New Roman" w:eastAsia="仿宋_GB2312" w:cs="Times New Roman"/>
                <w:color w:val="auto"/>
                <w:kern w:val="2"/>
                <w:sz w:val="28"/>
                <w:szCs w:val="28"/>
                <w:highlight w:val="none"/>
                <w:lang w:val="en-US" w:eastAsia="zh-CN"/>
              </w:rPr>
              <w:t>、上孟乡特色产业及农副产品集散服务中心</w:t>
            </w:r>
            <w:r>
              <w:rPr>
                <w:rFonts w:hint="eastAsia" w:cs="Times New Roman"/>
                <w:color w:val="auto"/>
                <w:kern w:val="2"/>
                <w:sz w:val="28"/>
                <w:szCs w:val="28"/>
                <w:highlight w:val="none"/>
                <w:lang w:val="en-US" w:eastAsia="zh-CN"/>
              </w:rPr>
              <w:t>、通化乡产业提质增效、通化乡农产品展销中心建设、蒲溪乡林下经济发展、蒲溪乡蔬果快速装运分拣初包装建设等项目前期工作。3.开展理县畜牧高质量发展、理县屠宰场建设、理县畜禽产品加工、理县粮食粗加工、理县食用菌加工、理县蜂业质量提升行动、薛城镇箭山村特色水果产业发展、朴头镇梭罗沟村高原蔬菜科研及农特产品加工基地建设、沙吉村高山现代农业园区建设、桃坪河谷粮经复合观光农业基地建设、楼若大坪生猪养殖场扩建、通化乡三岔村现代农业特色菌业产业园建设等项目论证</w:t>
            </w:r>
            <w:r>
              <w:rPr>
                <w:rFonts w:hint="default" w:ascii="Times New Roman" w:hAnsi="Times New Roman" w:eastAsia="仿宋_GB2312" w:cs="Times New Roman"/>
                <w:color w:val="auto"/>
                <w:kern w:val="2"/>
                <w:sz w:val="28"/>
                <w:szCs w:val="28"/>
                <w:highlight w:val="none"/>
                <w:lang w:val="en-US" w:eastAsia="zh-CN"/>
              </w:rPr>
              <w:t>工作。</w:t>
            </w:r>
          </w:p>
          <w:p w14:paraId="12262730">
            <w:pPr>
              <w:keepNext w:val="0"/>
              <w:keepLines w:val="0"/>
              <w:pageBreakBefore w:val="0"/>
              <w:widowControl/>
              <w:numPr>
                <w:ilvl w:val="0"/>
                <w:numId w:val="13"/>
              </w:numPr>
              <w:kinsoku/>
              <w:wordWrap/>
              <w:overflowPunct/>
              <w:topLinePunct w:val="0"/>
              <w:autoSpaceDE/>
              <w:autoSpaceDN/>
              <w:bidi w:val="0"/>
              <w:adjustRightInd w:val="0"/>
              <w:snapToGrid w:val="0"/>
              <w:spacing w:line="440" w:lineRule="exact"/>
              <w:ind w:left="420" w:leftChars="0" w:hanging="420" w:firstLineChars="0"/>
              <w:jc w:val="left"/>
              <w:textAlignment w:val="auto"/>
              <w:rPr>
                <w:rFonts w:hint="default" w:ascii="Times New Roman" w:hAnsi="Times New Roman" w:eastAsia="仿宋_GB2312" w:cs="Times New Roman"/>
                <w:color w:val="auto"/>
                <w:kern w:val="2"/>
                <w:sz w:val="28"/>
                <w:szCs w:val="28"/>
                <w:highlight w:val="none"/>
                <w:lang w:eastAsia="zh-CN"/>
              </w:rPr>
            </w:pPr>
            <w:r>
              <w:rPr>
                <w:rFonts w:hint="default" w:ascii="Times New Roman" w:hAnsi="Times New Roman" w:eastAsia="仿宋_GB2312" w:cs="Times New Roman"/>
                <w:b/>
                <w:color w:val="auto"/>
                <w:kern w:val="0"/>
                <w:sz w:val="28"/>
                <w:szCs w:val="28"/>
                <w:highlight w:val="none"/>
                <w:lang w:val="en-US" w:eastAsia="zh-CN" w:bidi="ar-SA"/>
              </w:rPr>
              <w:t>农业组织化提升：</w:t>
            </w:r>
            <w:r>
              <w:rPr>
                <w:rFonts w:hint="default" w:ascii="Times New Roman" w:hAnsi="Times New Roman" w:eastAsia="仿宋_GB2312" w:cs="Times New Roman"/>
                <w:b w:val="0"/>
                <w:bCs/>
                <w:color w:val="auto"/>
                <w:kern w:val="0"/>
                <w:sz w:val="28"/>
                <w:szCs w:val="28"/>
                <w:highlight w:val="none"/>
                <w:lang w:val="en-US" w:eastAsia="zh-CN" w:bidi="ar-SA"/>
              </w:rPr>
              <w:t>实施理县农村集体经济建设</w:t>
            </w:r>
            <w:r>
              <w:rPr>
                <w:rFonts w:hint="eastAsia" w:cs="Times New Roman"/>
                <w:b w:val="0"/>
                <w:bCs/>
                <w:color w:val="auto"/>
                <w:kern w:val="0"/>
                <w:sz w:val="28"/>
                <w:szCs w:val="28"/>
                <w:highlight w:val="none"/>
                <w:lang w:val="en-US" w:eastAsia="zh-CN" w:bidi="ar-SA"/>
              </w:rPr>
              <w:t>。</w:t>
            </w:r>
          </w:p>
          <w:p w14:paraId="483C1E53">
            <w:pPr>
              <w:keepNext w:val="0"/>
              <w:keepLines w:val="0"/>
              <w:pageBreakBefore w:val="0"/>
              <w:widowControl/>
              <w:numPr>
                <w:ilvl w:val="0"/>
                <w:numId w:val="13"/>
              </w:numPr>
              <w:kinsoku/>
              <w:wordWrap/>
              <w:overflowPunct/>
              <w:topLinePunct w:val="0"/>
              <w:autoSpaceDE/>
              <w:autoSpaceDN/>
              <w:bidi w:val="0"/>
              <w:adjustRightInd w:val="0"/>
              <w:snapToGrid w:val="0"/>
              <w:spacing w:line="440" w:lineRule="exact"/>
              <w:ind w:left="420" w:leftChars="0" w:hanging="420" w:firstLineChars="0"/>
              <w:jc w:val="left"/>
              <w:textAlignment w:val="auto"/>
              <w:rPr>
                <w:rFonts w:hint="default" w:ascii="Times New Roman" w:hAnsi="Times New Roman" w:eastAsia="仿宋_GB2312" w:cs="Times New Roman"/>
                <w:color w:val="auto"/>
                <w:sz w:val="32"/>
                <w:szCs w:val="22"/>
                <w:highlight w:val="none"/>
                <w:lang w:eastAsia="zh-CN"/>
              </w:rPr>
            </w:pPr>
            <w:r>
              <w:rPr>
                <w:rFonts w:hint="default" w:ascii="Times New Roman" w:hAnsi="Times New Roman" w:eastAsia="仿宋_GB2312" w:cs="Times New Roman"/>
                <w:b/>
                <w:color w:val="auto"/>
                <w:kern w:val="0"/>
                <w:sz w:val="28"/>
                <w:szCs w:val="28"/>
                <w:highlight w:val="none"/>
                <w:lang w:val="en-US" w:eastAsia="zh-CN" w:bidi="ar-SA"/>
              </w:rPr>
              <w:t>农业产业体系补短板：</w:t>
            </w:r>
            <w:r>
              <w:rPr>
                <w:rFonts w:hint="eastAsia" w:cs="Times New Roman"/>
                <w:b w:val="0"/>
                <w:bCs/>
                <w:color w:val="auto"/>
                <w:kern w:val="0"/>
                <w:sz w:val="28"/>
                <w:szCs w:val="28"/>
                <w:highlight w:val="none"/>
                <w:lang w:val="en-US" w:eastAsia="zh-CN" w:bidi="ar-SA"/>
              </w:rPr>
              <w:t>1.</w:t>
            </w:r>
            <w:r>
              <w:rPr>
                <w:rFonts w:hint="default" w:ascii="Times New Roman" w:hAnsi="Times New Roman" w:eastAsia="仿宋_GB2312" w:cs="Times New Roman"/>
                <w:b w:val="0"/>
                <w:bCs/>
                <w:color w:val="auto"/>
                <w:kern w:val="0"/>
                <w:sz w:val="28"/>
                <w:szCs w:val="28"/>
                <w:highlight w:val="none"/>
                <w:lang w:val="en-US" w:eastAsia="zh-CN" w:bidi="ar-SA"/>
              </w:rPr>
              <w:t>实施理县绿色防控体系建设</w:t>
            </w:r>
            <w:r>
              <w:rPr>
                <w:rFonts w:hint="eastAsia" w:cs="Times New Roman"/>
                <w:b w:val="0"/>
                <w:bCs/>
                <w:color w:val="auto"/>
                <w:kern w:val="0"/>
                <w:sz w:val="28"/>
                <w:szCs w:val="28"/>
                <w:highlight w:val="none"/>
                <w:lang w:val="en-US" w:eastAsia="zh-CN" w:bidi="ar-SA"/>
              </w:rPr>
              <w:t>、理县集中无害化处理等项目。2.推</w:t>
            </w:r>
            <w:bookmarkStart w:id="765" w:name="_GoBack"/>
            <w:bookmarkEnd w:id="765"/>
            <w:r>
              <w:rPr>
                <w:rFonts w:hint="eastAsia" w:cs="Times New Roman"/>
                <w:b w:val="0"/>
                <w:bCs/>
                <w:color w:val="auto"/>
                <w:kern w:val="0"/>
                <w:sz w:val="28"/>
                <w:szCs w:val="28"/>
                <w:highlight w:val="none"/>
                <w:lang w:val="en-US" w:eastAsia="zh-CN" w:bidi="ar-SA"/>
              </w:rPr>
              <w:t>进理县高标准农田提升、理县集体经济生猪代养场建设、理县牧区动物防疫专用设施、理县种粮复种套种试验示范、</w:t>
            </w:r>
            <w:r>
              <w:rPr>
                <w:rFonts w:hint="eastAsia" w:cs="Times New Roman"/>
                <w:color w:val="auto"/>
                <w:kern w:val="2"/>
                <w:sz w:val="28"/>
                <w:szCs w:val="28"/>
                <w:highlight w:val="none"/>
                <w:lang w:val="en-US" w:eastAsia="zh-CN"/>
              </w:rPr>
              <w:t>理县高原蔬菜现代农业园区新品种新技术推广、理县水肥一体化建设、理县智慧农场建设项目、理县智慧农业平台建设、理县果业园区绿色防控及生物有机肥推广、理县高原蔬菜现代农业园区土壤修复、理县产业强镇提质增效、理县生态农业提质增效、理县农产品质量检验检测提升工程、理县质量追溯体系建设等项目前期工作。3.开展理县坡耕地改造、理县国有林场林产品研繁中心及建设、通化乡三岔村产业基础设施提升、蒲溪乡椒粮果粮基地数智种植设施建设、米亚罗镇高原农牧鲜储库建设、薛城镇智慧农业发展、薛城镇生态农业示范基地建设“百场千户”数智乡村等项目论证工作。</w:t>
            </w:r>
          </w:p>
        </w:tc>
      </w:tr>
    </w:tbl>
    <w:p w14:paraId="6A53DA3D">
      <w:pPr>
        <w:keepNext/>
        <w:widowControl w:val="0"/>
        <w:numPr>
          <w:ilvl w:val="0"/>
          <w:numId w:val="1"/>
        </w:numPr>
        <w:bidi w:val="0"/>
        <w:snapToGrid w:val="0"/>
        <w:spacing w:before="100" w:beforeLines="100" w:after="100" w:afterLines="100" w:line="560" w:lineRule="exact"/>
        <w:ind w:left="0" w:leftChars="0" w:firstLine="0" w:firstLineChars="0"/>
        <w:jc w:val="center"/>
        <w:outlineLvl w:val="1"/>
        <w:rPr>
          <w:rFonts w:hint="default" w:ascii="Times New Roman" w:hAnsi="Times New Roman" w:eastAsia="黑体" w:cs="Times New Roman"/>
          <w:color w:val="auto"/>
          <w:kern w:val="2"/>
          <w:sz w:val="32"/>
          <w:szCs w:val="24"/>
          <w:highlight w:val="none"/>
          <w:lang w:val="en-US" w:eastAsia="zh-CN" w:bidi="ar-SA"/>
        </w:rPr>
      </w:pPr>
      <w:bookmarkStart w:id="168" w:name="_Toc8894"/>
      <w:bookmarkStart w:id="169" w:name="_Toc23339"/>
      <w:r>
        <w:rPr>
          <w:rFonts w:hint="default" w:ascii="Times New Roman" w:hAnsi="Times New Roman" w:eastAsia="黑体" w:cs="Times New Roman"/>
          <w:color w:val="auto"/>
          <w:kern w:val="2"/>
          <w:sz w:val="32"/>
          <w:szCs w:val="24"/>
          <w:highlight w:val="none"/>
          <w:lang w:val="en-US" w:eastAsia="zh-CN" w:bidi="ar-SA"/>
        </w:rPr>
        <w:t xml:space="preserve"> </w:t>
      </w:r>
      <w:bookmarkStart w:id="170" w:name="_Toc22958"/>
      <w:bookmarkStart w:id="171" w:name="_Toc13214"/>
      <w:r>
        <w:rPr>
          <w:rFonts w:hint="default" w:ascii="Times New Roman" w:hAnsi="Times New Roman" w:eastAsia="黑体" w:cs="Times New Roman"/>
          <w:color w:val="auto"/>
          <w:kern w:val="2"/>
          <w:sz w:val="32"/>
          <w:szCs w:val="24"/>
          <w:highlight w:val="none"/>
          <w:lang w:val="en-US" w:eastAsia="zh-CN" w:bidi="ar-SA"/>
        </w:rPr>
        <w:t>加快发展绿色低碳工业</w:t>
      </w:r>
      <w:bookmarkEnd w:id="168"/>
      <w:bookmarkEnd w:id="169"/>
      <w:bookmarkEnd w:id="170"/>
      <w:bookmarkEnd w:id="171"/>
    </w:p>
    <w:p w14:paraId="4F13E177">
      <w:pPr>
        <w:keepNext/>
        <w:widowControl w:val="0"/>
        <w:numPr>
          <w:ilvl w:val="0"/>
          <w:numId w:val="14"/>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172" w:name="_Toc21901"/>
      <w:bookmarkStart w:id="173" w:name="_Toc27668"/>
      <w:bookmarkStart w:id="174" w:name="_Toc25779"/>
      <w:bookmarkStart w:id="175" w:name="_Toc16925"/>
      <w:r>
        <w:rPr>
          <w:rFonts w:hint="default" w:ascii="Times New Roman" w:hAnsi="Times New Roman" w:eastAsia="楷体_GB2312" w:cs="Times New Roman"/>
          <w:b/>
          <w:bCs w:val="0"/>
          <w:color w:val="auto"/>
          <w:kern w:val="2"/>
          <w:sz w:val="32"/>
          <w:szCs w:val="32"/>
          <w:highlight w:val="none"/>
          <w:lang w:val="en-US" w:eastAsia="zh-CN" w:bidi="ar-SA"/>
        </w:rPr>
        <w:t>大力发展清洁能源产业</w:t>
      </w:r>
      <w:bookmarkEnd w:id="172"/>
      <w:bookmarkEnd w:id="173"/>
      <w:bookmarkEnd w:id="174"/>
      <w:bookmarkEnd w:id="175"/>
    </w:p>
    <w:p w14:paraId="4CA48B70">
      <w:pPr>
        <w:bidi w:val="0"/>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color w:val="auto"/>
          <w:sz w:val="32"/>
          <w:szCs w:val="22"/>
          <w:highlight w:val="none"/>
          <w:lang w:val="en-US" w:eastAsia="zh-CN"/>
        </w:rPr>
        <w:t>坚定不移把清洁能源产业作为工业高质量发展的重要支柱，充分发挥绿色能源资源优势，以“</w:t>
      </w:r>
      <w:r>
        <w:rPr>
          <w:rFonts w:hint="eastAsia" w:cs="Times New Roman"/>
          <w:color w:val="auto"/>
          <w:sz w:val="32"/>
          <w:szCs w:val="22"/>
          <w:highlight w:val="none"/>
          <w:lang w:val="en-US" w:eastAsia="zh-CN"/>
        </w:rPr>
        <w:t>水光</w:t>
      </w:r>
      <w:r>
        <w:rPr>
          <w:rFonts w:hint="default" w:ascii="Times New Roman" w:hAnsi="Times New Roman" w:eastAsia="仿宋_GB2312" w:cs="Times New Roman"/>
          <w:color w:val="auto"/>
          <w:sz w:val="32"/>
          <w:szCs w:val="22"/>
          <w:highlight w:val="none"/>
          <w:lang w:val="en-US" w:eastAsia="zh-CN"/>
        </w:rPr>
        <w:t>互补、协同增效、安全可靠、融合创新”为核心，统筹推进水光综合开发与产业集群化发展。巩固提升水电核心优势，深度挖掘现有水电站发电潜力，通过机组增效扩容、智能化改造和优化调度管理，全面提升已建水电站发电效率；因地制宜实施水电工程生态化改造，深入开展珊瑚沟电站、文泰水电站等小水电清理整改及绿色转型升级，积极发展抽水蓄能、新型储能，一体推进源网荷储，全面提升清洁能源安全可靠供应能力。加快推进光伏资源规模化开发，发挥大马场光伏项目示范作用，大力推进凉水井光伏项目并网发电，同步优化配套电网规划和送出保障，着力提高配电网接纳分布式新能源的能力。积极探索其他清洁能源开发，加强风能、空气能等新兴能源勘查与评估，拓宽清洁能源供给渠道，构建水、光、风、储多能互补的多元化能源格局，提升能源供给的灵活性与稳定性。完善能源输送和融合机制，积极推进电力外送通道建设，提升跨省跨区输电能力；探索绿电直供模式创新，推动清洁能源产业与制造业、种植业、养殖业、旅游业等融合发展。</w:t>
      </w:r>
    </w:p>
    <w:p w14:paraId="2516FFAF">
      <w:pPr>
        <w:keepNext/>
        <w:widowControl w:val="0"/>
        <w:numPr>
          <w:ilvl w:val="0"/>
          <w:numId w:val="14"/>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176" w:name="_Toc23930"/>
      <w:bookmarkStart w:id="177" w:name="_Toc8407"/>
      <w:bookmarkStart w:id="178" w:name="_Toc9463"/>
      <w:bookmarkStart w:id="179" w:name="_Toc22396"/>
      <w:r>
        <w:rPr>
          <w:rFonts w:hint="default" w:ascii="Times New Roman" w:hAnsi="Times New Roman" w:eastAsia="楷体_GB2312" w:cs="Times New Roman"/>
          <w:b/>
          <w:bCs w:val="0"/>
          <w:color w:val="auto"/>
          <w:kern w:val="2"/>
          <w:sz w:val="32"/>
          <w:szCs w:val="32"/>
          <w:highlight w:val="none"/>
          <w:lang w:val="en-US" w:eastAsia="zh-CN" w:bidi="ar-SA"/>
        </w:rPr>
        <w:t>稳步发展绿色基材产业</w:t>
      </w:r>
      <w:bookmarkEnd w:id="176"/>
      <w:bookmarkEnd w:id="177"/>
      <w:bookmarkEnd w:id="178"/>
      <w:bookmarkEnd w:id="179"/>
    </w:p>
    <w:p w14:paraId="22C9F8BA">
      <w:pPr>
        <w:bidi w:val="0"/>
        <w:spacing w:line="560" w:lineRule="exact"/>
        <w:ind w:firstLine="640" w:firstLineChars="200"/>
        <w:rPr>
          <w:rFonts w:hint="default" w:ascii="Times New Roman" w:hAnsi="Times New Roman" w:eastAsia="仿宋_GB2312" w:cs="Times New Roman"/>
          <w:bCs/>
          <w:color w:val="auto"/>
          <w:sz w:val="32"/>
          <w:szCs w:val="32"/>
          <w:highlight w:val="none"/>
          <w:lang w:eastAsia="zh-CN"/>
        </w:rPr>
      </w:pPr>
      <w:r>
        <w:rPr>
          <w:rFonts w:hint="default" w:ascii="Times New Roman" w:hAnsi="Times New Roman" w:eastAsia="仿宋_GB2312" w:cs="Times New Roman"/>
          <w:bCs/>
          <w:color w:val="auto"/>
          <w:sz w:val="32"/>
          <w:szCs w:val="32"/>
          <w:highlight w:val="none"/>
        </w:rPr>
        <w:t>以“循环赋能、提质扩链”为核心，聚焦硅业与盐化工两大支柱，推动绿色基材产业从“资源依赖型”向“技术驱动型”转型，实现与清洁能源产业协同发展。推动硅业提质扩链，重点实施工业硅技改工程，稳定核心产能</w:t>
      </w:r>
      <w:r>
        <w:rPr>
          <w:rFonts w:hint="default" w:ascii="Times New Roman" w:hAnsi="Times New Roman" w:eastAsia="仿宋_GB2312" w:cs="Times New Roman"/>
          <w:bCs/>
          <w:color w:val="auto"/>
          <w:sz w:val="32"/>
          <w:szCs w:val="32"/>
          <w:highlight w:val="none"/>
          <w:lang w:eastAsia="zh-CN"/>
        </w:rPr>
        <w:t>；</w:t>
      </w:r>
      <w:r>
        <w:rPr>
          <w:rFonts w:hint="default" w:ascii="Times New Roman" w:hAnsi="Times New Roman" w:eastAsia="仿宋_GB2312" w:cs="Times New Roman"/>
          <w:bCs/>
          <w:color w:val="auto"/>
          <w:sz w:val="32"/>
          <w:szCs w:val="32"/>
          <w:highlight w:val="none"/>
        </w:rPr>
        <w:t>深化产业链延伸，上游强化硅矿资源保障，下游精准招引光伏组件、半导体材料企业</w:t>
      </w:r>
      <w:r>
        <w:rPr>
          <w:rFonts w:hint="default" w:ascii="Times New Roman" w:hAnsi="Times New Roman" w:eastAsia="仿宋_GB2312" w:cs="Times New Roman"/>
          <w:bCs/>
          <w:color w:val="auto"/>
          <w:sz w:val="32"/>
          <w:szCs w:val="32"/>
          <w:highlight w:val="none"/>
          <w:lang w:eastAsia="zh-CN"/>
        </w:rPr>
        <w:t>，</w:t>
      </w:r>
      <w:r>
        <w:rPr>
          <w:rFonts w:hint="default" w:ascii="Times New Roman" w:hAnsi="Times New Roman" w:eastAsia="仿宋_GB2312" w:cs="Times New Roman"/>
          <w:bCs/>
          <w:color w:val="auto"/>
          <w:sz w:val="32"/>
          <w:szCs w:val="32"/>
          <w:highlight w:val="none"/>
        </w:rPr>
        <w:t>构建“基础硅料—中端制品—高端材料”产业链</w:t>
      </w:r>
      <w:r>
        <w:rPr>
          <w:rFonts w:hint="default" w:ascii="Times New Roman" w:hAnsi="Times New Roman" w:eastAsia="仿宋_GB2312" w:cs="Times New Roman"/>
          <w:bCs/>
          <w:color w:val="auto"/>
          <w:sz w:val="32"/>
          <w:szCs w:val="32"/>
          <w:highlight w:val="none"/>
          <w:lang w:eastAsia="zh-CN"/>
        </w:rPr>
        <w:t>，</w:t>
      </w:r>
      <w:r>
        <w:rPr>
          <w:rFonts w:hint="default" w:ascii="Times New Roman" w:hAnsi="Times New Roman" w:eastAsia="仿宋_GB2312" w:cs="Times New Roman"/>
          <w:bCs/>
          <w:color w:val="auto"/>
          <w:sz w:val="32"/>
          <w:szCs w:val="32"/>
          <w:highlight w:val="none"/>
        </w:rPr>
        <w:t>提升产业附加值</w:t>
      </w:r>
      <w:r>
        <w:rPr>
          <w:rFonts w:hint="default" w:ascii="Times New Roman" w:hAnsi="Times New Roman" w:eastAsia="仿宋_GB2312" w:cs="Times New Roman"/>
          <w:bCs/>
          <w:color w:val="auto"/>
          <w:sz w:val="32"/>
          <w:szCs w:val="32"/>
          <w:highlight w:val="none"/>
          <w:lang w:eastAsia="zh-CN"/>
        </w:rPr>
        <w:t>。</w:t>
      </w:r>
      <w:r>
        <w:rPr>
          <w:rFonts w:hint="default" w:ascii="Times New Roman" w:hAnsi="Times New Roman" w:eastAsia="仿宋_GB2312" w:cs="Times New Roman"/>
          <w:bCs/>
          <w:color w:val="auto"/>
          <w:sz w:val="32"/>
          <w:szCs w:val="32"/>
          <w:highlight w:val="none"/>
        </w:rPr>
        <w:t>推动盐化工绿色</w:t>
      </w:r>
      <w:r>
        <w:rPr>
          <w:rFonts w:hint="default" w:ascii="Times New Roman" w:hAnsi="Times New Roman" w:eastAsia="仿宋_GB2312" w:cs="Times New Roman"/>
          <w:bCs/>
          <w:color w:val="auto"/>
          <w:sz w:val="32"/>
          <w:szCs w:val="32"/>
          <w:highlight w:val="none"/>
          <w:lang w:val="en-US" w:eastAsia="zh-CN"/>
        </w:rPr>
        <w:t>转型</w:t>
      </w:r>
      <w:r>
        <w:rPr>
          <w:rFonts w:hint="default" w:ascii="Times New Roman" w:hAnsi="Times New Roman" w:eastAsia="仿宋_GB2312" w:cs="Times New Roman"/>
          <w:bCs/>
          <w:color w:val="auto"/>
          <w:sz w:val="32"/>
          <w:szCs w:val="32"/>
          <w:highlight w:val="none"/>
        </w:rPr>
        <w:t>，加大技改与节能减排投入，提升废盐泥渣资源化水平，推动工业固废综合利用率显著提高、污染物排放强度持续下降；优先消纳本地清洁能源，替代传统能源供给，将资源优势转化为绿色产能，助力全县工业绿色低碳转型</w:t>
      </w:r>
      <w:r>
        <w:rPr>
          <w:rFonts w:hint="default" w:ascii="Times New Roman" w:hAnsi="Times New Roman" w:eastAsia="仿宋_GB2312" w:cs="Times New Roman"/>
          <w:bCs/>
          <w:color w:val="auto"/>
          <w:sz w:val="32"/>
          <w:szCs w:val="32"/>
          <w:highlight w:val="none"/>
          <w:lang w:eastAsia="zh-CN"/>
        </w:rPr>
        <w:t>。</w:t>
      </w:r>
    </w:p>
    <w:p w14:paraId="5CD028D4">
      <w:pPr>
        <w:keepNext/>
        <w:widowControl w:val="0"/>
        <w:numPr>
          <w:ilvl w:val="0"/>
          <w:numId w:val="14"/>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180" w:name="_Toc4273"/>
      <w:bookmarkStart w:id="181" w:name="_Toc14184"/>
      <w:bookmarkStart w:id="182" w:name="_Toc7002"/>
      <w:bookmarkStart w:id="183" w:name="_Toc29258"/>
      <w:r>
        <w:rPr>
          <w:rFonts w:hint="default" w:ascii="Times New Roman" w:hAnsi="Times New Roman" w:eastAsia="楷体_GB2312" w:cs="Times New Roman"/>
          <w:b/>
          <w:bCs w:val="0"/>
          <w:color w:val="auto"/>
          <w:kern w:val="2"/>
          <w:sz w:val="32"/>
          <w:szCs w:val="32"/>
          <w:highlight w:val="none"/>
          <w:lang w:val="en-US" w:eastAsia="zh-CN" w:bidi="ar-SA"/>
        </w:rPr>
        <w:t>增强工业园区集聚效应</w:t>
      </w:r>
      <w:bookmarkEnd w:id="180"/>
      <w:bookmarkEnd w:id="181"/>
      <w:bookmarkEnd w:id="182"/>
      <w:bookmarkEnd w:id="183"/>
    </w:p>
    <w:p w14:paraId="48B363A9">
      <w:pPr>
        <w:bidi w:val="0"/>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color w:val="auto"/>
          <w:sz w:val="32"/>
          <w:szCs w:val="33"/>
          <w:highlight w:val="none"/>
          <w:lang w:val="en-US" w:eastAsia="zh-CN"/>
        </w:rPr>
        <w:t>以打造现代化工业园区为目标，强化载体平台支撑，推动产业集中集聚、高效发展</w:t>
      </w:r>
      <w:r>
        <w:rPr>
          <w:rFonts w:hint="default" w:ascii="Times New Roman" w:hAnsi="Times New Roman" w:eastAsia="仿宋_GB2312" w:cs="Times New Roman"/>
          <w:color w:val="auto"/>
          <w:sz w:val="32"/>
          <w:szCs w:val="22"/>
          <w:highlight w:val="none"/>
          <w:lang w:val="en-US" w:eastAsia="zh-CN"/>
        </w:rPr>
        <w:t>。优化园区布局和产业集聚，提高工业园区产业集中度，引导绿色食品精深加工、医疗康养用品制造、光伏开发、高纯硅材料等产业规范入园集聚；做优做强理县绿色产业园区，加快推动下孟工业</w:t>
      </w:r>
      <w:r>
        <w:rPr>
          <w:rFonts w:hint="eastAsia" w:cs="Times New Roman"/>
          <w:color w:val="auto"/>
          <w:sz w:val="32"/>
          <w:szCs w:val="22"/>
          <w:highlight w:val="none"/>
          <w:lang w:val="en-US" w:eastAsia="zh-CN"/>
        </w:rPr>
        <w:t>集中区</w:t>
      </w:r>
      <w:r>
        <w:rPr>
          <w:rFonts w:hint="default" w:ascii="Times New Roman" w:hAnsi="Times New Roman" w:eastAsia="仿宋_GB2312" w:cs="Times New Roman"/>
          <w:color w:val="auto"/>
          <w:sz w:val="32"/>
          <w:szCs w:val="22"/>
          <w:highlight w:val="none"/>
          <w:lang w:val="en-US" w:eastAsia="zh-CN"/>
        </w:rPr>
        <w:t>纳入省级合规园区，形成主导产业特色鲜明的园区发展格局。推动资源集约高效利用，严格落实土地集约利用要求，提高单位土地产出效率；依法清理盘活闲置资源资产，释放园区发展空间；扎实推进重点工业</w:t>
      </w:r>
      <w:r>
        <w:rPr>
          <w:rFonts w:hint="eastAsia" w:cs="Times New Roman"/>
          <w:color w:val="auto"/>
          <w:sz w:val="32"/>
          <w:szCs w:val="22"/>
          <w:highlight w:val="none"/>
          <w:lang w:val="en-US" w:eastAsia="zh-CN"/>
        </w:rPr>
        <w:t>企业梯度培育</w:t>
      </w:r>
      <w:r>
        <w:rPr>
          <w:rFonts w:hint="default" w:ascii="Times New Roman" w:hAnsi="Times New Roman" w:eastAsia="仿宋_GB2312" w:cs="Times New Roman"/>
          <w:color w:val="auto"/>
          <w:sz w:val="32"/>
          <w:szCs w:val="22"/>
          <w:highlight w:val="none"/>
          <w:lang w:val="en-US" w:eastAsia="zh-CN"/>
        </w:rPr>
        <w:t>培优计划，壮大园区产业主体。完善园区功能配套，推进园区骨干路网、水电气等基础设施建设，改善周边交通配套条件；完善员工公寓、餐饮中心等生活设施，以及产品展示、商务接洽、后勤保障、集中办公等生产服务配套，提升园区承载能力与吸引力。深化“飞地经济”合作，依托成阿、德阿、绵阿等飞地园区，深入实践优势互补、园区共建、利益共享的合作发展模式，借力外部资源拓展产业发展空间，推动县域产业与飞地园区协同升级。</w:t>
      </w:r>
    </w:p>
    <w:p w14:paraId="2A4FD36F">
      <w:pPr>
        <w:keepNext/>
        <w:widowControl w:val="0"/>
        <w:numPr>
          <w:ilvl w:val="0"/>
          <w:numId w:val="14"/>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184" w:name="_Toc13209"/>
      <w:bookmarkStart w:id="185" w:name="_Toc21356"/>
      <w:bookmarkStart w:id="186" w:name="_Toc19231"/>
      <w:bookmarkStart w:id="187" w:name="_Toc3284"/>
      <w:r>
        <w:rPr>
          <w:rFonts w:hint="default" w:ascii="Times New Roman" w:hAnsi="Times New Roman" w:eastAsia="楷体_GB2312" w:cs="Times New Roman"/>
          <w:b/>
          <w:bCs w:val="0"/>
          <w:color w:val="auto"/>
          <w:kern w:val="2"/>
          <w:sz w:val="32"/>
          <w:szCs w:val="32"/>
          <w:highlight w:val="none"/>
          <w:lang w:val="en-US" w:eastAsia="zh-CN" w:bidi="ar-SA"/>
        </w:rPr>
        <w:t>加快制造业数智化转型</w:t>
      </w:r>
      <w:bookmarkEnd w:id="184"/>
      <w:bookmarkEnd w:id="185"/>
      <w:bookmarkEnd w:id="186"/>
      <w:bookmarkEnd w:id="187"/>
    </w:p>
    <w:p w14:paraId="40150884">
      <w:pPr>
        <w:bidi w:val="0"/>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color w:val="auto"/>
          <w:sz w:val="32"/>
          <w:szCs w:val="22"/>
          <w:highlight w:val="none"/>
          <w:lang w:val="en-US" w:eastAsia="zh-CN"/>
        </w:rPr>
        <w:t>实施制造业技术改造升级工程，加快设备更新、工艺升级、数智赋能，推动传统制造业向智能化、绿色化、融合化方向转型。加快先进适用技术推广应用，推动产业园区数智化改造升级，加速数字化车间、智能工厂建设，推进普惠性制造企业“上云用数赋智”服务，推动中小企业上云用平台，深化人工智能、5G、大数据等新一代信息技术在制造业中的融合应用。大力推进企业智改数转网联，引导企业对标先进，综合运用新装备、新材料、新工艺、新产品提升产品质量和附加值，鼓励重点企业从生产智能化向设计、管理、仓储、物流和服务等全流程智能化拓展。实施重点领域碳达峰行动，引导重点企业实施节能降碳技术改造，推进传统工业向新型绿色工业转换。鼓励金融机构针对技术改造项目提供技改专项贷。</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7F0F4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00" w:type="pct"/>
            <w:shd w:val="clear" w:color="auto" w:fill="7F7F7F" w:themeFill="text1" w:themeFillTint="7F"/>
            <w:vAlign w:val="center"/>
          </w:tcPr>
          <w:p w14:paraId="02A3EA4D">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center"/>
              <w:rPr>
                <w:rFonts w:hint="default" w:ascii="Times New Roman" w:hAnsi="Times New Roman" w:eastAsia="黑体" w:cs="Times New Roman"/>
                <w:color w:val="auto"/>
                <w:kern w:val="2"/>
                <w:sz w:val="30"/>
                <w:szCs w:val="22"/>
                <w:highlight w:val="none"/>
                <w:lang w:val="en-US" w:eastAsia="zh-CN"/>
              </w:rPr>
            </w:pPr>
            <w:r>
              <w:rPr>
                <w:rFonts w:hint="default" w:ascii="Times New Roman" w:hAnsi="Times New Roman" w:eastAsia="黑体" w:cs="Times New Roman"/>
                <w:b/>
                <w:bCs/>
                <w:color w:val="auto"/>
                <w:kern w:val="0"/>
                <w:sz w:val="28"/>
                <w:szCs w:val="28"/>
                <w:highlight w:val="none"/>
                <w:lang w:bidi="ar"/>
              </w:rPr>
              <w:t>专栏</w:t>
            </w:r>
            <w:r>
              <w:rPr>
                <w:rFonts w:hint="default" w:ascii="Times New Roman" w:hAnsi="Times New Roman" w:eastAsia="黑体" w:cs="Times New Roman"/>
                <w:b/>
                <w:bCs/>
                <w:color w:val="auto"/>
                <w:kern w:val="0"/>
                <w:sz w:val="28"/>
                <w:szCs w:val="28"/>
                <w:highlight w:val="none"/>
                <w:lang w:val="en-US" w:eastAsia="zh-CN" w:bidi="ar"/>
              </w:rPr>
              <w:t>6</w:t>
            </w:r>
            <w:r>
              <w:rPr>
                <w:rFonts w:hint="default" w:ascii="Times New Roman" w:hAnsi="Times New Roman" w:eastAsia="黑体" w:cs="Times New Roman"/>
                <w:b/>
                <w:bCs/>
                <w:color w:val="auto"/>
                <w:kern w:val="0"/>
                <w:sz w:val="28"/>
                <w:szCs w:val="28"/>
                <w:highlight w:val="none"/>
                <w:lang w:bidi="ar"/>
              </w:rPr>
              <w:t xml:space="preserve"> </w:t>
            </w:r>
            <w:r>
              <w:rPr>
                <w:rFonts w:hint="default" w:ascii="Times New Roman" w:hAnsi="Times New Roman" w:eastAsia="黑体" w:cs="Times New Roman"/>
                <w:b/>
                <w:bCs/>
                <w:color w:val="auto"/>
                <w:kern w:val="0"/>
                <w:sz w:val="28"/>
                <w:szCs w:val="28"/>
                <w:highlight w:val="none"/>
                <w:lang w:val="en-US" w:eastAsia="zh-CN" w:bidi="ar"/>
              </w:rPr>
              <w:t xml:space="preserve"> 绿色低碳工业重点工程</w:t>
            </w:r>
          </w:p>
        </w:tc>
      </w:tr>
      <w:tr w14:paraId="6E197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tcPr>
          <w:p w14:paraId="4C9A05E7">
            <w:pPr>
              <w:keepNext w:val="0"/>
              <w:keepLines w:val="0"/>
              <w:pageBreakBefore w:val="0"/>
              <w:widowControl/>
              <w:numPr>
                <w:ilvl w:val="0"/>
                <w:numId w:val="13"/>
              </w:numPr>
              <w:kinsoku/>
              <w:wordWrap/>
              <w:overflowPunct/>
              <w:topLinePunct w:val="0"/>
              <w:autoSpaceDE/>
              <w:autoSpaceDN/>
              <w:bidi w:val="0"/>
              <w:adjustRightInd w:val="0"/>
              <w:snapToGrid w:val="0"/>
              <w:spacing w:line="440" w:lineRule="exact"/>
              <w:ind w:left="420" w:leftChars="0" w:hanging="420" w:firstLineChars="0"/>
              <w:jc w:val="left"/>
              <w:textAlignment w:val="auto"/>
              <w:rPr>
                <w:rFonts w:hint="default" w:ascii="Times New Roman" w:hAnsi="Times New Roman" w:eastAsia="仿宋_GB2312" w:cs="Times New Roman"/>
                <w:b/>
                <w:bCs/>
                <w:color w:val="auto"/>
                <w:kern w:val="2"/>
                <w:sz w:val="28"/>
                <w:szCs w:val="28"/>
                <w:highlight w:val="none"/>
                <w:lang w:val="en-US" w:eastAsia="zh-CN"/>
              </w:rPr>
            </w:pPr>
            <w:r>
              <w:rPr>
                <w:rFonts w:hint="default" w:ascii="Times New Roman" w:hAnsi="Times New Roman" w:eastAsia="仿宋_GB2312" w:cs="Times New Roman"/>
                <w:b/>
                <w:bCs/>
                <w:color w:val="auto"/>
                <w:kern w:val="2"/>
                <w:sz w:val="28"/>
                <w:szCs w:val="28"/>
                <w:highlight w:val="none"/>
                <w:lang w:val="en-US" w:eastAsia="zh-CN"/>
              </w:rPr>
              <w:t>清洁能源产业：</w:t>
            </w:r>
            <w:r>
              <w:rPr>
                <w:rFonts w:hint="eastAsia" w:cs="Times New Roman"/>
                <w:b w:val="0"/>
                <w:bCs w:val="0"/>
                <w:color w:val="auto"/>
                <w:kern w:val="2"/>
                <w:sz w:val="28"/>
                <w:szCs w:val="28"/>
                <w:highlight w:val="none"/>
                <w:lang w:val="en-US" w:eastAsia="zh-CN"/>
              </w:rPr>
              <w:t>1.</w:t>
            </w:r>
            <w:r>
              <w:rPr>
                <w:rFonts w:hint="eastAsia" w:ascii="Times New Roman" w:hAnsi="Times New Roman" w:eastAsia="仿宋_GB2312" w:cs="Times New Roman"/>
                <w:b w:val="0"/>
                <w:bCs w:val="0"/>
                <w:color w:val="auto"/>
                <w:kern w:val="2"/>
                <w:sz w:val="28"/>
                <w:szCs w:val="28"/>
                <w:highlight w:val="none"/>
                <w:lang w:val="en-US" w:eastAsia="zh-CN"/>
              </w:rPr>
              <w:t>实施米亚罗镇梯级电站建设项目、理县1#地块凉水井光伏项目</w:t>
            </w:r>
            <w:r>
              <w:rPr>
                <w:rFonts w:hint="eastAsia" w:cs="Times New Roman"/>
                <w:b w:val="0"/>
                <w:bCs w:val="0"/>
                <w:color w:val="auto"/>
                <w:kern w:val="2"/>
                <w:sz w:val="28"/>
                <w:szCs w:val="28"/>
                <w:highlight w:val="none"/>
                <w:lang w:val="en-US" w:eastAsia="zh-CN"/>
              </w:rPr>
              <w:t>。2.</w:t>
            </w:r>
            <w:r>
              <w:rPr>
                <w:rFonts w:hint="eastAsia" w:ascii="Times New Roman" w:hAnsi="Times New Roman" w:eastAsia="仿宋_GB2312" w:cs="Times New Roman"/>
                <w:b w:val="0"/>
                <w:bCs w:val="0"/>
                <w:color w:val="auto"/>
                <w:kern w:val="2"/>
                <w:sz w:val="28"/>
                <w:szCs w:val="28"/>
                <w:highlight w:val="none"/>
                <w:lang w:val="en-US" w:eastAsia="zh-CN"/>
              </w:rPr>
              <w:t>推进理县蒲溪乡太阳能新能源设施建设项目前期工作</w:t>
            </w:r>
            <w:r>
              <w:rPr>
                <w:rFonts w:hint="eastAsia" w:cs="Times New Roman"/>
                <w:b w:val="0"/>
                <w:bCs w:val="0"/>
                <w:color w:val="auto"/>
                <w:kern w:val="2"/>
                <w:sz w:val="28"/>
                <w:szCs w:val="28"/>
                <w:highlight w:val="none"/>
                <w:lang w:val="en-US" w:eastAsia="zh-CN"/>
              </w:rPr>
              <w:t>。3.</w:t>
            </w:r>
            <w:r>
              <w:rPr>
                <w:rFonts w:hint="eastAsia" w:ascii="Times New Roman" w:hAnsi="Times New Roman" w:eastAsia="仿宋_GB2312" w:cs="Times New Roman"/>
                <w:b w:val="0"/>
                <w:bCs w:val="0"/>
                <w:color w:val="auto"/>
                <w:kern w:val="2"/>
                <w:sz w:val="28"/>
                <w:szCs w:val="28"/>
                <w:highlight w:val="none"/>
                <w:lang w:val="en-US" w:eastAsia="zh-CN"/>
              </w:rPr>
              <w:t>开展大板召水电站、理县三岔沟流域电站</w:t>
            </w:r>
            <w:r>
              <w:rPr>
                <w:rFonts w:hint="eastAsia" w:cs="Times New Roman"/>
                <w:b w:val="0"/>
                <w:bCs w:val="0"/>
                <w:color w:val="auto"/>
                <w:kern w:val="2"/>
                <w:sz w:val="28"/>
                <w:szCs w:val="28"/>
                <w:highlight w:val="none"/>
                <w:lang w:val="en-US" w:eastAsia="zh-CN"/>
              </w:rPr>
              <w:t>、理县福兴公司光伏、理县风力发电建设、理县空气储能建设</w:t>
            </w:r>
            <w:r>
              <w:rPr>
                <w:rFonts w:hint="eastAsia" w:ascii="Times New Roman" w:hAnsi="Times New Roman" w:eastAsia="仿宋_GB2312" w:cs="Times New Roman"/>
                <w:b w:val="0"/>
                <w:bCs w:val="0"/>
                <w:color w:val="auto"/>
                <w:kern w:val="2"/>
                <w:sz w:val="28"/>
                <w:szCs w:val="28"/>
                <w:highlight w:val="none"/>
                <w:lang w:val="en-US" w:eastAsia="zh-CN"/>
              </w:rPr>
              <w:t>等</w:t>
            </w:r>
            <w:r>
              <w:rPr>
                <w:rFonts w:hint="eastAsia" w:cs="Times New Roman"/>
                <w:b w:val="0"/>
                <w:bCs w:val="0"/>
                <w:color w:val="auto"/>
                <w:kern w:val="2"/>
                <w:sz w:val="28"/>
                <w:szCs w:val="28"/>
                <w:highlight w:val="none"/>
                <w:lang w:val="en-US" w:eastAsia="zh-CN"/>
              </w:rPr>
              <w:t>项目</w:t>
            </w:r>
            <w:r>
              <w:rPr>
                <w:rFonts w:hint="default" w:ascii="Times New Roman" w:hAnsi="Times New Roman" w:eastAsia="仿宋_GB2312" w:cs="Times New Roman"/>
                <w:b w:val="0"/>
                <w:bCs w:val="0"/>
                <w:color w:val="auto"/>
                <w:kern w:val="2"/>
                <w:sz w:val="28"/>
                <w:szCs w:val="28"/>
                <w:highlight w:val="none"/>
                <w:lang w:val="en-US" w:eastAsia="zh-CN"/>
              </w:rPr>
              <w:t>论证工作。</w:t>
            </w:r>
          </w:p>
          <w:p w14:paraId="64F6E724">
            <w:pPr>
              <w:keepNext w:val="0"/>
              <w:keepLines w:val="0"/>
              <w:pageBreakBefore w:val="0"/>
              <w:widowControl/>
              <w:numPr>
                <w:ilvl w:val="0"/>
                <w:numId w:val="13"/>
              </w:numPr>
              <w:kinsoku/>
              <w:wordWrap/>
              <w:overflowPunct/>
              <w:topLinePunct w:val="0"/>
              <w:autoSpaceDE/>
              <w:autoSpaceDN/>
              <w:bidi w:val="0"/>
              <w:adjustRightInd w:val="0"/>
              <w:snapToGrid w:val="0"/>
              <w:spacing w:line="440" w:lineRule="exact"/>
              <w:ind w:left="420" w:leftChars="0" w:hanging="420" w:firstLineChars="0"/>
              <w:jc w:val="left"/>
              <w:textAlignment w:val="auto"/>
              <w:rPr>
                <w:rFonts w:hint="default" w:ascii="Times New Roman" w:hAnsi="Times New Roman" w:eastAsia="仿宋_GB2312" w:cs="Times New Roman"/>
                <w:b w:val="0"/>
                <w:bCs w:val="0"/>
                <w:color w:val="auto"/>
                <w:kern w:val="2"/>
                <w:sz w:val="28"/>
                <w:szCs w:val="28"/>
                <w:highlight w:val="none"/>
                <w:lang w:val="en-US" w:eastAsia="zh-CN"/>
              </w:rPr>
            </w:pPr>
            <w:r>
              <w:rPr>
                <w:rFonts w:hint="default" w:ascii="Times New Roman" w:hAnsi="Times New Roman" w:eastAsia="仿宋_GB2312" w:cs="Times New Roman"/>
                <w:b/>
                <w:bCs/>
                <w:color w:val="auto"/>
                <w:kern w:val="2"/>
                <w:sz w:val="28"/>
                <w:szCs w:val="28"/>
                <w:highlight w:val="none"/>
                <w:lang w:val="en-US" w:eastAsia="zh-CN"/>
              </w:rPr>
              <w:t>其他工业产业：</w:t>
            </w:r>
            <w:r>
              <w:rPr>
                <w:rFonts w:hint="eastAsia" w:cs="Times New Roman"/>
                <w:b w:val="0"/>
                <w:bCs w:val="0"/>
                <w:color w:val="auto"/>
                <w:kern w:val="2"/>
                <w:sz w:val="28"/>
                <w:szCs w:val="28"/>
                <w:highlight w:val="none"/>
                <w:lang w:val="en-US" w:eastAsia="zh-CN"/>
              </w:rPr>
              <w:t>1.</w:t>
            </w:r>
            <w:r>
              <w:rPr>
                <w:rFonts w:hint="default" w:ascii="Times New Roman" w:hAnsi="Times New Roman" w:eastAsia="仿宋_GB2312" w:cs="Times New Roman"/>
                <w:b w:val="0"/>
                <w:bCs w:val="0"/>
                <w:color w:val="auto"/>
                <w:kern w:val="2"/>
                <w:sz w:val="28"/>
                <w:szCs w:val="28"/>
                <w:highlight w:val="none"/>
                <w:lang w:val="en-US" w:eastAsia="zh-CN"/>
              </w:rPr>
              <w:t>实施理县天然矿泉水生产线（新建）、青稞产业园、理县生活垃圾焚烧炉渣综合利用</w:t>
            </w:r>
            <w:r>
              <w:rPr>
                <w:rFonts w:hint="eastAsia" w:cs="Times New Roman"/>
                <w:b w:val="0"/>
                <w:bCs w:val="0"/>
                <w:color w:val="auto"/>
                <w:kern w:val="2"/>
                <w:sz w:val="28"/>
                <w:szCs w:val="28"/>
                <w:highlight w:val="none"/>
                <w:lang w:val="en-US" w:eastAsia="zh-CN"/>
              </w:rPr>
              <w:t>、</w:t>
            </w:r>
            <w:r>
              <w:rPr>
                <w:rFonts w:hint="default" w:ascii="Times New Roman" w:hAnsi="Times New Roman" w:eastAsia="仿宋_GB2312" w:cs="Times New Roman"/>
                <w:b w:val="0"/>
                <w:bCs w:val="0"/>
                <w:color w:val="auto"/>
                <w:kern w:val="2"/>
                <w:sz w:val="28"/>
                <w:szCs w:val="28"/>
                <w:highlight w:val="none"/>
                <w:lang w:val="en-US" w:eastAsia="zh-CN"/>
              </w:rPr>
              <w:t>理县热拌站、年产300吨焰熔法合成刚玉高纯氧化铝粉等</w:t>
            </w:r>
            <w:r>
              <w:rPr>
                <w:rFonts w:hint="eastAsia" w:cs="Times New Roman"/>
                <w:b w:val="0"/>
                <w:bCs w:val="0"/>
                <w:color w:val="auto"/>
                <w:kern w:val="2"/>
                <w:sz w:val="28"/>
                <w:szCs w:val="28"/>
                <w:highlight w:val="none"/>
                <w:lang w:val="en-US" w:eastAsia="zh-CN"/>
              </w:rPr>
              <w:t>项目</w:t>
            </w:r>
            <w:r>
              <w:rPr>
                <w:rFonts w:hint="default" w:ascii="Times New Roman" w:hAnsi="Times New Roman" w:eastAsia="仿宋_GB2312" w:cs="Times New Roman"/>
                <w:b w:val="0"/>
                <w:bCs w:val="0"/>
                <w:color w:val="auto"/>
                <w:kern w:val="2"/>
                <w:sz w:val="28"/>
                <w:szCs w:val="28"/>
                <w:highlight w:val="none"/>
                <w:lang w:val="en-US" w:eastAsia="zh-CN"/>
              </w:rPr>
              <w:t>。</w:t>
            </w:r>
            <w:r>
              <w:rPr>
                <w:rFonts w:hint="eastAsia" w:cs="Times New Roman"/>
                <w:b w:val="0"/>
                <w:bCs w:val="0"/>
                <w:color w:val="auto"/>
                <w:kern w:val="2"/>
                <w:sz w:val="28"/>
                <w:szCs w:val="28"/>
                <w:highlight w:val="none"/>
                <w:lang w:val="en-US" w:eastAsia="zh-CN"/>
              </w:rPr>
              <w:t>2.开展理县福兴公司30万吨/年绿色基材（工业硅）项目</w:t>
            </w:r>
            <w:r>
              <w:rPr>
                <w:rFonts w:hint="default" w:ascii="Times New Roman" w:hAnsi="Times New Roman" w:eastAsia="仿宋_GB2312" w:cs="Times New Roman"/>
                <w:b w:val="0"/>
                <w:bCs w:val="0"/>
                <w:color w:val="auto"/>
                <w:kern w:val="2"/>
                <w:sz w:val="28"/>
                <w:szCs w:val="28"/>
                <w:highlight w:val="none"/>
                <w:lang w:val="en-US" w:eastAsia="zh-CN"/>
              </w:rPr>
              <w:t>论证工作</w:t>
            </w:r>
            <w:r>
              <w:rPr>
                <w:rFonts w:hint="eastAsia" w:cs="Times New Roman"/>
                <w:b w:val="0"/>
                <w:bCs w:val="0"/>
                <w:color w:val="auto"/>
                <w:kern w:val="2"/>
                <w:sz w:val="28"/>
                <w:szCs w:val="28"/>
                <w:highlight w:val="none"/>
                <w:lang w:val="en-US" w:eastAsia="zh-CN"/>
              </w:rPr>
              <w:t>。</w:t>
            </w:r>
          </w:p>
          <w:p w14:paraId="4C97D1C1">
            <w:pPr>
              <w:keepNext w:val="0"/>
              <w:keepLines w:val="0"/>
              <w:pageBreakBefore w:val="0"/>
              <w:widowControl/>
              <w:numPr>
                <w:ilvl w:val="0"/>
                <w:numId w:val="13"/>
              </w:numPr>
              <w:kinsoku/>
              <w:wordWrap/>
              <w:overflowPunct/>
              <w:topLinePunct w:val="0"/>
              <w:autoSpaceDE/>
              <w:autoSpaceDN/>
              <w:bidi w:val="0"/>
              <w:adjustRightInd w:val="0"/>
              <w:snapToGrid w:val="0"/>
              <w:spacing w:line="440" w:lineRule="exact"/>
              <w:ind w:left="420" w:leftChars="0" w:hanging="420" w:firstLineChars="0"/>
              <w:jc w:val="left"/>
              <w:textAlignment w:val="auto"/>
              <w:rPr>
                <w:rFonts w:hint="default" w:ascii="Times New Roman" w:hAnsi="Times New Roman" w:eastAsia="仿宋_GB2312" w:cs="Times New Roman"/>
                <w:b w:val="0"/>
                <w:bCs w:val="0"/>
                <w:color w:val="auto"/>
                <w:kern w:val="2"/>
                <w:sz w:val="28"/>
                <w:szCs w:val="28"/>
                <w:highlight w:val="none"/>
                <w:lang w:val="en-US" w:eastAsia="zh-CN"/>
              </w:rPr>
            </w:pPr>
            <w:r>
              <w:rPr>
                <w:rFonts w:hint="default" w:ascii="Times New Roman" w:hAnsi="Times New Roman" w:eastAsia="仿宋_GB2312" w:cs="Times New Roman"/>
                <w:b/>
                <w:bCs/>
                <w:color w:val="auto"/>
                <w:kern w:val="2"/>
                <w:sz w:val="28"/>
                <w:szCs w:val="28"/>
                <w:highlight w:val="none"/>
                <w:lang w:val="en-US" w:eastAsia="zh-CN"/>
              </w:rPr>
              <w:t>工业园区提质增效</w:t>
            </w:r>
            <w:r>
              <w:rPr>
                <w:rFonts w:hint="default" w:ascii="Times New Roman" w:hAnsi="Times New Roman" w:eastAsia="仿宋_GB2312" w:cs="Times New Roman"/>
                <w:b w:val="0"/>
                <w:bCs w:val="0"/>
                <w:color w:val="auto"/>
                <w:kern w:val="2"/>
                <w:sz w:val="28"/>
                <w:szCs w:val="28"/>
                <w:highlight w:val="none"/>
                <w:lang w:val="en-US" w:eastAsia="zh-CN"/>
              </w:rPr>
              <w:t>：</w:t>
            </w:r>
            <w:r>
              <w:rPr>
                <w:rFonts w:hint="eastAsia" w:cs="Times New Roman"/>
                <w:b w:val="0"/>
                <w:bCs w:val="0"/>
                <w:color w:val="auto"/>
                <w:kern w:val="2"/>
                <w:sz w:val="28"/>
                <w:szCs w:val="28"/>
                <w:highlight w:val="none"/>
                <w:lang w:val="en-US" w:eastAsia="zh-CN"/>
              </w:rPr>
              <w:t>1.推进下孟工业集中区基础设施配套提升项目前期工作。2.开展园区变电站建设项目论证</w:t>
            </w:r>
            <w:r>
              <w:rPr>
                <w:rFonts w:hint="default" w:ascii="Times New Roman" w:hAnsi="Times New Roman" w:eastAsia="仿宋_GB2312" w:cs="Times New Roman"/>
                <w:b w:val="0"/>
                <w:bCs w:val="0"/>
                <w:color w:val="auto"/>
                <w:kern w:val="2"/>
                <w:sz w:val="28"/>
                <w:szCs w:val="28"/>
                <w:highlight w:val="none"/>
                <w:lang w:val="en-US" w:eastAsia="zh-CN"/>
              </w:rPr>
              <w:t>工作。</w:t>
            </w:r>
          </w:p>
          <w:p w14:paraId="15313DE1">
            <w:pPr>
              <w:keepNext w:val="0"/>
              <w:keepLines w:val="0"/>
              <w:pageBreakBefore w:val="0"/>
              <w:widowControl/>
              <w:numPr>
                <w:ilvl w:val="0"/>
                <w:numId w:val="13"/>
              </w:numPr>
              <w:kinsoku/>
              <w:wordWrap/>
              <w:overflowPunct/>
              <w:topLinePunct w:val="0"/>
              <w:autoSpaceDE/>
              <w:autoSpaceDN/>
              <w:bidi w:val="0"/>
              <w:adjustRightInd w:val="0"/>
              <w:snapToGrid w:val="0"/>
              <w:spacing w:line="440" w:lineRule="exact"/>
              <w:ind w:left="420" w:leftChars="0" w:hanging="420" w:firstLineChars="0"/>
              <w:jc w:val="left"/>
              <w:textAlignment w:val="auto"/>
              <w:rPr>
                <w:rFonts w:hint="default" w:ascii="Times New Roman" w:hAnsi="Times New Roman" w:eastAsia="仿宋_GB2312" w:cs="Times New Roman"/>
                <w:color w:val="auto"/>
                <w:sz w:val="32"/>
                <w:szCs w:val="22"/>
                <w:highlight w:val="none"/>
                <w:lang w:eastAsia="zh-CN"/>
              </w:rPr>
            </w:pPr>
            <w:r>
              <w:rPr>
                <w:rFonts w:hint="default" w:ascii="Times New Roman" w:hAnsi="Times New Roman" w:eastAsia="仿宋_GB2312" w:cs="Times New Roman"/>
                <w:b/>
                <w:bCs/>
                <w:color w:val="auto"/>
                <w:kern w:val="2"/>
                <w:sz w:val="28"/>
                <w:szCs w:val="28"/>
                <w:highlight w:val="none"/>
                <w:lang w:val="en-US" w:eastAsia="zh-CN"/>
              </w:rPr>
              <w:t>制造业数字化转型</w:t>
            </w:r>
            <w:r>
              <w:rPr>
                <w:rFonts w:hint="default" w:ascii="Times New Roman" w:hAnsi="Times New Roman" w:eastAsia="仿宋_GB2312" w:cs="Times New Roman"/>
                <w:b w:val="0"/>
                <w:bCs w:val="0"/>
                <w:color w:val="auto"/>
                <w:kern w:val="2"/>
                <w:sz w:val="28"/>
                <w:szCs w:val="28"/>
                <w:highlight w:val="none"/>
                <w:lang w:val="en-US" w:eastAsia="zh-CN"/>
              </w:rPr>
              <w:t>：</w:t>
            </w:r>
            <w:r>
              <w:rPr>
                <w:rFonts w:hint="eastAsia" w:cs="Times New Roman"/>
                <w:b w:val="0"/>
                <w:bCs w:val="0"/>
                <w:color w:val="auto"/>
                <w:kern w:val="2"/>
                <w:sz w:val="28"/>
                <w:szCs w:val="28"/>
                <w:highlight w:val="none"/>
                <w:lang w:val="en-US" w:eastAsia="zh-CN"/>
              </w:rPr>
              <w:t>1.</w:t>
            </w:r>
            <w:r>
              <w:rPr>
                <w:rFonts w:hint="default" w:ascii="Times New Roman" w:hAnsi="Times New Roman" w:eastAsia="仿宋_GB2312" w:cs="Times New Roman"/>
                <w:b w:val="0"/>
                <w:bCs w:val="0"/>
                <w:color w:val="auto"/>
                <w:kern w:val="2"/>
                <w:sz w:val="28"/>
                <w:szCs w:val="28"/>
                <w:highlight w:val="none"/>
                <w:lang w:val="en-US" w:eastAsia="zh-CN"/>
              </w:rPr>
              <w:t>推进福兴公司</w:t>
            </w:r>
            <w:r>
              <w:rPr>
                <w:rFonts w:hint="eastAsia" w:cs="Times New Roman"/>
                <w:b w:val="0"/>
                <w:bCs w:val="0"/>
                <w:color w:val="auto"/>
                <w:kern w:val="2"/>
                <w:sz w:val="28"/>
                <w:szCs w:val="28"/>
                <w:highlight w:val="none"/>
                <w:lang w:val="en-US" w:eastAsia="zh-CN"/>
              </w:rPr>
              <w:t>33000kVA</w:t>
            </w:r>
            <w:r>
              <w:rPr>
                <w:rFonts w:hint="default" w:ascii="Times New Roman" w:hAnsi="Times New Roman" w:eastAsia="仿宋_GB2312" w:cs="Times New Roman"/>
                <w:b w:val="0"/>
                <w:bCs w:val="0"/>
                <w:color w:val="auto"/>
                <w:kern w:val="2"/>
                <w:sz w:val="28"/>
                <w:szCs w:val="28"/>
                <w:highlight w:val="none"/>
                <w:lang w:val="en-US" w:eastAsia="zh-CN"/>
              </w:rPr>
              <w:t>矿热炉技改项目前期工作</w:t>
            </w:r>
            <w:r>
              <w:rPr>
                <w:rFonts w:hint="eastAsia" w:cs="Times New Roman"/>
                <w:b w:val="0"/>
                <w:bCs w:val="0"/>
                <w:color w:val="auto"/>
                <w:kern w:val="2"/>
                <w:sz w:val="28"/>
                <w:szCs w:val="28"/>
                <w:highlight w:val="none"/>
                <w:lang w:val="en-US" w:eastAsia="zh-CN"/>
              </w:rPr>
              <w:t>。2.开展</w:t>
            </w:r>
            <w:r>
              <w:rPr>
                <w:rFonts w:hint="default" w:ascii="Times New Roman" w:hAnsi="Times New Roman" w:eastAsia="仿宋_GB2312" w:cs="Times New Roman"/>
                <w:b w:val="0"/>
                <w:bCs w:val="0"/>
                <w:color w:val="auto"/>
                <w:kern w:val="2"/>
                <w:sz w:val="28"/>
                <w:szCs w:val="28"/>
                <w:highlight w:val="none"/>
                <w:lang w:val="en-US" w:eastAsia="zh-CN"/>
              </w:rPr>
              <w:t>阿坝州米老头生态农业科技开发有限公司技改扩能项目（二期）</w:t>
            </w:r>
            <w:r>
              <w:rPr>
                <w:rFonts w:hint="eastAsia" w:cs="Times New Roman"/>
                <w:b w:val="0"/>
                <w:bCs w:val="0"/>
                <w:color w:val="auto"/>
                <w:kern w:val="2"/>
                <w:sz w:val="28"/>
                <w:szCs w:val="28"/>
                <w:highlight w:val="none"/>
                <w:lang w:val="en-US" w:eastAsia="zh-CN"/>
              </w:rPr>
              <w:t>论证</w:t>
            </w:r>
            <w:r>
              <w:rPr>
                <w:rFonts w:hint="default" w:ascii="Times New Roman" w:hAnsi="Times New Roman" w:eastAsia="仿宋_GB2312" w:cs="Times New Roman"/>
                <w:b w:val="0"/>
                <w:bCs w:val="0"/>
                <w:color w:val="auto"/>
                <w:kern w:val="2"/>
                <w:sz w:val="28"/>
                <w:szCs w:val="28"/>
                <w:highlight w:val="none"/>
                <w:lang w:val="en-US" w:eastAsia="zh-CN"/>
              </w:rPr>
              <w:t>工作。</w:t>
            </w:r>
          </w:p>
        </w:tc>
      </w:tr>
    </w:tbl>
    <w:p w14:paraId="26B51B33">
      <w:pPr>
        <w:keepNext/>
        <w:widowControl w:val="0"/>
        <w:numPr>
          <w:ilvl w:val="0"/>
          <w:numId w:val="1"/>
        </w:numPr>
        <w:bidi w:val="0"/>
        <w:snapToGrid w:val="0"/>
        <w:spacing w:before="100" w:beforeLines="100" w:after="100" w:afterLines="100" w:line="560" w:lineRule="exact"/>
        <w:ind w:left="0" w:leftChars="0" w:firstLine="0" w:firstLineChars="0"/>
        <w:jc w:val="center"/>
        <w:outlineLvl w:val="1"/>
        <w:rPr>
          <w:rFonts w:hint="default" w:ascii="Times New Roman" w:hAnsi="Times New Roman" w:eastAsia="黑体" w:cs="Times New Roman"/>
          <w:color w:val="auto"/>
          <w:kern w:val="2"/>
          <w:sz w:val="32"/>
          <w:szCs w:val="24"/>
          <w:highlight w:val="none"/>
          <w:lang w:val="en-US" w:eastAsia="zh-CN" w:bidi="ar-SA"/>
        </w:rPr>
      </w:pPr>
      <w:bookmarkStart w:id="188" w:name="_Toc15540"/>
      <w:bookmarkStart w:id="189" w:name="_Toc22900"/>
      <w:r>
        <w:rPr>
          <w:rFonts w:hint="default" w:ascii="Times New Roman" w:hAnsi="Times New Roman" w:eastAsia="黑体" w:cs="Times New Roman"/>
          <w:color w:val="auto"/>
          <w:kern w:val="2"/>
          <w:sz w:val="32"/>
          <w:szCs w:val="24"/>
          <w:highlight w:val="none"/>
          <w:lang w:val="en-US" w:eastAsia="zh-CN" w:bidi="ar-SA"/>
        </w:rPr>
        <w:t xml:space="preserve"> </w:t>
      </w:r>
      <w:bookmarkStart w:id="190" w:name="_Toc18746"/>
      <w:bookmarkStart w:id="191" w:name="_Toc9592"/>
      <w:r>
        <w:rPr>
          <w:rFonts w:hint="default" w:ascii="Times New Roman" w:hAnsi="Times New Roman" w:eastAsia="黑体" w:cs="Times New Roman"/>
          <w:color w:val="auto"/>
          <w:kern w:val="2"/>
          <w:sz w:val="32"/>
          <w:szCs w:val="24"/>
          <w:highlight w:val="none"/>
          <w:lang w:val="en-US" w:eastAsia="zh-CN" w:bidi="ar-SA"/>
        </w:rPr>
        <w:t>提质发展现代服务业</w:t>
      </w:r>
      <w:bookmarkEnd w:id="188"/>
      <w:bookmarkEnd w:id="189"/>
      <w:bookmarkEnd w:id="190"/>
      <w:bookmarkEnd w:id="191"/>
    </w:p>
    <w:p w14:paraId="6EC0D2F0">
      <w:pPr>
        <w:keepNext/>
        <w:widowControl w:val="0"/>
        <w:numPr>
          <w:ilvl w:val="0"/>
          <w:numId w:val="15"/>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192" w:name="_Toc28857"/>
      <w:bookmarkStart w:id="193" w:name="_Toc27432"/>
      <w:bookmarkStart w:id="194" w:name="_Toc4679"/>
      <w:bookmarkStart w:id="195" w:name="_Toc12368"/>
      <w:r>
        <w:rPr>
          <w:rFonts w:hint="default" w:ascii="Times New Roman" w:hAnsi="Times New Roman" w:eastAsia="楷体_GB2312" w:cs="Times New Roman"/>
          <w:b/>
          <w:bCs w:val="0"/>
          <w:color w:val="auto"/>
          <w:kern w:val="2"/>
          <w:sz w:val="32"/>
          <w:szCs w:val="32"/>
          <w:highlight w:val="none"/>
          <w:lang w:val="en-US" w:eastAsia="zh-CN" w:bidi="ar-SA"/>
        </w:rPr>
        <w:t>高标准发展生产性服务业</w:t>
      </w:r>
      <w:bookmarkEnd w:id="192"/>
      <w:bookmarkEnd w:id="193"/>
      <w:bookmarkEnd w:id="194"/>
      <w:bookmarkEnd w:id="195"/>
    </w:p>
    <w:p w14:paraId="7E970073">
      <w:pPr>
        <w:bidi w:val="0"/>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b w:val="0"/>
          <w:bCs/>
          <w:color w:val="auto"/>
          <w:kern w:val="2"/>
          <w:sz w:val="32"/>
          <w:szCs w:val="32"/>
          <w:highlight w:val="none"/>
          <w:lang w:val="en-US" w:eastAsia="zh-CN" w:bidi="ar-SA"/>
        </w:rPr>
        <w:t>巩固提升三大支柱型生产性服务业，培育壮大新兴生产性服务业，以满足产业转型升级需求为导向推动生产性服务业向专业化和价值链高端延伸，促进生产性服务业与制造业、农业深度融合。</w:t>
      </w:r>
    </w:p>
    <w:p w14:paraId="41F32431">
      <w:pPr>
        <w:bidi w:val="0"/>
        <w:spacing w:line="560" w:lineRule="exact"/>
        <w:ind w:firstLine="643"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b/>
          <w:bCs/>
          <w:color w:val="auto"/>
          <w:sz w:val="32"/>
          <w:szCs w:val="22"/>
          <w:highlight w:val="none"/>
          <w:lang w:val="en-US" w:eastAsia="zh-CN"/>
        </w:rPr>
        <w:t>推动电子商务高质量发展。</w:t>
      </w:r>
      <w:r>
        <w:rPr>
          <w:rFonts w:hint="default" w:ascii="Times New Roman" w:hAnsi="Times New Roman" w:eastAsia="仿宋_GB2312" w:cs="Times New Roman"/>
          <w:b w:val="0"/>
          <w:bCs/>
          <w:color w:val="auto"/>
          <w:kern w:val="2"/>
          <w:sz w:val="32"/>
          <w:szCs w:val="32"/>
          <w:highlight w:val="none"/>
          <w:lang w:val="en-US" w:eastAsia="zh-CN" w:bidi="ar-SA"/>
        </w:rPr>
        <w:t>巩固“电子商务进农村综合示范县”建设成果，</w:t>
      </w:r>
      <w:r>
        <w:rPr>
          <w:rFonts w:hint="default" w:ascii="Times New Roman" w:hAnsi="Times New Roman" w:eastAsia="仿宋_GB2312" w:cs="Times New Roman"/>
          <w:color w:val="auto"/>
          <w:sz w:val="32"/>
          <w:szCs w:val="22"/>
          <w:highlight w:val="none"/>
          <w:lang w:val="en-US" w:eastAsia="zh-CN"/>
        </w:rPr>
        <w:t>强化电商平台建设，完善</w:t>
      </w:r>
      <w:r>
        <w:rPr>
          <w:rFonts w:hint="default" w:ascii="Times New Roman" w:hAnsi="Times New Roman" w:eastAsia="仿宋_GB2312" w:cs="Times New Roman"/>
          <w:b w:val="0"/>
          <w:bCs/>
          <w:color w:val="auto"/>
          <w:kern w:val="2"/>
          <w:sz w:val="32"/>
          <w:szCs w:val="32"/>
          <w:highlight w:val="none"/>
          <w:lang w:val="en-US" w:eastAsia="zh-CN" w:bidi="ar-SA"/>
        </w:rPr>
        <w:t>理县电子商务产业园功能，打造集产品加工、直播带货、供应链服务于一体的综合性电商基地。</w:t>
      </w:r>
      <w:r>
        <w:rPr>
          <w:rFonts w:hint="default" w:ascii="Times New Roman" w:hAnsi="Times New Roman" w:eastAsia="仿宋_GB2312" w:cs="Times New Roman"/>
          <w:color w:val="auto"/>
          <w:sz w:val="32"/>
          <w:szCs w:val="22"/>
          <w:highlight w:val="none"/>
          <w:lang w:val="en-US" w:eastAsia="zh-CN"/>
        </w:rPr>
        <w:t>深入实施“数商兴农”，</w:t>
      </w:r>
      <w:r>
        <w:rPr>
          <w:rFonts w:hint="default" w:ascii="Times New Roman" w:hAnsi="Times New Roman" w:eastAsia="仿宋_GB2312" w:cs="Times New Roman"/>
          <w:b w:val="0"/>
          <w:bCs/>
          <w:color w:val="auto"/>
          <w:kern w:val="2"/>
          <w:sz w:val="32"/>
          <w:szCs w:val="32"/>
          <w:highlight w:val="none"/>
          <w:lang w:val="en-US" w:eastAsia="zh-CN" w:bidi="ar-SA"/>
        </w:rPr>
        <w:t>深化“互联网+”</w:t>
      </w:r>
      <w:r>
        <w:rPr>
          <w:rFonts w:hint="default" w:ascii="Times New Roman" w:hAnsi="Times New Roman" w:eastAsia="仿宋_GB2312" w:cs="Times New Roman"/>
          <w:color w:val="auto"/>
          <w:sz w:val="32"/>
          <w:szCs w:val="22"/>
          <w:highlight w:val="none"/>
          <w:lang w:val="en-US" w:eastAsia="zh-CN"/>
        </w:rPr>
        <w:t>农产品</w:t>
      </w:r>
      <w:r>
        <w:rPr>
          <w:rFonts w:hint="default" w:ascii="Times New Roman" w:hAnsi="Times New Roman" w:eastAsia="仿宋_GB2312" w:cs="Times New Roman"/>
          <w:b w:val="0"/>
          <w:bCs/>
          <w:color w:val="auto"/>
          <w:kern w:val="2"/>
          <w:sz w:val="32"/>
          <w:szCs w:val="32"/>
          <w:highlight w:val="none"/>
          <w:lang w:val="en-US" w:eastAsia="zh-CN" w:bidi="ar-SA"/>
        </w:rPr>
        <w:t>出村进城工程，</w:t>
      </w:r>
      <w:r>
        <w:rPr>
          <w:rFonts w:hint="default" w:ascii="Times New Roman" w:hAnsi="Times New Roman" w:eastAsia="仿宋_GB2312" w:cs="Times New Roman"/>
          <w:color w:val="auto"/>
          <w:sz w:val="32"/>
          <w:szCs w:val="22"/>
          <w:highlight w:val="none"/>
          <w:lang w:val="en-US" w:eastAsia="zh-CN"/>
        </w:rPr>
        <w:t>改造升级乡村电商服务站，</w:t>
      </w:r>
      <w:r>
        <w:rPr>
          <w:rFonts w:hint="default" w:ascii="Times New Roman" w:hAnsi="Times New Roman" w:eastAsia="仿宋_GB2312" w:cs="Times New Roman"/>
          <w:b w:val="0"/>
          <w:bCs/>
          <w:color w:val="auto"/>
          <w:kern w:val="2"/>
          <w:sz w:val="32"/>
          <w:szCs w:val="32"/>
          <w:highlight w:val="none"/>
          <w:lang w:val="en-US" w:eastAsia="zh-CN" w:bidi="ar-SA"/>
        </w:rPr>
        <w:t>打造一批电子商务重点</w:t>
      </w:r>
      <w:r>
        <w:rPr>
          <w:rFonts w:hint="eastAsia" w:cs="Times New Roman"/>
          <w:b w:val="0"/>
          <w:bCs/>
          <w:color w:val="auto"/>
          <w:kern w:val="2"/>
          <w:sz w:val="32"/>
          <w:szCs w:val="32"/>
          <w:highlight w:val="none"/>
          <w:lang w:val="en-US" w:eastAsia="zh-CN" w:bidi="ar-SA"/>
        </w:rPr>
        <w:t>乡</w:t>
      </w:r>
      <w:r>
        <w:rPr>
          <w:rFonts w:hint="default" w:ascii="Times New Roman" w:hAnsi="Times New Roman" w:eastAsia="仿宋_GB2312" w:cs="Times New Roman"/>
          <w:b w:val="0"/>
          <w:bCs/>
          <w:color w:val="auto"/>
          <w:kern w:val="2"/>
          <w:sz w:val="32"/>
          <w:szCs w:val="32"/>
          <w:highlight w:val="none"/>
          <w:lang w:val="en-US" w:eastAsia="zh-CN" w:bidi="ar-SA"/>
        </w:rPr>
        <w:t>镇和“电商村”</w:t>
      </w:r>
      <w:r>
        <w:rPr>
          <w:rFonts w:hint="default" w:ascii="Times New Roman" w:hAnsi="Times New Roman" w:eastAsia="仿宋_GB2312" w:cs="Times New Roman"/>
          <w:color w:val="auto"/>
          <w:sz w:val="32"/>
          <w:szCs w:val="22"/>
          <w:highlight w:val="none"/>
          <w:lang w:val="en-US" w:eastAsia="zh-CN"/>
        </w:rPr>
        <w:t>。</w:t>
      </w:r>
    </w:p>
    <w:p w14:paraId="4B1A5EE6">
      <w:pPr>
        <w:bidi w:val="0"/>
        <w:spacing w:line="560" w:lineRule="exact"/>
        <w:ind w:firstLine="643"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b/>
          <w:bCs/>
          <w:color w:val="auto"/>
          <w:sz w:val="32"/>
          <w:szCs w:val="22"/>
          <w:highlight w:val="none"/>
          <w:lang w:val="en-US" w:eastAsia="zh-CN"/>
        </w:rPr>
        <w:t>推动现代物流规模化发展。</w:t>
      </w:r>
      <w:r>
        <w:rPr>
          <w:rFonts w:hint="default" w:ascii="Times New Roman" w:hAnsi="Times New Roman" w:eastAsia="仿宋_GB2312" w:cs="Times New Roman"/>
          <w:color w:val="auto"/>
          <w:sz w:val="32"/>
          <w:szCs w:val="22"/>
          <w:highlight w:val="none"/>
          <w:lang w:val="en-US" w:eastAsia="zh-CN"/>
        </w:rPr>
        <w:t>布局建设大宗农产品物流集散中心，</w:t>
      </w:r>
      <w:r>
        <w:rPr>
          <w:rFonts w:hint="default" w:ascii="Times New Roman" w:hAnsi="Times New Roman" w:eastAsia="仿宋_GB2312" w:cs="Times New Roman"/>
          <w:b w:val="0"/>
          <w:bCs/>
          <w:color w:val="auto"/>
          <w:kern w:val="2"/>
          <w:sz w:val="32"/>
          <w:szCs w:val="32"/>
          <w:highlight w:val="none"/>
          <w:lang w:val="en-US" w:eastAsia="zh-CN" w:bidi="ar-SA"/>
        </w:rPr>
        <w:t>推动既有物流园智慧化提升，</w:t>
      </w:r>
      <w:r>
        <w:rPr>
          <w:rFonts w:hint="default" w:ascii="Times New Roman" w:hAnsi="Times New Roman" w:eastAsia="仿宋_GB2312" w:cs="Times New Roman"/>
          <w:color w:val="auto"/>
          <w:sz w:val="32"/>
          <w:szCs w:val="22"/>
          <w:highlight w:val="none"/>
          <w:lang w:val="en-US" w:eastAsia="zh-CN"/>
        </w:rPr>
        <w:t>完善冷链物流节点建设，大力推进“川货寄递”工程，推进县乡村三级农村物流配送体系建设，</w:t>
      </w:r>
      <w:r>
        <w:rPr>
          <w:rFonts w:hint="default" w:ascii="Times New Roman" w:hAnsi="Times New Roman" w:eastAsia="仿宋_GB2312" w:cs="Times New Roman"/>
          <w:b w:val="0"/>
          <w:bCs/>
          <w:color w:val="auto"/>
          <w:kern w:val="2"/>
          <w:sz w:val="32"/>
          <w:szCs w:val="32"/>
          <w:highlight w:val="none"/>
          <w:lang w:val="en-US" w:eastAsia="zh-CN" w:bidi="ar-SA"/>
        </w:rPr>
        <w:t>探索</w:t>
      </w:r>
      <w:r>
        <w:rPr>
          <w:rFonts w:hint="default" w:ascii="Times New Roman" w:hAnsi="Times New Roman" w:eastAsia="仿宋_GB2312" w:cs="Times New Roman"/>
          <w:color w:val="auto"/>
          <w:sz w:val="32"/>
          <w:szCs w:val="22"/>
          <w:highlight w:val="none"/>
          <w:lang w:val="en-US" w:eastAsia="zh-CN"/>
        </w:rPr>
        <w:t>开展汶理茂无人货运通道建设和无人机物流配送业务。</w:t>
      </w:r>
    </w:p>
    <w:p w14:paraId="71C3C97B">
      <w:pPr>
        <w:bidi w:val="0"/>
        <w:spacing w:line="560" w:lineRule="exact"/>
        <w:ind w:firstLine="643"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b/>
          <w:bCs/>
          <w:color w:val="auto"/>
          <w:sz w:val="32"/>
          <w:szCs w:val="22"/>
          <w:highlight w:val="none"/>
          <w:lang w:val="en-US" w:eastAsia="zh-CN"/>
        </w:rPr>
        <w:t>推动文创产业创新发展。</w:t>
      </w:r>
      <w:r>
        <w:rPr>
          <w:rFonts w:hint="default" w:ascii="Times New Roman" w:hAnsi="Times New Roman" w:eastAsia="仿宋_GB2312" w:cs="Times New Roman"/>
          <w:color w:val="auto"/>
          <w:sz w:val="32"/>
          <w:szCs w:val="22"/>
          <w:highlight w:val="none"/>
          <w:lang w:val="en-US" w:eastAsia="zh-CN"/>
        </w:rPr>
        <w:t>加快藏羌文化资源转化，深度挖掘非遗符号、技艺、故事，开发具有民族特色的文创手工艺品、服饰配饰、生活美学伴手礼，推动文旅节庆、创意设计、手工制造联动发展，打造特色文创示范街区，推进藏羌文化在保护中传承，在创新中发展，在产业中壮大。</w:t>
      </w:r>
    </w:p>
    <w:p w14:paraId="208DE68B">
      <w:pPr>
        <w:bidi w:val="0"/>
        <w:spacing w:line="560" w:lineRule="exact"/>
        <w:ind w:firstLine="643"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b/>
          <w:bCs/>
          <w:color w:val="auto"/>
          <w:sz w:val="32"/>
          <w:szCs w:val="22"/>
          <w:highlight w:val="none"/>
          <w:lang w:val="en-US" w:eastAsia="zh-CN"/>
        </w:rPr>
        <w:t>推动新兴生产性服务业发展。</w:t>
      </w:r>
      <w:r>
        <w:rPr>
          <w:rFonts w:hint="default" w:ascii="Times New Roman" w:hAnsi="Times New Roman" w:eastAsia="仿宋_GB2312" w:cs="Times New Roman"/>
          <w:color w:val="auto"/>
          <w:sz w:val="32"/>
          <w:szCs w:val="22"/>
          <w:highlight w:val="none"/>
          <w:lang w:val="en-US" w:eastAsia="zh-CN"/>
        </w:rPr>
        <w:t>大力发展特色金融，扩大金融服务有效供给，</w:t>
      </w:r>
      <w:r>
        <w:rPr>
          <w:rFonts w:hint="default" w:ascii="Times New Roman" w:hAnsi="Times New Roman" w:eastAsia="仿宋_GB2312" w:cs="Times New Roman"/>
          <w:color w:val="auto"/>
          <w:sz w:val="32"/>
          <w:szCs w:val="32"/>
          <w:highlight w:val="none"/>
          <w:lang w:val="en-US" w:eastAsia="zh-CN" w:bidi="ar-SA"/>
        </w:rPr>
        <w:t>推动做好科技金融、绿色金融、普惠金融、养老金融、数字金融“五篇大文章”</w:t>
      </w:r>
      <w:r>
        <w:rPr>
          <w:rFonts w:hint="default" w:ascii="Times New Roman" w:hAnsi="Times New Roman" w:eastAsia="仿宋_GB2312" w:cs="Times New Roman"/>
          <w:color w:val="auto"/>
          <w:sz w:val="32"/>
          <w:szCs w:val="32"/>
          <w:highlight w:val="none"/>
          <w:lang w:bidi="ar-SA"/>
        </w:rPr>
        <w:t>。</w:t>
      </w:r>
      <w:r>
        <w:rPr>
          <w:rFonts w:hint="default" w:ascii="Times New Roman" w:hAnsi="Times New Roman" w:eastAsia="仿宋_GB2312" w:cs="Times New Roman"/>
          <w:color w:val="auto"/>
          <w:sz w:val="32"/>
          <w:szCs w:val="32"/>
          <w:highlight w:val="none"/>
          <w:lang w:val="en-US" w:eastAsia="zh-CN" w:bidi="ar-SA"/>
        </w:rPr>
        <w:t>积极发展科技服务，着重</w:t>
      </w:r>
      <w:r>
        <w:rPr>
          <w:rFonts w:hint="default" w:ascii="Times New Roman" w:hAnsi="Times New Roman" w:eastAsia="仿宋_GB2312" w:cs="Times New Roman"/>
          <w:color w:val="auto"/>
          <w:sz w:val="32"/>
          <w:szCs w:val="22"/>
          <w:highlight w:val="none"/>
          <w:lang w:val="en-US" w:eastAsia="zh-CN"/>
        </w:rPr>
        <w:t>发展</w:t>
      </w:r>
      <w:r>
        <w:rPr>
          <w:rFonts w:hint="default" w:ascii="Times New Roman" w:hAnsi="Times New Roman" w:eastAsia="仿宋_GB2312" w:cs="Times New Roman"/>
          <w:color w:val="auto"/>
          <w:sz w:val="32"/>
          <w:szCs w:val="32"/>
          <w:highlight w:val="none"/>
          <w:lang w:val="en-US" w:eastAsia="zh-CN" w:bidi="ar-SA"/>
        </w:rPr>
        <w:t>农业</w:t>
      </w:r>
      <w:r>
        <w:rPr>
          <w:rFonts w:hint="default" w:ascii="Times New Roman" w:hAnsi="Times New Roman" w:eastAsia="仿宋_GB2312" w:cs="Times New Roman"/>
          <w:color w:val="auto"/>
          <w:sz w:val="32"/>
          <w:szCs w:val="22"/>
          <w:highlight w:val="none"/>
          <w:lang w:val="en-US" w:eastAsia="zh-CN"/>
        </w:rPr>
        <w:t>技术推广、技术转移等科技转化服务</w:t>
      </w:r>
      <w:r>
        <w:rPr>
          <w:rFonts w:hint="default" w:ascii="Times New Roman" w:hAnsi="Times New Roman" w:eastAsia="仿宋_GB2312" w:cs="Times New Roman"/>
          <w:color w:val="auto"/>
          <w:sz w:val="32"/>
          <w:szCs w:val="32"/>
          <w:highlight w:val="none"/>
          <w:lang w:val="en-US" w:eastAsia="zh-CN" w:bidi="ar-SA"/>
        </w:rPr>
        <w:t>，围绕优势产业建立检验检测服务体系，加强区域农业科研合作</w:t>
      </w:r>
      <w:r>
        <w:rPr>
          <w:rFonts w:hint="default" w:ascii="Times New Roman" w:hAnsi="Times New Roman" w:eastAsia="仿宋_GB2312" w:cs="Times New Roman"/>
          <w:color w:val="auto"/>
          <w:sz w:val="32"/>
          <w:szCs w:val="22"/>
          <w:highlight w:val="none"/>
          <w:lang w:val="en-US" w:eastAsia="zh-CN"/>
        </w:rPr>
        <w:t>。培育发展人力资源服务业，加强专业化职业技能培训，强化产教融合，构建分层分类培训体系。</w:t>
      </w:r>
    </w:p>
    <w:p w14:paraId="051C427C">
      <w:pPr>
        <w:keepNext/>
        <w:widowControl w:val="0"/>
        <w:numPr>
          <w:ilvl w:val="0"/>
          <w:numId w:val="15"/>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196" w:name="_Toc9801"/>
      <w:bookmarkStart w:id="197" w:name="_Toc20075"/>
      <w:bookmarkStart w:id="198" w:name="_Toc28600"/>
      <w:bookmarkStart w:id="199" w:name="_Toc23398"/>
      <w:r>
        <w:rPr>
          <w:rFonts w:hint="default" w:ascii="Times New Roman" w:hAnsi="Times New Roman" w:eastAsia="楷体_GB2312" w:cs="Times New Roman"/>
          <w:b/>
          <w:bCs w:val="0"/>
          <w:color w:val="auto"/>
          <w:kern w:val="2"/>
          <w:sz w:val="32"/>
          <w:szCs w:val="32"/>
          <w:highlight w:val="none"/>
          <w:lang w:val="en-US" w:eastAsia="zh-CN" w:bidi="ar-SA"/>
        </w:rPr>
        <w:t>高品质发展生活性服务业</w:t>
      </w:r>
      <w:bookmarkEnd w:id="196"/>
      <w:bookmarkEnd w:id="197"/>
      <w:bookmarkEnd w:id="198"/>
      <w:bookmarkEnd w:id="199"/>
    </w:p>
    <w:p w14:paraId="49C3D697">
      <w:pPr>
        <w:bidi w:val="0"/>
        <w:spacing w:line="560" w:lineRule="exact"/>
        <w:ind w:firstLine="640" w:firstLineChars="200"/>
        <w:rPr>
          <w:rFonts w:hint="default" w:ascii="Times New Roman" w:hAnsi="Times New Roman" w:eastAsia="仿宋_GB2312" w:cs="Times New Roman"/>
          <w:b w:val="0"/>
          <w:bCs/>
          <w:color w:val="auto"/>
          <w:kern w:val="2"/>
          <w:sz w:val="32"/>
          <w:szCs w:val="32"/>
          <w:highlight w:val="none"/>
          <w:lang w:val="en-US" w:eastAsia="zh-CN" w:bidi="ar-SA"/>
        </w:rPr>
      </w:pPr>
      <w:r>
        <w:rPr>
          <w:rFonts w:hint="default" w:ascii="Times New Roman" w:hAnsi="Times New Roman" w:eastAsia="仿宋_GB2312" w:cs="Times New Roman"/>
          <w:b w:val="0"/>
          <w:bCs/>
          <w:color w:val="auto"/>
          <w:kern w:val="2"/>
          <w:sz w:val="32"/>
          <w:szCs w:val="32"/>
          <w:highlight w:val="none"/>
          <w:lang w:val="en-US" w:eastAsia="zh-CN" w:bidi="ar-SA"/>
        </w:rPr>
        <w:t>持续优化五大生活性服务业，以满足消费升级需求为导向推动生活性服务业向高品质和多样化升级，力促生活性服务业促消费、惠民生能力更加突出。</w:t>
      </w:r>
    </w:p>
    <w:p w14:paraId="2B763997">
      <w:pPr>
        <w:bidi w:val="0"/>
        <w:spacing w:line="560" w:lineRule="exact"/>
        <w:ind w:left="0" w:leftChars="0" w:firstLine="643"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b/>
          <w:bCs w:val="0"/>
          <w:color w:val="auto"/>
          <w:kern w:val="2"/>
          <w:sz w:val="32"/>
          <w:szCs w:val="32"/>
          <w:highlight w:val="none"/>
          <w:lang w:val="en-US" w:eastAsia="zh-CN" w:bidi="ar-SA"/>
        </w:rPr>
        <w:t>提能现代商贸业。</w:t>
      </w:r>
      <w:r>
        <w:rPr>
          <w:rFonts w:hint="default" w:ascii="Times New Roman" w:hAnsi="Times New Roman" w:eastAsia="仿宋_GB2312" w:cs="Times New Roman"/>
          <w:color w:val="auto"/>
          <w:sz w:val="32"/>
          <w:szCs w:val="22"/>
          <w:highlight w:val="none"/>
          <w:lang w:val="en-US" w:eastAsia="zh-CN"/>
        </w:rPr>
        <w:t>以畅通城乡流通为导向，以功能融合为主线，大力推进县域商业体系建设，丰富文旅消费新场景新业态，提能升级商业配套设施，加快建设特色街区、商文旅综合体，推进现有专业市场、农贸农批市场改造提升，引导农特产品、建材、民族特需等商贸业集聚发展。</w:t>
      </w:r>
    </w:p>
    <w:p w14:paraId="2D3B3089">
      <w:pPr>
        <w:bidi w:val="0"/>
        <w:spacing w:line="560" w:lineRule="exact"/>
        <w:ind w:firstLine="643"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b/>
          <w:bCs/>
          <w:color w:val="auto"/>
          <w:sz w:val="32"/>
          <w:szCs w:val="22"/>
          <w:highlight w:val="none"/>
          <w:lang w:val="en-US" w:eastAsia="zh-CN"/>
        </w:rPr>
        <w:t>壮大康养服务业。</w:t>
      </w:r>
      <w:r>
        <w:rPr>
          <w:rFonts w:hint="default" w:ascii="Times New Roman" w:hAnsi="Times New Roman" w:eastAsia="仿宋_GB2312" w:cs="Times New Roman"/>
          <w:color w:val="auto"/>
          <w:sz w:val="32"/>
          <w:szCs w:val="22"/>
          <w:highlight w:val="none"/>
          <w:lang w:val="en-US" w:eastAsia="zh-CN"/>
        </w:rPr>
        <w:t>依托自然生态资源和藏羌医文化资源，靶向温泉康养、森林疗愈、藏羌医养、乡村田园康养主题开发产品，</w:t>
      </w:r>
      <w:r>
        <w:rPr>
          <w:rFonts w:hint="default" w:ascii="Times New Roman" w:hAnsi="Times New Roman" w:eastAsia="仿宋_GB2312" w:cs="Times New Roman"/>
          <w:b w:val="0"/>
          <w:bCs/>
          <w:color w:val="auto"/>
          <w:kern w:val="2"/>
          <w:sz w:val="32"/>
          <w:szCs w:val="32"/>
          <w:highlight w:val="none"/>
          <w:lang w:val="en-US" w:eastAsia="zh-CN" w:bidi="ar-SA"/>
        </w:rPr>
        <w:t>探索建设集养生保健、</w:t>
      </w:r>
      <w:r>
        <w:rPr>
          <w:rFonts w:hint="default" w:ascii="Times New Roman" w:hAnsi="Times New Roman" w:eastAsia="仿宋_GB2312" w:cs="Times New Roman"/>
          <w:color w:val="auto"/>
          <w:sz w:val="32"/>
          <w:szCs w:val="22"/>
          <w:highlight w:val="none"/>
          <w:lang w:val="en-US" w:eastAsia="zh-CN"/>
        </w:rPr>
        <w:t>康复治疗、养老护理于一体的大型示范生态健康养生基地，推动休闲康养产业协同和融合发展。</w:t>
      </w:r>
    </w:p>
    <w:p w14:paraId="5995DD39">
      <w:pPr>
        <w:bidi w:val="0"/>
        <w:spacing w:line="560" w:lineRule="exact"/>
        <w:ind w:firstLine="643"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b/>
          <w:bCs/>
          <w:color w:val="auto"/>
          <w:sz w:val="32"/>
          <w:szCs w:val="22"/>
          <w:highlight w:val="none"/>
          <w:lang w:val="en-US" w:eastAsia="zh-CN"/>
        </w:rPr>
        <w:t>优化餐饮服务业。</w:t>
      </w:r>
      <w:r>
        <w:rPr>
          <w:rFonts w:hint="default" w:ascii="Times New Roman" w:hAnsi="Times New Roman" w:eastAsia="仿宋_GB2312" w:cs="Times New Roman"/>
          <w:color w:val="auto"/>
          <w:sz w:val="32"/>
          <w:szCs w:val="22"/>
          <w:highlight w:val="none"/>
          <w:lang w:val="en-US" w:eastAsia="zh-CN"/>
        </w:rPr>
        <w:t>挖掘生态有机与民族特色饮食文化，</w:t>
      </w:r>
      <w:r>
        <w:rPr>
          <w:rFonts w:hint="default" w:ascii="Times New Roman" w:hAnsi="Times New Roman" w:eastAsia="仿宋_GB2312" w:cs="Times New Roman"/>
          <w:color w:val="auto"/>
          <w:sz w:val="32"/>
          <w:szCs w:val="32"/>
          <w:highlight w:val="none"/>
          <w:lang w:bidi="ar-SA"/>
        </w:rPr>
        <w:t>推动牦牛肉、藏香猪、野生菌等特色食材标准化生产加工，</w:t>
      </w:r>
      <w:r>
        <w:rPr>
          <w:rFonts w:hint="default" w:ascii="Times New Roman" w:hAnsi="Times New Roman" w:eastAsia="仿宋_GB2312" w:cs="Times New Roman"/>
          <w:bCs/>
          <w:color w:val="auto"/>
          <w:sz w:val="32"/>
          <w:szCs w:val="32"/>
          <w:highlight w:val="none"/>
          <w:lang w:val="en-US" w:eastAsia="zh-CN"/>
        </w:rPr>
        <w:t>研发高原冷水鱼和藏羌特色美食系列菜谱，</w:t>
      </w:r>
      <w:r>
        <w:rPr>
          <w:rFonts w:hint="default" w:ascii="Times New Roman" w:hAnsi="Times New Roman" w:eastAsia="仿宋_GB2312" w:cs="Times New Roman"/>
          <w:color w:val="auto"/>
          <w:sz w:val="32"/>
          <w:szCs w:val="32"/>
          <w:highlight w:val="none"/>
          <w:lang w:bidi="ar-SA"/>
        </w:rPr>
        <w:t>引进和培育</w:t>
      </w:r>
      <w:r>
        <w:rPr>
          <w:rFonts w:hint="default" w:ascii="Times New Roman" w:hAnsi="Times New Roman" w:eastAsia="仿宋_GB2312" w:cs="Times New Roman"/>
          <w:color w:val="auto"/>
          <w:sz w:val="32"/>
          <w:szCs w:val="22"/>
          <w:highlight w:val="none"/>
          <w:lang w:val="en-US" w:eastAsia="zh-CN"/>
        </w:rPr>
        <w:t>一批知名餐饮</w:t>
      </w:r>
      <w:r>
        <w:rPr>
          <w:rFonts w:hint="default" w:ascii="Times New Roman" w:hAnsi="Times New Roman" w:eastAsia="仿宋_GB2312" w:cs="Times New Roman"/>
          <w:color w:val="auto"/>
          <w:sz w:val="32"/>
          <w:szCs w:val="32"/>
          <w:highlight w:val="none"/>
          <w:lang w:bidi="ar-SA"/>
        </w:rPr>
        <w:t>品牌</w:t>
      </w:r>
      <w:r>
        <w:rPr>
          <w:rFonts w:hint="default" w:ascii="Times New Roman" w:hAnsi="Times New Roman" w:eastAsia="仿宋_GB2312" w:cs="Times New Roman"/>
          <w:color w:val="auto"/>
          <w:sz w:val="32"/>
          <w:szCs w:val="22"/>
          <w:highlight w:val="none"/>
          <w:lang w:val="en-US" w:eastAsia="zh-CN"/>
        </w:rPr>
        <w:t>企业，</w:t>
      </w:r>
      <w:r>
        <w:rPr>
          <w:rFonts w:hint="default" w:ascii="Times New Roman" w:hAnsi="Times New Roman" w:eastAsia="仿宋_GB2312" w:cs="Times New Roman"/>
          <w:color w:val="auto"/>
          <w:sz w:val="32"/>
          <w:szCs w:val="32"/>
          <w:highlight w:val="none"/>
          <w:lang w:bidi="ar-SA"/>
        </w:rPr>
        <w:t>提高餐饮行业服务水平</w:t>
      </w:r>
      <w:r>
        <w:rPr>
          <w:rFonts w:hint="default" w:ascii="Times New Roman" w:hAnsi="Times New Roman" w:eastAsia="仿宋_GB2312" w:cs="Times New Roman"/>
          <w:color w:val="auto"/>
          <w:sz w:val="32"/>
          <w:szCs w:val="32"/>
          <w:highlight w:val="none"/>
          <w:lang w:eastAsia="zh-CN" w:bidi="ar-SA"/>
        </w:rPr>
        <w:t>，</w:t>
      </w:r>
      <w:r>
        <w:rPr>
          <w:rFonts w:hint="default" w:ascii="Times New Roman" w:hAnsi="Times New Roman" w:eastAsia="仿宋_GB2312" w:cs="Times New Roman"/>
          <w:color w:val="auto"/>
          <w:sz w:val="32"/>
          <w:szCs w:val="32"/>
          <w:highlight w:val="none"/>
          <w:lang w:val="en-US" w:eastAsia="zh-CN" w:bidi="ar-SA"/>
        </w:rPr>
        <w:t>打造</w:t>
      </w:r>
      <w:r>
        <w:rPr>
          <w:rFonts w:hint="default" w:ascii="Times New Roman" w:hAnsi="Times New Roman" w:eastAsia="仿宋_GB2312" w:cs="Times New Roman"/>
          <w:color w:val="auto"/>
          <w:sz w:val="32"/>
          <w:szCs w:val="32"/>
          <w:highlight w:val="none"/>
          <w:lang w:bidi="ar-SA"/>
        </w:rPr>
        <w:t>特色美食街</w:t>
      </w:r>
      <w:r>
        <w:rPr>
          <w:rFonts w:hint="default" w:ascii="Times New Roman" w:hAnsi="Times New Roman" w:eastAsia="仿宋_GB2312" w:cs="Times New Roman"/>
          <w:color w:val="auto"/>
          <w:sz w:val="32"/>
          <w:szCs w:val="32"/>
          <w:highlight w:val="none"/>
          <w:lang w:eastAsia="zh-CN" w:bidi="ar-SA"/>
        </w:rPr>
        <w:t>，</w:t>
      </w:r>
      <w:r>
        <w:rPr>
          <w:rFonts w:hint="default" w:ascii="Times New Roman" w:hAnsi="Times New Roman" w:eastAsia="仿宋_GB2312" w:cs="Times New Roman"/>
          <w:color w:val="auto"/>
          <w:sz w:val="32"/>
          <w:szCs w:val="32"/>
          <w:highlight w:val="none"/>
          <w:lang w:bidi="ar-SA"/>
        </w:rPr>
        <w:t>发展一批名店、名品</w:t>
      </w:r>
      <w:r>
        <w:rPr>
          <w:rFonts w:hint="default" w:ascii="Times New Roman" w:hAnsi="Times New Roman" w:eastAsia="仿宋_GB2312" w:cs="Times New Roman"/>
          <w:color w:val="auto"/>
          <w:sz w:val="32"/>
          <w:szCs w:val="22"/>
          <w:highlight w:val="none"/>
          <w:lang w:val="en-US" w:eastAsia="zh-CN"/>
        </w:rPr>
        <w:t>，融入“阿坝味道”美食品牌建设。</w:t>
      </w:r>
    </w:p>
    <w:p w14:paraId="72EEA901">
      <w:pPr>
        <w:bidi w:val="0"/>
        <w:spacing w:line="560" w:lineRule="exact"/>
        <w:ind w:firstLine="643"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b/>
          <w:bCs/>
          <w:color w:val="auto"/>
          <w:sz w:val="32"/>
          <w:szCs w:val="22"/>
          <w:highlight w:val="none"/>
          <w:lang w:val="en-US" w:eastAsia="zh-CN"/>
        </w:rPr>
        <w:t>拓展汽车后市场服务。</w:t>
      </w:r>
      <w:r>
        <w:rPr>
          <w:rFonts w:hint="default" w:ascii="Times New Roman" w:hAnsi="Times New Roman" w:eastAsia="仿宋_GB2312" w:cs="Times New Roman"/>
          <w:color w:val="auto"/>
          <w:sz w:val="32"/>
          <w:szCs w:val="22"/>
          <w:highlight w:val="none"/>
          <w:lang w:val="en-US" w:eastAsia="zh-CN"/>
        </w:rPr>
        <w:t>丰富汽车后市场产品和服务供给，积极布局发展新业态、新模式，优化汽车配件与用品流通环境，促进汽车维修服务提质升级，完善汽车救援施救服务，试点开展汽车租赁服务，构建以县城、旅游集散点为支撑的分层服务网络，激发文旅消费活力。</w:t>
      </w:r>
    </w:p>
    <w:p w14:paraId="0097EA61">
      <w:pPr>
        <w:bidi w:val="0"/>
        <w:spacing w:line="560" w:lineRule="exact"/>
        <w:ind w:firstLine="643" w:firstLineChars="200"/>
        <w:rPr>
          <w:rFonts w:hint="default" w:ascii="Times New Roman" w:hAnsi="Times New Roman" w:eastAsia="仿宋_GB2312" w:cs="Times New Roman"/>
          <w:b w:val="0"/>
          <w:bCs/>
          <w:color w:val="auto"/>
          <w:kern w:val="2"/>
          <w:sz w:val="32"/>
          <w:szCs w:val="32"/>
          <w:highlight w:val="none"/>
          <w:lang w:val="en-US" w:eastAsia="zh-CN" w:bidi="ar-SA"/>
        </w:rPr>
      </w:pPr>
      <w:r>
        <w:rPr>
          <w:rFonts w:hint="default" w:ascii="Times New Roman" w:hAnsi="Times New Roman" w:eastAsia="仿宋_GB2312" w:cs="Times New Roman"/>
          <w:b/>
          <w:bCs/>
          <w:color w:val="auto"/>
          <w:sz w:val="32"/>
          <w:szCs w:val="22"/>
          <w:highlight w:val="none"/>
          <w:lang w:val="en-US" w:eastAsia="zh-CN"/>
        </w:rPr>
        <w:t>完善社区</w:t>
      </w:r>
      <w:r>
        <w:rPr>
          <w:rFonts w:hint="default" w:ascii="Times New Roman" w:hAnsi="Times New Roman" w:eastAsia="仿宋_GB2312" w:cs="Times New Roman"/>
          <w:b/>
          <w:bCs/>
          <w:color w:val="auto"/>
          <w:sz w:val="32"/>
          <w:szCs w:val="22"/>
          <w:highlight w:val="none"/>
          <w:lang w:eastAsia="zh-CN"/>
        </w:rPr>
        <w:t>便民服务业。</w:t>
      </w:r>
      <w:r>
        <w:rPr>
          <w:rFonts w:hint="default" w:ascii="Times New Roman" w:hAnsi="Times New Roman" w:eastAsia="仿宋_GB2312" w:cs="Times New Roman"/>
          <w:color w:val="auto"/>
          <w:sz w:val="32"/>
          <w:szCs w:val="22"/>
          <w:highlight w:val="none"/>
          <w:lang w:val="en-US" w:eastAsia="zh-CN"/>
        </w:rPr>
        <w:t>以社区为重要依托，以满足人民群众需求为导向，推进融合基本公共服务、便民服务、社区商业等功能为一体的社区服务设施建设，丰富居民服务业态，</w:t>
      </w:r>
      <w:r>
        <w:rPr>
          <w:rFonts w:hint="default" w:ascii="Times New Roman" w:hAnsi="Times New Roman" w:eastAsia="仿宋_GB2312" w:cs="Times New Roman"/>
          <w:b w:val="0"/>
          <w:bCs/>
          <w:color w:val="auto"/>
          <w:kern w:val="2"/>
          <w:sz w:val="32"/>
          <w:szCs w:val="32"/>
          <w:highlight w:val="none"/>
          <w:lang w:val="en-US" w:eastAsia="zh-CN" w:bidi="ar-SA"/>
        </w:rPr>
        <w:t>提供家政、维修、社区医疗、文化娱乐、幼儿托管和教育培训等多样化服务，构建15分钟便民生活服务圈。</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22D91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00" w:type="pct"/>
            <w:shd w:val="clear" w:color="auto" w:fill="7F7F7F" w:themeFill="text1" w:themeFillTint="7F"/>
            <w:vAlign w:val="center"/>
          </w:tcPr>
          <w:p w14:paraId="5025639B">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center"/>
              <w:rPr>
                <w:rFonts w:hint="default" w:ascii="Times New Roman" w:hAnsi="Times New Roman" w:eastAsia="黑体" w:cs="Times New Roman"/>
                <w:color w:val="auto"/>
                <w:kern w:val="2"/>
                <w:sz w:val="30"/>
                <w:szCs w:val="22"/>
                <w:highlight w:val="none"/>
                <w:lang w:val="en-US" w:eastAsia="zh-CN"/>
              </w:rPr>
            </w:pPr>
            <w:r>
              <w:rPr>
                <w:rFonts w:hint="default" w:ascii="Times New Roman" w:hAnsi="Times New Roman" w:eastAsia="黑体" w:cs="Times New Roman"/>
                <w:b/>
                <w:bCs/>
                <w:color w:val="auto"/>
                <w:kern w:val="0"/>
                <w:sz w:val="28"/>
                <w:szCs w:val="28"/>
                <w:highlight w:val="none"/>
                <w:lang w:bidi="ar"/>
              </w:rPr>
              <w:t>专栏</w:t>
            </w:r>
            <w:r>
              <w:rPr>
                <w:rFonts w:hint="default" w:ascii="Times New Roman" w:hAnsi="Times New Roman" w:eastAsia="黑体" w:cs="Times New Roman"/>
                <w:b/>
                <w:bCs/>
                <w:color w:val="auto"/>
                <w:kern w:val="0"/>
                <w:sz w:val="28"/>
                <w:szCs w:val="28"/>
                <w:highlight w:val="none"/>
                <w:lang w:val="en-US" w:eastAsia="zh-CN" w:bidi="ar"/>
              </w:rPr>
              <w:t>7  现代服务业重点工程</w:t>
            </w:r>
          </w:p>
        </w:tc>
      </w:tr>
      <w:tr w14:paraId="6C676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tcPr>
          <w:p w14:paraId="0777FE37">
            <w:pPr>
              <w:keepNext w:val="0"/>
              <w:keepLines w:val="0"/>
              <w:pageBreakBefore w:val="0"/>
              <w:widowControl/>
              <w:numPr>
                <w:ilvl w:val="0"/>
                <w:numId w:val="13"/>
              </w:numPr>
              <w:kinsoku/>
              <w:wordWrap/>
              <w:overflowPunct/>
              <w:topLinePunct w:val="0"/>
              <w:autoSpaceDE/>
              <w:autoSpaceDN/>
              <w:bidi w:val="0"/>
              <w:adjustRightInd w:val="0"/>
              <w:snapToGrid w:val="0"/>
              <w:spacing w:line="440" w:lineRule="exact"/>
              <w:ind w:left="420" w:leftChars="0" w:hanging="420" w:firstLineChars="0"/>
              <w:jc w:val="left"/>
              <w:textAlignment w:val="auto"/>
              <w:rPr>
                <w:rFonts w:hint="default" w:ascii="Times New Roman" w:hAnsi="Times New Roman" w:eastAsia="仿宋_GB2312" w:cs="Times New Roman"/>
                <w:b/>
                <w:bCs/>
                <w:color w:val="auto"/>
                <w:kern w:val="2"/>
                <w:sz w:val="28"/>
                <w:szCs w:val="28"/>
                <w:highlight w:val="none"/>
                <w:lang w:val="en-US" w:eastAsia="zh-CN"/>
              </w:rPr>
            </w:pPr>
            <w:r>
              <w:rPr>
                <w:rFonts w:hint="default" w:ascii="Times New Roman" w:hAnsi="Times New Roman" w:eastAsia="仿宋_GB2312" w:cs="Times New Roman"/>
                <w:b/>
                <w:bCs/>
                <w:color w:val="auto"/>
                <w:kern w:val="2"/>
                <w:sz w:val="28"/>
                <w:szCs w:val="28"/>
                <w:highlight w:val="none"/>
                <w:lang w:val="en-US" w:eastAsia="zh-CN"/>
              </w:rPr>
              <w:t>生产性服务业：</w:t>
            </w:r>
            <w:r>
              <w:rPr>
                <w:rFonts w:hint="eastAsia" w:cs="Times New Roman"/>
                <w:b w:val="0"/>
                <w:bCs w:val="0"/>
                <w:color w:val="auto"/>
                <w:kern w:val="2"/>
                <w:sz w:val="28"/>
                <w:szCs w:val="28"/>
                <w:highlight w:val="none"/>
                <w:lang w:val="en-US" w:eastAsia="zh-CN"/>
              </w:rPr>
              <w:t>1.</w:t>
            </w:r>
            <w:r>
              <w:rPr>
                <w:rFonts w:hint="default" w:cs="Times New Roman"/>
                <w:b w:val="0"/>
                <w:bCs w:val="0"/>
                <w:color w:val="auto"/>
                <w:kern w:val="2"/>
                <w:sz w:val="28"/>
                <w:szCs w:val="28"/>
                <w:highlight w:val="none"/>
                <w:lang w:val="en-US" w:eastAsia="zh-CN"/>
              </w:rPr>
              <w:t>完工理县特色农产品批发市场建设项目</w:t>
            </w:r>
            <w:r>
              <w:rPr>
                <w:rFonts w:hint="eastAsia" w:cs="Times New Roman"/>
                <w:b w:val="0"/>
                <w:bCs w:val="0"/>
                <w:color w:val="auto"/>
                <w:kern w:val="2"/>
                <w:sz w:val="28"/>
                <w:szCs w:val="28"/>
                <w:highlight w:val="none"/>
                <w:lang w:val="en-US" w:eastAsia="zh-CN"/>
              </w:rPr>
              <w:t>。实施理县粮食收储公司粮油仓储设施“仓顶阳光”项目。2.</w:t>
            </w:r>
            <w:r>
              <w:rPr>
                <w:rFonts w:hint="default" w:ascii="Times New Roman" w:hAnsi="Times New Roman" w:eastAsia="仿宋_GB2312" w:cs="Times New Roman"/>
                <w:b w:val="0"/>
                <w:bCs w:val="0"/>
                <w:color w:val="auto"/>
                <w:kern w:val="2"/>
                <w:sz w:val="28"/>
                <w:szCs w:val="28"/>
                <w:highlight w:val="none"/>
                <w:lang w:val="en-US" w:eastAsia="zh-CN"/>
              </w:rPr>
              <w:t>推进理县智慧物流园区建设</w:t>
            </w:r>
            <w:r>
              <w:rPr>
                <w:rFonts w:hint="eastAsia" w:cs="Times New Roman"/>
                <w:b w:val="0"/>
                <w:bCs w:val="0"/>
                <w:color w:val="auto"/>
                <w:kern w:val="2"/>
                <w:sz w:val="28"/>
                <w:szCs w:val="28"/>
                <w:highlight w:val="none"/>
                <w:lang w:val="en-US" w:eastAsia="zh-CN"/>
              </w:rPr>
              <w:t>、</w:t>
            </w:r>
            <w:r>
              <w:rPr>
                <w:rFonts w:hint="default" w:ascii="Times New Roman" w:hAnsi="Times New Roman" w:eastAsia="仿宋_GB2312" w:cs="Times New Roman"/>
                <w:b w:val="0"/>
                <w:bCs w:val="0"/>
                <w:color w:val="auto"/>
                <w:kern w:val="2"/>
                <w:sz w:val="28"/>
                <w:szCs w:val="28"/>
                <w:highlight w:val="none"/>
                <w:lang w:val="en-US" w:eastAsia="zh-CN"/>
              </w:rPr>
              <w:t>理县粮食收储公司库区升级改造</w:t>
            </w:r>
            <w:r>
              <w:rPr>
                <w:rFonts w:hint="eastAsia" w:cs="Times New Roman"/>
                <w:b w:val="0"/>
                <w:bCs w:val="0"/>
                <w:color w:val="auto"/>
                <w:kern w:val="2"/>
                <w:sz w:val="28"/>
                <w:szCs w:val="28"/>
                <w:highlight w:val="none"/>
                <w:lang w:val="en-US" w:eastAsia="zh-CN"/>
              </w:rPr>
              <w:t>等项目</w:t>
            </w:r>
            <w:r>
              <w:rPr>
                <w:rFonts w:hint="default" w:ascii="Times New Roman" w:hAnsi="Times New Roman" w:eastAsia="仿宋_GB2312" w:cs="Times New Roman"/>
                <w:b w:val="0"/>
                <w:bCs w:val="0"/>
                <w:color w:val="auto"/>
                <w:kern w:val="2"/>
                <w:sz w:val="28"/>
                <w:szCs w:val="28"/>
                <w:highlight w:val="none"/>
                <w:lang w:val="en-US" w:eastAsia="zh-CN"/>
              </w:rPr>
              <w:t>前期工作</w:t>
            </w:r>
            <w:r>
              <w:rPr>
                <w:rFonts w:hint="eastAsia" w:cs="Times New Roman"/>
                <w:b w:val="0"/>
                <w:bCs w:val="0"/>
                <w:color w:val="auto"/>
                <w:kern w:val="2"/>
                <w:sz w:val="28"/>
                <w:szCs w:val="28"/>
                <w:highlight w:val="none"/>
                <w:lang w:val="en-US" w:eastAsia="zh-CN"/>
              </w:rPr>
              <w:t>。3.开展</w:t>
            </w:r>
            <w:r>
              <w:rPr>
                <w:rFonts w:hint="default" w:ascii="Times New Roman" w:hAnsi="Times New Roman" w:eastAsia="仿宋_GB2312" w:cs="Times New Roman"/>
                <w:b w:val="0"/>
                <w:bCs w:val="0"/>
                <w:color w:val="auto"/>
                <w:kern w:val="2"/>
                <w:sz w:val="28"/>
                <w:szCs w:val="28"/>
                <w:highlight w:val="none"/>
                <w:lang w:val="en-US" w:eastAsia="zh-CN"/>
              </w:rPr>
              <w:t>八角碉村物流中心</w:t>
            </w:r>
            <w:r>
              <w:rPr>
                <w:rFonts w:hint="eastAsia" w:cs="Times New Roman"/>
                <w:b w:val="0"/>
                <w:bCs w:val="0"/>
                <w:color w:val="auto"/>
                <w:kern w:val="2"/>
                <w:sz w:val="28"/>
                <w:szCs w:val="28"/>
                <w:highlight w:val="none"/>
                <w:lang w:val="en-US" w:eastAsia="zh-CN"/>
              </w:rPr>
              <w:t>项目论证工作</w:t>
            </w:r>
            <w:r>
              <w:rPr>
                <w:rFonts w:hint="default" w:ascii="Times New Roman" w:hAnsi="Times New Roman" w:eastAsia="仿宋_GB2312" w:cs="Times New Roman"/>
                <w:b w:val="0"/>
                <w:bCs w:val="0"/>
                <w:color w:val="auto"/>
                <w:kern w:val="2"/>
                <w:sz w:val="28"/>
                <w:szCs w:val="28"/>
                <w:highlight w:val="none"/>
                <w:lang w:val="en-US" w:eastAsia="zh-CN"/>
              </w:rPr>
              <w:t>。</w:t>
            </w:r>
          </w:p>
          <w:p w14:paraId="29CAEE60">
            <w:pPr>
              <w:keepNext w:val="0"/>
              <w:keepLines w:val="0"/>
              <w:pageBreakBefore w:val="0"/>
              <w:widowControl/>
              <w:numPr>
                <w:ilvl w:val="0"/>
                <w:numId w:val="13"/>
              </w:numPr>
              <w:kinsoku/>
              <w:wordWrap/>
              <w:overflowPunct/>
              <w:topLinePunct w:val="0"/>
              <w:autoSpaceDE/>
              <w:autoSpaceDN/>
              <w:bidi w:val="0"/>
              <w:adjustRightInd w:val="0"/>
              <w:snapToGrid w:val="0"/>
              <w:spacing w:line="440" w:lineRule="exact"/>
              <w:ind w:left="420" w:leftChars="0" w:hanging="420" w:firstLineChars="0"/>
              <w:jc w:val="left"/>
              <w:textAlignment w:val="auto"/>
              <w:rPr>
                <w:rFonts w:hint="default" w:ascii="Times New Roman" w:hAnsi="Times New Roman" w:eastAsia="仿宋_GB2312" w:cs="Times New Roman"/>
                <w:color w:val="auto"/>
                <w:sz w:val="32"/>
                <w:szCs w:val="22"/>
                <w:highlight w:val="none"/>
                <w:lang w:eastAsia="zh-CN"/>
              </w:rPr>
            </w:pPr>
            <w:r>
              <w:rPr>
                <w:rFonts w:hint="default" w:ascii="Times New Roman" w:hAnsi="Times New Roman" w:eastAsia="仿宋_GB2312" w:cs="Times New Roman"/>
                <w:b/>
                <w:bCs/>
                <w:color w:val="auto"/>
                <w:kern w:val="2"/>
                <w:sz w:val="28"/>
                <w:szCs w:val="28"/>
                <w:highlight w:val="none"/>
                <w:lang w:val="en-US" w:eastAsia="zh-CN"/>
              </w:rPr>
              <w:t>生活性服务业：</w:t>
            </w:r>
            <w:r>
              <w:rPr>
                <w:rFonts w:hint="eastAsia" w:cs="Times New Roman"/>
                <w:b w:val="0"/>
                <w:bCs w:val="0"/>
                <w:color w:val="auto"/>
                <w:kern w:val="2"/>
                <w:sz w:val="28"/>
                <w:szCs w:val="28"/>
                <w:highlight w:val="none"/>
                <w:lang w:val="en-US" w:eastAsia="zh-CN"/>
              </w:rPr>
              <w:t>开展</w:t>
            </w:r>
            <w:r>
              <w:rPr>
                <w:rFonts w:hint="default" w:ascii="Times New Roman" w:hAnsi="Times New Roman" w:eastAsia="仿宋_GB2312" w:cs="Times New Roman"/>
                <w:b w:val="0"/>
                <w:bCs w:val="0"/>
                <w:color w:val="auto"/>
                <w:kern w:val="2"/>
                <w:sz w:val="28"/>
                <w:szCs w:val="28"/>
                <w:highlight w:val="none"/>
                <w:lang w:val="en-US" w:eastAsia="zh-CN"/>
              </w:rPr>
              <w:t>阿坝州供销社理县农副产品销售中心、古尔沟镇特色产业及农副产品集散服务中心等</w:t>
            </w:r>
            <w:r>
              <w:rPr>
                <w:rFonts w:hint="eastAsia" w:cs="Times New Roman"/>
                <w:b w:val="0"/>
                <w:bCs w:val="0"/>
                <w:color w:val="auto"/>
                <w:kern w:val="2"/>
                <w:sz w:val="28"/>
                <w:szCs w:val="28"/>
                <w:highlight w:val="none"/>
                <w:lang w:val="en-US" w:eastAsia="zh-CN"/>
              </w:rPr>
              <w:t>项目论证工作。</w:t>
            </w:r>
          </w:p>
        </w:tc>
      </w:tr>
    </w:tbl>
    <w:p w14:paraId="644D6EED">
      <w:pPr>
        <w:keepNext/>
        <w:widowControl w:val="0"/>
        <w:numPr>
          <w:ilvl w:val="0"/>
          <w:numId w:val="1"/>
        </w:numPr>
        <w:bidi w:val="0"/>
        <w:snapToGrid w:val="0"/>
        <w:spacing w:before="100" w:beforeLines="100" w:after="100" w:afterLines="100" w:line="560" w:lineRule="exact"/>
        <w:ind w:left="0" w:leftChars="0" w:firstLine="0" w:firstLineChars="0"/>
        <w:jc w:val="center"/>
        <w:outlineLvl w:val="1"/>
        <w:rPr>
          <w:rFonts w:hint="default" w:ascii="Times New Roman" w:hAnsi="Times New Roman" w:eastAsia="黑体" w:cs="Times New Roman"/>
          <w:color w:val="auto"/>
          <w:kern w:val="2"/>
          <w:sz w:val="32"/>
          <w:szCs w:val="24"/>
          <w:highlight w:val="none"/>
          <w:lang w:val="en-US" w:eastAsia="zh-CN" w:bidi="ar-SA"/>
        </w:rPr>
      </w:pPr>
      <w:bookmarkStart w:id="200" w:name="_Toc28759"/>
      <w:bookmarkStart w:id="201" w:name="_Toc12546"/>
      <w:r>
        <w:rPr>
          <w:rFonts w:hint="default" w:ascii="Times New Roman" w:hAnsi="Times New Roman" w:eastAsia="黑体" w:cs="Times New Roman"/>
          <w:color w:val="auto"/>
          <w:kern w:val="2"/>
          <w:sz w:val="32"/>
          <w:szCs w:val="24"/>
          <w:highlight w:val="none"/>
          <w:lang w:val="en-US" w:eastAsia="zh-CN" w:bidi="ar-SA"/>
        </w:rPr>
        <w:t xml:space="preserve"> </w:t>
      </w:r>
      <w:bookmarkStart w:id="202" w:name="_Toc8613"/>
      <w:bookmarkStart w:id="203" w:name="_Toc7722"/>
      <w:r>
        <w:rPr>
          <w:rFonts w:hint="default" w:ascii="Times New Roman" w:hAnsi="Times New Roman" w:eastAsia="黑体" w:cs="Times New Roman"/>
          <w:color w:val="auto"/>
          <w:kern w:val="2"/>
          <w:sz w:val="32"/>
          <w:szCs w:val="24"/>
          <w:highlight w:val="none"/>
          <w:lang w:val="en-US" w:eastAsia="zh-CN" w:bidi="ar-SA"/>
        </w:rPr>
        <w:fldChar w:fldCharType="begin"/>
      </w:r>
      <w:r>
        <w:rPr>
          <w:rFonts w:hint="default" w:ascii="Times New Roman" w:hAnsi="Times New Roman" w:eastAsia="黑体" w:cs="Times New Roman"/>
          <w:color w:val="auto"/>
          <w:kern w:val="2"/>
          <w:sz w:val="32"/>
          <w:szCs w:val="24"/>
          <w:highlight w:val="none"/>
          <w:lang w:val="en-US" w:eastAsia="zh-CN" w:bidi="ar-SA"/>
        </w:rPr>
        <w:instrText xml:space="preserve"> HYPERLINK \l _Toc223 </w:instrText>
      </w:r>
      <w:r>
        <w:rPr>
          <w:rFonts w:hint="default" w:ascii="Times New Roman" w:hAnsi="Times New Roman" w:eastAsia="黑体" w:cs="Times New Roman"/>
          <w:color w:val="auto"/>
          <w:kern w:val="2"/>
          <w:sz w:val="32"/>
          <w:szCs w:val="24"/>
          <w:highlight w:val="none"/>
          <w:lang w:val="en-US" w:eastAsia="zh-CN" w:bidi="ar-SA"/>
        </w:rPr>
        <w:fldChar w:fldCharType="separate"/>
      </w:r>
      <w:r>
        <w:rPr>
          <w:rFonts w:hint="default" w:ascii="Times New Roman" w:hAnsi="Times New Roman" w:eastAsia="黑体" w:cs="Times New Roman"/>
          <w:color w:val="auto"/>
          <w:kern w:val="2"/>
          <w:sz w:val="32"/>
          <w:szCs w:val="24"/>
          <w:highlight w:val="none"/>
          <w:lang w:val="en-US" w:eastAsia="zh-CN" w:bidi="ar-SA"/>
        </w:rPr>
        <w:fldChar w:fldCharType="begin"/>
      </w:r>
      <w:r>
        <w:rPr>
          <w:rFonts w:hint="default" w:ascii="Times New Roman" w:hAnsi="Times New Roman" w:eastAsia="黑体" w:cs="Times New Roman"/>
          <w:color w:val="auto"/>
          <w:kern w:val="2"/>
          <w:sz w:val="32"/>
          <w:szCs w:val="24"/>
          <w:highlight w:val="none"/>
          <w:lang w:val="en-US" w:eastAsia="zh-CN" w:bidi="ar-SA"/>
        </w:rPr>
        <w:instrText xml:space="preserve"> HYPERLINK \l _Toc1391 </w:instrText>
      </w:r>
      <w:r>
        <w:rPr>
          <w:rFonts w:hint="default" w:ascii="Times New Roman" w:hAnsi="Times New Roman" w:eastAsia="黑体" w:cs="Times New Roman"/>
          <w:color w:val="auto"/>
          <w:kern w:val="2"/>
          <w:sz w:val="32"/>
          <w:szCs w:val="24"/>
          <w:highlight w:val="none"/>
          <w:lang w:val="en-US" w:eastAsia="zh-CN" w:bidi="ar-SA"/>
        </w:rPr>
        <w:fldChar w:fldCharType="separate"/>
      </w:r>
      <w:r>
        <w:rPr>
          <w:rFonts w:hint="default" w:ascii="Times New Roman" w:hAnsi="Times New Roman" w:eastAsia="黑体" w:cs="Times New Roman"/>
          <w:color w:val="auto"/>
          <w:kern w:val="2"/>
          <w:sz w:val="32"/>
          <w:szCs w:val="24"/>
          <w:highlight w:val="none"/>
          <w:lang w:val="en-US" w:eastAsia="zh-CN" w:bidi="ar-SA"/>
        </w:rPr>
        <w:t>大力培育战略性新兴产业</w:t>
      </w:r>
      <w:r>
        <w:rPr>
          <w:rFonts w:hint="default" w:ascii="Times New Roman" w:hAnsi="Times New Roman" w:eastAsia="黑体" w:cs="Times New Roman"/>
          <w:color w:val="auto"/>
          <w:kern w:val="2"/>
          <w:sz w:val="32"/>
          <w:szCs w:val="24"/>
          <w:highlight w:val="none"/>
          <w:lang w:val="en-US" w:eastAsia="zh-CN" w:bidi="ar-SA"/>
        </w:rPr>
        <w:fldChar w:fldCharType="end"/>
      </w:r>
      <w:r>
        <w:rPr>
          <w:rFonts w:hint="default" w:ascii="Times New Roman" w:hAnsi="Times New Roman" w:eastAsia="黑体" w:cs="Times New Roman"/>
          <w:color w:val="auto"/>
          <w:kern w:val="2"/>
          <w:sz w:val="32"/>
          <w:szCs w:val="24"/>
          <w:highlight w:val="none"/>
          <w:lang w:val="en-US" w:eastAsia="zh-CN" w:bidi="ar-SA"/>
        </w:rPr>
        <w:fldChar w:fldCharType="end"/>
      </w:r>
      <w:bookmarkEnd w:id="200"/>
      <w:bookmarkEnd w:id="201"/>
      <w:bookmarkEnd w:id="202"/>
      <w:bookmarkEnd w:id="203"/>
    </w:p>
    <w:p w14:paraId="1471A833">
      <w:pPr>
        <w:keepNext/>
        <w:widowControl w:val="0"/>
        <w:numPr>
          <w:ilvl w:val="0"/>
          <w:numId w:val="16"/>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204" w:name="_Toc19349"/>
      <w:bookmarkStart w:id="205" w:name="_Toc30215"/>
      <w:bookmarkStart w:id="206" w:name="_Toc1094"/>
      <w:bookmarkStart w:id="207" w:name="_Toc14104"/>
      <w:r>
        <w:rPr>
          <w:rFonts w:hint="default" w:ascii="Times New Roman" w:hAnsi="Times New Roman" w:eastAsia="楷体_GB2312" w:cs="Times New Roman"/>
          <w:b/>
          <w:bCs w:val="0"/>
          <w:color w:val="auto"/>
          <w:kern w:val="2"/>
          <w:sz w:val="32"/>
          <w:szCs w:val="32"/>
          <w:highlight w:val="none"/>
          <w:lang w:val="en-US" w:eastAsia="zh-CN" w:bidi="ar-SA"/>
        </w:rPr>
        <w:t>打造低空多元应用场景</w:t>
      </w:r>
      <w:bookmarkEnd w:id="204"/>
      <w:bookmarkEnd w:id="205"/>
      <w:bookmarkEnd w:id="206"/>
      <w:bookmarkEnd w:id="207"/>
    </w:p>
    <w:p w14:paraId="51A06ED4">
      <w:pPr>
        <w:bidi w:val="0"/>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color w:val="auto"/>
          <w:sz w:val="32"/>
          <w:szCs w:val="22"/>
          <w:highlight w:val="none"/>
          <w:lang w:val="en-US" w:eastAsia="zh-CN"/>
        </w:rPr>
        <w:t>加速低空经济新质生产力的培育与释放，核心支持打造多元化、高价值的低空经济示范应用场景体系，大力引导并鼓励企业深化探索与拓展无人机技术在关键领域的规模化、商业化应用。推动文旅产业先行先试发展低空新业态，支持开设低空载人航线，鼓励景区试点开展低空游览业务，依托景区建立飞行营地、垂直起降点，支持景区运营单位与各旅行社合作开发空中游览、飞行体验等旅游产品，试点建设共享航拍摄影无人机租赁点。打造一批技术先进、模式清晰、效益显著的示范应用标杆项目，鼓励企业拓展无人机在森林防火、物流运输、农林植保、应急救援、交通巡检等领域的商业化应用，支持开展无人机飞行、无人机测绘、低空飞行器驾驶等技能培训，构建特色鲜明的多元低空经济生态圈。</w:t>
      </w:r>
    </w:p>
    <w:p w14:paraId="709E878E">
      <w:pPr>
        <w:keepNext/>
        <w:widowControl w:val="0"/>
        <w:numPr>
          <w:ilvl w:val="0"/>
          <w:numId w:val="16"/>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208" w:name="_Toc19480"/>
      <w:bookmarkStart w:id="209" w:name="_Toc14269"/>
      <w:bookmarkStart w:id="210" w:name="_Toc9351"/>
      <w:bookmarkStart w:id="211" w:name="_Toc26959"/>
      <w:r>
        <w:rPr>
          <w:rFonts w:hint="default" w:ascii="Times New Roman" w:hAnsi="Times New Roman" w:eastAsia="楷体_GB2312" w:cs="Times New Roman"/>
          <w:b/>
          <w:bCs w:val="0"/>
          <w:color w:val="auto"/>
          <w:kern w:val="2"/>
          <w:sz w:val="32"/>
          <w:szCs w:val="32"/>
          <w:highlight w:val="none"/>
          <w:lang w:val="en-US" w:eastAsia="zh-CN" w:bidi="ar-SA"/>
        </w:rPr>
        <w:t>布局建设绿氢供应基地</w:t>
      </w:r>
      <w:bookmarkEnd w:id="208"/>
      <w:bookmarkEnd w:id="209"/>
      <w:bookmarkEnd w:id="210"/>
      <w:bookmarkEnd w:id="211"/>
    </w:p>
    <w:p w14:paraId="3F4822BE">
      <w:pPr>
        <w:bidi w:val="0"/>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color w:val="auto"/>
          <w:sz w:val="32"/>
          <w:szCs w:val="22"/>
          <w:highlight w:val="none"/>
          <w:lang w:val="en-US" w:eastAsia="zh-CN"/>
        </w:rPr>
        <w:t>有序融入全省氢能产业发展格局，重点发展电解水</w:t>
      </w:r>
      <w:r>
        <w:rPr>
          <w:rFonts w:hint="default" w:ascii="Times New Roman" w:hAnsi="Times New Roman" w:eastAsia="仿宋_GB2312" w:cs="Times New Roman"/>
          <w:color w:val="auto"/>
          <w:sz w:val="32"/>
          <w:szCs w:val="22"/>
          <w:highlight w:val="none"/>
          <w:lang w:eastAsia="zh-CN"/>
        </w:rPr>
        <w:t>制氢、</w:t>
      </w:r>
      <w:r>
        <w:rPr>
          <w:rFonts w:hint="default" w:ascii="Times New Roman" w:hAnsi="Times New Roman" w:eastAsia="仿宋_GB2312" w:cs="Times New Roman"/>
          <w:color w:val="auto"/>
          <w:sz w:val="32"/>
          <w:szCs w:val="22"/>
          <w:highlight w:val="none"/>
          <w:lang w:val="en-US" w:eastAsia="zh-CN"/>
        </w:rPr>
        <w:t>储运氢、加注氢，构建氢能“制储运加用”产业链体系，形成稳定可靠的氢源供给保障体系。依托县域内工业园区及飞地园区布局制氢设施，以产业园为载体部署规模化低成本电解水制氢工程建设，打造绿氢供应基地。以安全可控为前提，支持开展多种储运方式的探索和实践。坚持需求导向，统筹布局建设加氢站，支持依法依规利用现有加油加气站的场地设施改扩建加氢站。积极参与氢源供应网络建设，融入“川藏线”“成德眉资都市圈”绿色氢路打造，</w:t>
      </w:r>
      <w:r>
        <w:rPr>
          <w:rFonts w:hint="default" w:ascii="Times New Roman" w:hAnsi="Times New Roman" w:eastAsia="仿宋_GB2312" w:cs="Times New Roman"/>
          <w:color w:val="auto"/>
          <w:sz w:val="32"/>
          <w:szCs w:val="22"/>
          <w:highlight w:val="none"/>
        </w:rPr>
        <w:t>构建</w:t>
      </w:r>
      <w:r>
        <w:rPr>
          <w:rFonts w:hint="default" w:ascii="Times New Roman" w:hAnsi="Times New Roman" w:eastAsia="仿宋_GB2312" w:cs="Times New Roman"/>
          <w:color w:val="auto"/>
          <w:sz w:val="32"/>
          <w:szCs w:val="22"/>
          <w:highlight w:val="none"/>
          <w:lang w:val="en-US" w:eastAsia="zh-CN"/>
        </w:rPr>
        <w:t>全省氢源保障</w:t>
      </w:r>
      <w:r>
        <w:rPr>
          <w:rFonts w:hint="default" w:ascii="Times New Roman" w:hAnsi="Times New Roman" w:eastAsia="仿宋_GB2312" w:cs="Times New Roman"/>
          <w:color w:val="auto"/>
          <w:sz w:val="32"/>
          <w:szCs w:val="22"/>
          <w:highlight w:val="none"/>
        </w:rPr>
        <w:t>的重要供给地</w:t>
      </w:r>
      <w:r>
        <w:rPr>
          <w:rFonts w:hint="default" w:ascii="Times New Roman" w:hAnsi="Times New Roman" w:eastAsia="仿宋_GB2312" w:cs="Times New Roman"/>
          <w:color w:val="auto"/>
          <w:sz w:val="32"/>
          <w:szCs w:val="22"/>
          <w:highlight w:val="none"/>
          <w:lang w:eastAsia="zh-CN"/>
        </w:rPr>
        <w:t>。积极推动氢能应用场景多点示范，重点推广应用氢能重卡、物流车、冷链运输车、城际客车等中远途车辆，</w:t>
      </w:r>
      <w:r>
        <w:rPr>
          <w:rFonts w:hint="default" w:ascii="Times New Roman" w:hAnsi="Times New Roman" w:eastAsia="仿宋_GB2312" w:cs="Times New Roman"/>
          <w:color w:val="auto"/>
          <w:sz w:val="32"/>
          <w:szCs w:val="22"/>
          <w:highlight w:val="none"/>
          <w:lang w:val="en-US" w:eastAsia="zh-CN"/>
        </w:rPr>
        <w:t>推广应用氢能矿卡、起重机、挖掘机等高端装备，支撑绿色矿山建设。</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56DA6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00" w:type="pct"/>
            <w:shd w:val="clear" w:color="auto" w:fill="7F7F7F" w:themeFill="text1" w:themeFillTint="7F"/>
            <w:vAlign w:val="center"/>
          </w:tcPr>
          <w:p w14:paraId="0AB3FE46">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center"/>
              <w:rPr>
                <w:rFonts w:hint="default" w:ascii="Times New Roman" w:hAnsi="Times New Roman" w:eastAsia="黑体" w:cs="Times New Roman"/>
                <w:color w:val="auto"/>
                <w:kern w:val="2"/>
                <w:sz w:val="30"/>
                <w:szCs w:val="22"/>
                <w:highlight w:val="none"/>
                <w:lang w:val="en-US" w:eastAsia="zh-CN"/>
              </w:rPr>
            </w:pPr>
            <w:r>
              <w:rPr>
                <w:rFonts w:hint="default" w:ascii="Times New Roman" w:hAnsi="Times New Roman" w:eastAsia="黑体" w:cs="Times New Roman"/>
                <w:b/>
                <w:bCs/>
                <w:color w:val="auto"/>
                <w:kern w:val="0"/>
                <w:sz w:val="28"/>
                <w:szCs w:val="28"/>
                <w:highlight w:val="none"/>
                <w:lang w:bidi="ar"/>
              </w:rPr>
              <w:t>专栏</w:t>
            </w:r>
            <w:r>
              <w:rPr>
                <w:rFonts w:hint="default" w:ascii="Times New Roman" w:hAnsi="Times New Roman" w:eastAsia="黑体" w:cs="Times New Roman"/>
                <w:b/>
                <w:bCs/>
                <w:color w:val="auto"/>
                <w:kern w:val="0"/>
                <w:sz w:val="28"/>
                <w:szCs w:val="28"/>
                <w:highlight w:val="none"/>
                <w:lang w:val="en-US" w:eastAsia="zh-CN" w:bidi="ar"/>
              </w:rPr>
              <w:t>8  战略性新兴产业重点工程</w:t>
            </w:r>
          </w:p>
        </w:tc>
      </w:tr>
      <w:tr w14:paraId="7552A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tcPr>
          <w:p w14:paraId="2F1FEE51">
            <w:pPr>
              <w:keepNext w:val="0"/>
              <w:keepLines w:val="0"/>
              <w:pageBreakBefore w:val="0"/>
              <w:widowControl/>
              <w:numPr>
                <w:ilvl w:val="0"/>
                <w:numId w:val="13"/>
              </w:numPr>
              <w:kinsoku/>
              <w:wordWrap/>
              <w:overflowPunct/>
              <w:topLinePunct w:val="0"/>
              <w:autoSpaceDE/>
              <w:autoSpaceDN/>
              <w:bidi w:val="0"/>
              <w:adjustRightInd w:val="0"/>
              <w:snapToGrid w:val="0"/>
              <w:spacing w:line="440" w:lineRule="exact"/>
              <w:ind w:left="420" w:hanging="420" w:firstLineChars="0"/>
              <w:jc w:val="left"/>
              <w:textAlignment w:val="auto"/>
              <w:rPr>
                <w:rFonts w:hint="default" w:ascii="Times New Roman" w:hAnsi="Times New Roman" w:eastAsia="仿宋_GB2312" w:cs="Times New Roman"/>
                <w:color w:val="auto"/>
                <w:sz w:val="32"/>
                <w:szCs w:val="22"/>
                <w:highlight w:val="none"/>
              </w:rPr>
            </w:pPr>
            <w:r>
              <w:rPr>
                <w:rFonts w:hint="default" w:ascii="Times New Roman" w:hAnsi="Times New Roman" w:eastAsia="仿宋_GB2312" w:cs="Times New Roman"/>
                <w:b/>
                <w:bCs/>
                <w:color w:val="auto"/>
                <w:kern w:val="2"/>
                <w:sz w:val="28"/>
                <w:szCs w:val="28"/>
                <w:highlight w:val="none"/>
                <w:lang w:val="en-US" w:eastAsia="zh-CN"/>
              </w:rPr>
              <w:t>低空产业：</w:t>
            </w:r>
            <w:r>
              <w:rPr>
                <w:rFonts w:hint="eastAsia" w:cs="Times New Roman"/>
                <w:b w:val="0"/>
                <w:bCs w:val="0"/>
                <w:color w:val="auto"/>
                <w:kern w:val="2"/>
                <w:sz w:val="28"/>
                <w:szCs w:val="28"/>
                <w:highlight w:val="none"/>
                <w:lang w:val="en-US" w:eastAsia="zh-CN"/>
              </w:rPr>
              <w:t>1.</w:t>
            </w:r>
            <w:r>
              <w:rPr>
                <w:rFonts w:hint="default" w:cs="Times New Roman"/>
                <w:b w:val="0"/>
                <w:bCs w:val="0"/>
                <w:color w:val="auto"/>
                <w:kern w:val="2"/>
                <w:sz w:val="28"/>
                <w:szCs w:val="28"/>
                <w:highlight w:val="none"/>
                <w:lang w:val="en-US" w:eastAsia="zh-CN"/>
              </w:rPr>
              <w:t>推进理县低空经济建设</w:t>
            </w:r>
            <w:r>
              <w:rPr>
                <w:rFonts w:hint="eastAsia" w:cs="Times New Roman"/>
                <w:b w:val="0"/>
                <w:bCs w:val="0"/>
                <w:color w:val="auto"/>
                <w:kern w:val="2"/>
                <w:sz w:val="28"/>
                <w:szCs w:val="28"/>
                <w:highlight w:val="none"/>
                <w:lang w:val="en-US" w:eastAsia="zh-CN"/>
              </w:rPr>
              <w:t>、青藏高原东部山地低空经济融合示范基地建设等项目前期工作</w:t>
            </w:r>
            <w:r>
              <w:rPr>
                <w:rFonts w:hint="default" w:ascii="Times New Roman" w:hAnsi="Times New Roman" w:eastAsia="仿宋_GB2312" w:cs="Times New Roman"/>
                <w:b w:val="0"/>
                <w:bCs w:val="0"/>
                <w:color w:val="auto"/>
                <w:kern w:val="2"/>
                <w:sz w:val="28"/>
                <w:szCs w:val="28"/>
                <w:highlight w:val="none"/>
                <w:lang w:val="en-US" w:eastAsia="zh-CN"/>
              </w:rPr>
              <w:t>。</w:t>
            </w:r>
            <w:r>
              <w:rPr>
                <w:rFonts w:hint="eastAsia" w:cs="Times New Roman"/>
                <w:b w:val="0"/>
                <w:bCs w:val="0"/>
                <w:color w:val="auto"/>
                <w:kern w:val="2"/>
                <w:sz w:val="28"/>
                <w:szCs w:val="28"/>
                <w:highlight w:val="none"/>
                <w:lang w:val="en-US" w:eastAsia="zh-CN"/>
              </w:rPr>
              <w:t>2.开展桃坪镇低空经济培育发展项目论证工作。</w:t>
            </w:r>
          </w:p>
          <w:p w14:paraId="13002C0A">
            <w:pPr>
              <w:keepNext w:val="0"/>
              <w:keepLines w:val="0"/>
              <w:pageBreakBefore w:val="0"/>
              <w:widowControl/>
              <w:numPr>
                <w:ilvl w:val="0"/>
                <w:numId w:val="13"/>
              </w:numPr>
              <w:kinsoku/>
              <w:wordWrap/>
              <w:overflowPunct/>
              <w:topLinePunct w:val="0"/>
              <w:autoSpaceDE/>
              <w:autoSpaceDN/>
              <w:bidi w:val="0"/>
              <w:adjustRightInd w:val="0"/>
              <w:snapToGrid w:val="0"/>
              <w:spacing w:line="440" w:lineRule="exact"/>
              <w:ind w:left="420" w:leftChars="0" w:hanging="420" w:firstLineChars="0"/>
              <w:jc w:val="left"/>
              <w:textAlignment w:val="auto"/>
              <w:rPr>
                <w:rFonts w:hint="default" w:ascii="Times New Roman" w:hAnsi="Times New Roman" w:eastAsia="仿宋_GB2312" w:cs="Times New Roman"/>
                <w:color w:val="auto"/>
                <w:sz w:val="32"/>
                <w:szCs w:val="22"/>
                <w:highlight w:val="none"/>
                <w:lang w:eastAsia="zh-CN"/>
              </w:rPr>
            </w:pPr>
            <w:r>
              <w:rPr>
                <w:rFonts w:hint="default" w:ascii="Times New Roman" w:hAnsi="Times New Roman" w:eastAsia="仿宋_GB2312" w:cs="Times New Roman"/>
                <w:b/>
                <w:bCs/>
                <w:color w:val="auto"/>
                <w:kern w:val="2"/>
                <w:sz w:val="28"/>
                <w:szCs w:val="28"/>
                <w:highlight w:val="none"/>
                <w:lang w:val="en-US" w:eastAsia="zh-CN"/>
              </w:rPr>
              <w:t>氢能产业：</w:t>
            </w:r>
            <w:r>
              <w:rPr>
                <w:rFonts w:hint="eastAsia" w:cs="Times New Roman"/>
                <w:b w:val="0"/>
                <w:bCs w:val="0"/>
                <w:color w:val="auto"/>
                <w:kern w:val="2"/>
                <w:sz w:val="28"/>
                <w:szCs w:val="28"/>
                <w:highlight w:val="none"/>
                <w:lang w:val="en-US" w:eastAsia="zh-CN"/>
              </w:rPr>
              <w:t>开展</w:t>
            </w:r>
            <w:r>
              <w:rPr>
                <w:rFonts w:hint="default" w:ascii="Times New Roman" w:hAnsi="Times New Roman" w:eastAsia="仿宋_GB2312" w:cs="Times New Roman"/>
                <w:b w:val="0"/>
                <w:bCs w:val="0"/>
                <w:color w:val="auto"/>
                <w:kern w:val="2"/>
                <w:sz w:val="28"/>
                <w:szCs w:val="28"/>
                <w:highlight w:val="none"/>
                <w:lang w:val="en-US" w:eastAsia="zh-CN"/>
              </w:rPr>
              <w:t>理县氢能制造基地建设项目</w:t>
            </w:r>
            <w:r>
              <w:rPr>
                <w:rFonts w:hint="eastAsia" w:cs="Times New Roman"/>
                <w:b w:val="0"/>
                <w:bCs w:val="0"/>
                <w:color w:val="auto"/>
                <w:kern w:val="2"/>
                <w:sz w:val="28"/>
                <w:szCs w:val="28"/>
                <w:highlight w:val="none"/>
                <w:lang w:val="en-US" w:eastAsia="zh-CN"/>
              </w:rPr>
              <w:t>论证工作</w:t>
            </w:r>
            <w:r>
              <w:rPr>
                <w:rFonts w:hint="default" w:ascii="Times New Roman" w:hAnsi="Times New Roman" w:eastAsia="仿宋_GB2312" w:cs="Times New Roman"/>
                <w:b w:val="0"/>
                <w:bCs w:val="0"/>
                <w:color w:val="auto"/>
                <w:kern w:val="2"/>
                <w:sz w:val="28"/>
                <w:szCs w:val="28"/>
                <w:highlight w:val="none"/>
                <w:lang w:val="en-US" w:eastAsia="zh-CN"/>
              </w:rPr>
              <w:t>。</w:t>
            </w:r>
          </w:p>
        </w:tc>
      </w:tr>
    </w:tbl>
    <w:p w14:paraId="717E8AB8">
      <w:pPr>
        <w:bidi w:val="0"/>
        <w:ind w:firstLine="0" w:firstLineChars="0"/>
        <w:rPr>
          <w:rFonts w:hint="default" w:ascii="Times New Roman" w:hAnsi="Times New Roman" w:cs="Times New Roman"/>
          <w:color w:val="auto"/>
          <w:highlight w:val="none"/>
          <w:lang w:val="en-US" w:eastAsia="zh-CN"/>
        </w:rPr>
        <w:sectPr>
          <w:pgSz w:w="11906" w:h="16838"/>
          <w:pgMar w:top="2098" w:right="1474" w:bottom="1984" w:left="1587" w:header="851" w:footer="992" w:gutter="0"/>
          <w:pgNumType w:fmt="numberInDash"/>
          <w:cols w:space="0" w:num="1"/>
          <w:rtlGutter w:val="0"/>
          <w:docGrid w:type="lines" w:linePitch="439" w:charSpace="0"/>
        </w:sectPr>
      </w:pPr>
    </w:p>
    <w:p w14:paraId="3F03C500">
      <w:pPr>
        <w:keepNext w:val="0"/>
        <w:keepLines w:val="0"/>
        <w:pageBreakBefore w:val="0"/>
        <w:widowControl w:val="0"/>
        <w:numPr>
          <w:ilvl w:val="0"/>
          <w:numId w:val="3"/>
        </w:numPr>
        <w:kinsoku/>
        <w:wordWrap/>
        <w:overflowPunct/>
        <w:topLinePunct w:val="0"/>
        <w:autoSpaceDE/>
        <w:autoSpaceDN/>
        <w:bidi w:val="0"/>
        <w:adjustRightInd/>
        <w:snapToGrid w:val="0"/>
        <w:spacing w:before="313" w:beforeLines="100" w:after="313" w:afterLines="100" w:line="560" w:lineRule="exact"/>
        <w:ind w:left="0" w:leftChars="0" w:firstLine="0" w:firstLineChars="0"/>
        <w:jc w:val="center"/>
        <w:textAlignment w:val="auto"/>
        <w:outlineLvl w:val="0"/>
        <w:rPr>
          <w:rFonts w:hint="default" w:ascii="Times New Roman" w:hAnsi="Times New Roman" w:eastAsia="方正小标宋简体" w:cs="Times New Roman"/>
          <w:color w:val="auto"/>
          <w:spacing w:val="-6"/>
          <w:kern w:val="2"/>
          <w:sz w:val="36"/>
          <w:szCs w:val="22"/>
          <w:highlight w:val="none"/>
          <w:lang w:val="en-US" w:eastAsia="zh-CN" w:bidi="ar-SA"/>
        </w:rPr>
      </w:pPr>
      <w:r>
        <w:rPr>
          <w:rFonts w:hint="default" w:ascii="Times New Roman" w:hAnsi="Times New Roman" w:eastAsia="方正小标宋简体" w:cs="Times New Roman"/>
          <w:color w:val="auto"/>
          <w:kern w:val="2"/>
          <w:sz w:val="36"/>
          <w:szCs w:val="22"/>
          <w:highlight w:val="none"/>
          <w:lang w:val="en-US" w:eastAsia="zh-CN" w:bidi="ar-SA"/>
        </w:rPr>
        <w:t xml:space="preserve"> </w:t>
      </w:r>
      <w:bookmarkStart w:id="212" w:name="_Toc28016"/>
      <w:bookmarkStart w:id="213" w:name="_Toc20341"/>
      <w:bookmarkStart w:id="214" w:name="_Toc22432"/>
      <w:bookmarkStart w:id="215" w:name="_Toc32657"/>
      <w:r>
        <w:rPr>
          <w:rFonts w:hint="default" w:ascii="Times New Roman" w:hAnsi="Times New Roman" w:eastAsia="方正小标宋简体" w:cs="Times New Roman"/>
          <w:color w:val="auto"/>
          <w:spacing w:val="-6"/>
          <w:kern w:val="2"/>
          <w:sz w:val="44"/>
          <w:szCs w:val="44"/>
          <w:highlight w:val="none"/>
          <w:lang w:val="en-US" w:eastAsia="zh-CN" w:bidi="ar-SA"/>
        </w:rPr>
        <w:t>深化生态文明示范引领，绘就理县“两山”美丽画卷</w:t>
      </w:r>
      <w:bookmarkEnd w:id="212"/>
      <w:bookmarkEnd w:id="213"/>
      <w:bookmarkEnd w:id="214"/>
      <w:bookmarkEnd w:id="215"/>
    </w:p>
    <w:p w14:paraId="57514A81">
      <w:pPr>
        <w:bidi w:val="0"/>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color w:val="auto"/>
          <w:sz w:val="32"/>
          <w:szCs w:val="22"/>
          <w:highlight w:val="none"/>
          <w:lang w:val="en-US" w:eastAsia="zh-CN"/>
        </w:rPr>
        <w:t>践行习近平生态文明思想，坚定走绿色、可持续的高质量发展之路，协同推进降碳、减污、扩绿、增长，巩固省级生态县创建成果，全面推进美丽理县建设，积极争创国家级生态文明示范县。</w:t>
      </w:r>
    </w:p>
    <w:p w14:paraId="7F7BC0E2">
      <w:pPr>
        <w:keepNext/>
        <w:widowControl w:val="0"/>
        <w:numPr>
          <w:ilvl w:val="0"/>
          <w:numId w:val="1"/>
        </w:numPr>
        <w:bidi w:val="0"/>
        <w:snapToGrid w:val="0"/>
        <w:spacing w:before="100" w:beforeLines="100" w:after="100" w:afterLines="100" w:line="560" w:lineRule="exact"/>
        <w:ind w:left="0" w:leftChars="0" w:firstLine="0" w:firstLineChars="0"/>
        <w:jc w:val="center"/>
        <w:outlineLvl w:val="1"/>
        <w:rPr>
          <w:rFonts w:hint="default" w:ascii="Times New Roman" w:hAnsi="Times New Roman" w:eastAsia="黑体" w:cs="Times New Roman"/>
          <w:color w:val="auto"/>
          <w:kern w:val="2"/>
          <w:sz w:val="32"/>
          <w:szCs w:val="24"/>
          <w:highlight w:val="none"/>
          <w:lang w:val="en-US" w:eastAsia="zh-CN" w:bidi="ar-SA"/>
        </w:rPr>
      </w:pPr>
      <w:r>
        <w:rPr>
          <w:rFonts w:hint="default" w:ascii="Times New Roman" w:hAnsi="Times New Roman" w:eastAsia="黑体" w:cs="Times New Roman"/>
          <w:color w:val="auto"/>
          <w:kern w:val="2"/>
          <w:sz w:val="32"/>
          <w:szCs w:val="24"/>
          <w:highlight w:val="none"/>
          <w:lang w:val="en-US" w:eastAsia="zh-CN" w:bidi="ar-SA"/>
        </w:rPr>
        <w:t xml:space="preserve"> </w:t>
      </w:r>
      <w:bookmarkStart w:id="216" w:name="_Toc31056"/>
      <w:bookmarkStart w:id="217" w:name="_Toc22459"/>
      <w:bookmarkStart w:id="218" w:name="_Toc10391"/>
      <w:r>
        <w:rPr>
          <w:rFonts w:hint="default" w:ascii="Times New Roman" w:hAnsi="Times New Roman" w:eastAsia="黑体" w:cs="Times New Roman"/>
          <w:color w:val="auto"/>
          <w:kern w:val="2"/>
          <w:sz w:val="32"/>
          <w:szCs w:val="24"/>
          <w:highlight w:val="none"/>
          <w:lang w:val="en-US" w:eastAsia="zh-CN" w:bidi="ar-SA"/>
        </w:rPr>
        <w:t>构建全域生态保护格局</w:t>
      </w:r>
      <w:bookmarkEnd w:id="216"/>
      <w:bookmarkEnd w:id="217"/>
      <w:bookmarkEnd w:id="218"/>
    </w:p>
    <w:p w14:paraId="5CC6CA5D">
      <w:pPr>
        <w:keepNext/>
        <w:widowControl w:val="0"/>
        <w:numPr>
          <w:ilvl w:val="0"/>
          <w:numId w:val="17"/>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219" w:name="_Toc30397"/>
      <w:bookmarkStart w:id="220" w:name="_Toc15441"/>
      <w:bookmarkStart w:id="221" w:name="_Toc19522"/>
      <w:r>
        <w:rPr>
          <w:rFonts w:hint="default" w:ascii="Times New Roman" w:hAnsi="Times New Roman" w:eastAsia="楷体_GB2312" w:cs="Times New Roman"/>
          <w:b/>
          <w:bCs w:val="0"/>
          <w:color w:val="auto"/>
          <w:kern w:val="2"/>
          <w:sz w:val="32"/>
          <w:szCs w:val="32"/>
          <w:highlight w:val="none"/>
          <w:lang w:val="en-US" w:eastAsia="zh-CN" w:bidi="ar-SA"/>
        </w:rPr>
        <w:t>强化国土空间刚性约束</w:t>
      </w:r>
      <w:bookmarkEnd w:id="219"/>
      <w:bookmarkEnd w:id="220"/>
      <w:bookmarkEnd w:id="221"/>
    </w:p>
    <w:p w14:paraId="52B66E36">
      <w:pPr>
        <w:bidi w:val="0"/>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color w:val="auto"/>
          <w:sz w:val="32"/>
          <w:szCs w:val="22"/>
          <w:highlight w:val="none"/>
          <w:lang w:val="en-US" w:eastAsia="zh-CN"/>
        </w:rPr>
        <w:t>落实主体功能区战略，构建“一廊一核、三山三区”的国土空间总体格局。全面实施生态环境分区管控，强化生态环境分区管控刚性约束。严格生态保护红线管理，严守自然生态安全边界。强化“三区三线”空间管控，科学指导各类开发建设活动，严格准入生态保护红线内有限人为活动，做好重大项目占用生态保护红线不可避让论证工作。加强国土空间规划实施“一张图”监督系统应用，推进国土空间用途管制数字化转型。</w:t>
      </w:r>
    </w:p>
    <w:p w14:paraId="6A15A218">
      <w:pPr>
        <w:keepNext/>
        <w:widowControl w:val="0"/>
        <w:numPr>
          <w:ilvl w:val="0"/>
          <w:numId w:val="17"/>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222" w:name="_Toc14677"/>
      <w:bookmarkStart w:id="223" w:name="_Toc28957"/>
      <w:bookmarkStart w:id="224" w:name="_Toc4183"/>
      <w:r>
        <w:rPr>
          <w:rFonts w:hint="default" w:ascii="Times New Roman" w:hAnsi="Times New Roman" w:eastAsia="楷体_GB2312" w:cs="Times New Roman"/>
          <w:b/>
          <w:bCs w:val="0"/>
          <w:color w:val="auto"/>
          <w:kern w:val="2"/>
          <w:sz w:val="32"/>
          <w:szCs w:val="32"/>
          <w:highlight w:val="none"/>
          <w:lang w:val="en-US" w:eastAsia="zh-CN" w:bidi="ar-SA"/>
        </w:rPr>
        <w:t>强化重点生态功能区建设</w:t>
      </w:r>
      <w:bookmarkEnd w:id="222"/>
      <w:bookmarkEnd w:id="223"/>
      <w:bookmarkEnd w:id="224"/>
    </w:p>
    <w:p w14:paraId="458B2284">
      <w:pPr>
        <w:bidi w:val="0"/>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color w:val="auto"/>
          <w:sz w:val="32"/>
          <w:szCs w:val="22"/>
          <w:highlight w:val="none"/>
          <w:lang w:val="en-US" w:eastAsia="zh-CN"/>
        </w:rPr>
        <w:t>健全米亚罗自然保护区、米亚罗风景名胜区、桃坪羌寨风景名胜区和四川大熊猫栖息地世界自然遗产（理县单元）“1+1+2”自然保护地体系，构筑以邛崃山、鹧鸪山、大白山为主体的“三山”生态屏障和以杂谷脑河、孟屯沟为主体，梭罗沟、米亚罗沟等支流为支撑的河湖生态廊道。落实自然保护地整合优化方案，强化自然保护地分区管控，推进各类自然保护地勘界立标和总体规划修编工作。</w:t>
      </w:r>
    </w:p>
    <w:p w14:paraId="375003F8">
      <w:pPr>
        <w:keepNext/>
        <w:widowControl w:val="0"/>
        <w:numPr>
          <w:ilvl w:val="0"/>
          <w:numId w:val="1"/>
        </w:numPr>
        <w:bidi w:val="0"/>
        <w:snapToGrid w:val="0"/>
        <w:spacing w:before="100" w:beforeLines="100" w:after="100" w:afterLines="100" w:line="560" w:lineRule="exact"/>
        <w:ind w:left="0" w:leftChars="0" w:firstLine="0" w:firstLineChars="0"/>
        <w:jc w:val="center"/>
        <w:outlineLvl w:val="1"/>
        <w:rPr>
          <w:rFonts w:hint="default" w:ascii="Times New Roman" w:hAnsi="Times New Roman" w:eastAsia="黑体" w:cs="Times New Roman"/>
          <w:color w:val="auto"/>
          <w:kern w:val="2"/>
          <w:sz w:val="32"/>
          <w:szCs w:val="24"/>
          <w:highlight w:val="none"/>
          <w:lang w:val="en-US" w:eastAsia="zh-CN" w:bidi="ar-SA"/>
        </w:rPr>
      </w:pPr>
      <w:r>
        <w:rPr>
          <w:rFonts w:hint="default" w:ascii="Times New Roman" w:hAnsi="Times New Roman" w:eastAsia="黑体" w:cs="Times New Roman"/>
          <w:color w:val="auto"/>
          <w:kern w:val="2"/>
          <w:sz w:val="32"/>
          <w:szCs w:val="24"/>
          <w:highlight w:val="none"/>
          <w:lang w:val="en-US" w:eastAsia="zh-CN" w:bidi="ar-SA"/>
        </w:rPr>
        <w:t xml:space="preserve"> </w:t>
      </w:r>
      <w:bookmarkStart w:id="225" w:name="_Toc1088"/>
      <w:bookmarkStart w:id="226" w:name="_Toc9411"/>
      <w:bookmarkStart w:id="227" w:name="_Toc22168"/>
      <w:bookmarkStart w:id="228" w:name="_Toc17753"/>
      <w:r>
        <w:rPr>
          <w:rFonts w:hint="default" w:ascii="Times New Roman" w:hAnsi="Times New Roman" w:eastAsia="黑体" w:cs="Times New Roman"/>
          <w:color w:val="auto"/>
          <w:kern w:val="2"/>
          <w:sz w:val="32"/>
          <w:szCs w:val="24"/>
          <w:highlight w:val="none"/>
          <w:lang w:val="en-US" w:eastAsia="zh-CN" w:bidi="ar-SA"/>
        </w:rPr>
        <w:t>加强生态系统保护修复</w:t>
      </w:r>
      <w:bookmarkEnd w:id="225"/>
      <w:bookmarkEnd w:id="226"/>
      <w:bookmarkEnd w:id="227"/>
      <w:bookmarkEnd w:id="228"/>
    </w:p>
    <w:p w14:paraId="4184515C">
      <w:pPr>
        <w:keepNext/>
        <w:widowControl w:val="0"/>
        <w:numPr>
          <w:ilvl w:val="0"/>
          <w:numId w:val="18"/>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229" w:name="_Toc17416"/>
      <w:bookmarkStart w:id="230" w:name="_Toc7440"/>
      <w:bookmarkStart w:id="231" w:name="_Toc14098"/>
      <w:bookmarkStart w:id="232" w:name="_Toc30069"/>
      <w:r>
        <w:rPr>
          <w:rFonts w:hint="default" w:ascii="Times New Roman" w:hAnsi="Times New Roman" w:eastAsia="楷体_GB2312" w:cs="Times New Roman"/>
          <w:b/>
          <w:bCs w:val="0"/>
          <w:color w:val="auto"/>
          <w:kern w:val="2"/>
          <w:sz w:val="32"/>
          <w:szCs w:val="32"/>
          <w:highlight w:val="none"/>
          <w:lang w:val="en-US" w:eastAsia="zh-CN" w:bidi="ar-SA"/>
        </w:rPr>
        <w:t>加强生物多样性保护</w:t>
      </w:r>
      <w:bookmarkEnd w:id="229"/>
      <w:bookmarkEnd w:id="230"/>
      <w:bookmarkEnd w:id="231"/>
      <w:bookmarkEnd w:id="232"/>
    </w:p>
    <w:p w14:paraId="1D3F9E85">
      <w:pPr>
        <w:bidi w:val="0"/>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color w:val="auto"/>
          <w:sz w:val="32"/>
          <w:szCs w:val="22"/>
          <w:highlight w:val="none"/>
          <w:lang w:val="en-US" w:eastAsia="zh-CN"/>
        </w:rPr>
        <w:t>持续实施生物多样性保护重大工程，开展生物多样性本底调查与评估，建立生物多样性数据库，加强栖息地保护修复、生态廊道建设。加强野生动植物野外巡护和执法监管，依法严厉打击乱捕滥猎、乱砍滥伐行为。有序推进外来入侵物种防治，健全外来入侵物种防范工作体系。着力完善野生动植物保护体系，推进珍稀植物标本展览馆、野生动物救护管理站和专业救助队伍建设。强化水生生物多样性保护，</w:t>
      </w:r>
      <w:r>
        <w:rPr>
          <w:rFonts w:hint="eastAsia" w:cs="Times New Roman"/>
          <w:color w:val="auto"/>
          <w:sz w:val="32"/>
          <w:szCs w:val="22"/>
          <w:highlight w:val="none"/>
          <w:lang w:val="en-US" w:eastAsia="zh-CN"/>
        </w:rPr>
        <w:t>坚定不移</w:t>
      </w:r>
      <w:r>
        <w:rPr>
          <w:rFonts w:hint="default" w:ascii="Times New Roman" w:hAnsi="Times New Roman" w:eastAsia="仿宋_GB2312" w:cs="Times New Roman"/>
          <w:color w:val="auto"/>
          <w:sz w:val="32"/>
          <w:szCs w:val="22"/>
          <w:highlight w:val="none"/>
          <w:lang w:val="en-US" w:eastAsia="zh-CN"/>
        </w:rPr>
        <w:t>推进长江十年禁渔，持续开展重口裂腹鱼、齐口裂腹鱼等增殖放流工作。</w:t>
      </w:r>
    </w:p>
    <w:p w14:paraId="73EFBB75">
      <w:pPr>
        <w:keepNext/>
        <w:widowControl w:val="0"/>
        <w:numPr>
          <w:ilvl w:val="0"/>
          <w:numId w:val="18"/>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233" w:name="_Toc5117"/>
      <w:bookmarkStart w:id="234" w:name="_Toc25323"/>
      <w:bookmarkStart w:id="235" w:name="_Toc11542"/>
      <w:bookmarkStart w:id="236" w:name="_Toc9324"/>
      <w:r>
        <w:rPr>
          <w:rFonts w:hint="default" w:ascii="Times New Roman" w:hAnsi="Times New Roman" w:eastAsia="楷体_GB2312" w:cs="Times New Roman"/>
          <w:b/>
          <w:bCs w:val="0"/>
          <w:color w:val="auto"/>
          <w:kern w:val="2"/>
          <w:sz w:val="32"/>
          <w:szCs w:val="32"/>
          <w:highlight w:val="none"/>
          <w:lang w:val="en-US" w:eastAsia="zh-CN" w:bidi="ar-SA"/>
        </w:rPr>
        <w:t>深入推进生态修复治理</w:t>
      </w:r>
      <w:bookmarkEnd w:id="233"/>
      <w:bookmarkEnd w:id="234"/>
      <w:bookmarkEnd w:id="235"/>
      <w:bookmarkEnd w:id="236"/>
    </w:p>
    <w:p w14:paraId="020359CD">
      <w:pPr>
        <w:bidi w:val="0"/>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color w:val="auto"/>
          <w:sz w:val="32"/>
          <w:szCs w:val="22"/>
          <w:highlight w:val="none"/>
          <w:lang w:val="en-US" w:eastAsia="zh-CN"/>
        </w:rPr>
        <w:t>坚持山水林田湖草沙生态系统保护和治理，提高生态系统自我修复能力和稳定性。严格落实河（湖）长制，加强水域岸线用途管控，推进流域面积50平方千米以上河流管理范围划界入库。加快推进岷江流域理县段治理，加强杂谷脑河流域小水电生态流量监督管理，定期开展河流（湖库）健康评价。加强水生态保护修复，开展杂谷脑河、孟屯河等河流生态岸线、河岸缓冲带等建设。全面落实林长制，科学开展增绿补绿，强化天然林保护和国有森林、集体公益林管护。加强退化林修复、中幼林抚育管护和低效林改造，实施森林质量精准提升工程。严格落实草原禁牧和草畜平衡制度，加强草原保护和合理利用。加强杂谷脑河干旱半干旱河谷治理，在薛城镇、通化乡等干旱河谷地区，实施生态综合治理示范工程。加强自然灾害创面生态修复，推进汶马高速、理小路等建设工程创面植被恢复。</w:t>
      </w:r>
    </w:p>
    <w:p w14:paraId="79329517">
      <w:pPr>
        <w:keepNext/>
        <w:widowControl w:val="0"/>
        <w:numPr>
          <w:ilvl w:val="0"/>
          <w:numId w:val="19"/>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237" w:name="_Toc25473"/>
      <w:bookmarkStart w:id="238" w:name="_Toc18547"/>
      <w:bookmarkStart w:id="239" w:name="_Toc12592"/>
      <w:r>
        <w:rPr>
          <w:rFonts w:hint="default" w:ascii="Times New Roman" w:hAnsi="Times New Roman" w:eastAsia="楷体_GB2312" w:cs="Times New Roman"/>
          <w:b/>
          <w:bCs w:val="0"/>
          <w:color w:val="auto"/>
          <w:kern w:val="2"/>
          <w:sz w:val="32"/>
          <w:szCs w:val="32"/>
          <w:highlight w:val="none"/>
          <w:lang w:val="en-US" w:eastAsia="zh-CN" w:bidi="ar-SA"/>
        </w:rPr>
        <w:t>健全生态系统保护制度</w:t>
      </w:r>
      <w:bookmarkEnd w:id="237"/>
      <w:bookmarkEnd w:id="238"/>
      <w:bookmarkEnd w:id="239"/>
    </w:p>
    <w:p w14:paraId="0AD45386">
      <w:pPr>
        <w:bidi w:val="0"/>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color w:val="auto"/>
          <w:sz w:val="32"/>
          <w:szCs w:val="22"/>
          <w:highlight w:val="none"/>
          <w:lang w:val="en-US" w:eastAsia="zh-CN"/>
        </w:rPr>
        <w:t>落实最严格的生态环境保护制度，建立健全生态环境治理的领导责任体系、企业责任体系和全民行动体系。压实地方党政领导干部生态环境保护责任，严格监督考核，实行领导干部自然资源资产离任审计和生态环境损害责任终身追究制。探索建立生态环境破坏赔偿、环境污染责任追究、环保信用评价管理等制度，完善环境公益诉讼等制度，健全生态考核激励、项目建设生态审查等机制，加快构建源头严防、过程严控、后果严惩、责任严追的全过程监管体系。探索开展生态综合补偿，继续实行退耕还林（草）、森林生态效益补偿和草原生态保护补助奖励政策，推动建立水生态保护补偿机制。</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537A2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00" w:type="pct"/>
            <w:shd w:val="clear" w:color="auto" w:fill="7F7F7F" w:themeFill="text1" w:themeFillTint="7F"/>
            <w:vAlign w:val="center"/>
          </w:tcPr>
          <w:p w14:paraId="0625EE57">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center"/>
              <w:rPr>
                <w:rFonts w:hint="default" w:ascii="Times New Roman" w:hAnsi="Times New Roman" w:eastAsia="黑体" w:cs="Times New Roman"/>
                <w:b/>
                <w:bCs/>
                <w:color w:val="auto"/>
                <w:kern w:val="0"/>
                <w:sz w:val="28"/>
                <w:szCs w:val="28"/>
                <w:highlight w:val="none"/>
                <w:lang w:val="en-US" w:eastAsia="zh-CN" w:bidi="ar"/>
              </w:rPr>
            </w:pPr>
            <w:r>
              <w:rPr>
                <w:rFonts w:hint="default" w:ascii="Times New Roman" w:hAnsi="Times New Roman" w:eastAsia="黑体" w:cs="Times New Roman"/>
                <w:b/>
                <w:bCs/>
                <w:color w:val="auto"/>
                <w:kern w:val="0"/>
                <w:sz w:val="28"/>
                <w:szCs w:val="28"/>
                <w:highlight w:val="none"/>
                <w:lang w:bidi="ar"/>
              </w:rPr>
              <w:t>专栏</w:t>
            </w:r>
            <w:r>
              <w:rPr>
                <w:rFonts w:hint="default" w:ascii="Times New Roman" w:hAnsi="Times New Roman" w:eastAsia="黑体" w:cs="Times New Roman"/>
                <w:b/>
                <w:bCs/>
                <w:color w:val="auto"/>
                <w:kern w:val="0"/>
                <w:sz w:val="28"/>
                <w:szCs w:val="28"/>
                <w:highlight w:val="none"/>
                <w:lang w:val="en-US" w:eastAsia="zh-CN" w:bidi="ar"/>
              </w:rPr>
              <w:t xml:space="preserve">9 </w:t>
            </w:r>
            <w:r>
              <w:rPr>
                <w:rFonts w:hint="default" w:ascii="Times New Roman" w:hAnsi="Times New Roman" w:eastAsia="黑体" w:cs="Times New Roman"/>
                <w:b/>
                <w:bCs/>
                <w:color w:val="auto"/>
                <w:kern w:val="0"/>
                <w:sz w:val="28"/>
                <w:szCs w:val="28"/>
                <w:highlight w:val="none"/>
                <w:lang w:bidi="ar"/>
              </w:rPr>
              <w:t xml:space="preserve"> 重要生态系统保护修复</w:t>
            </w:r>
            <w:r>
              <w:rPr>
                <w:rFonts w:hint="default" w:ascii="Times New Roman" w:hAnsi="Times New Roman" w:eastAsia="黑体" w:cs="Times New Roman"/>
                <w:b/>
                <w:bCs/>
                <w:color w:val="auto"/>
                <w:kern w:val="0"/>
                <w:sz w:val="28"/>
                <w:szCs w:val="28"/>
                <w:highlight w:val="none"/>
                <w:lang w:val="en-US" w:eastAsia="zh-CN" w:bidi="ar"/>
              </w:rPr>
              <w:t>重点工程</w:t>
            </w:r>
          </w:p>
        </w:tc>
      </w:tr>
      <w:tr w14:paraId="27555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tcPr>
          <w:p w14:paraId="3885156A">
            <w:pPr>
              <w:keepNext w:val="0"/>
              <w:keepLines w:val="0"/>
              <w:pageBreakBefore w:val="0"/>
              <w:widowControl/>
              <w:numPr>
                <w:ilvl w:val="0"/>
                <w:numId w:val="13"/>
              </w:numPr>
              <w:kinsoku/>
              <w:wordWrap/>
              <w:overflowPunct/>
              <w:topLinePunct w:val="0"/>
              <w:autoSpaceDE/>
              <w:autoSpaceDN/>
              <w:bidi w:val="0"/>
              <w:adjustRightInd w:val="0"/>
              <w:snapToGrid w:val="0"/>
              <w:spacing w:line="440" w:lineRule="exact"/>
              <w:ind w:left="420" w:leftChars="0" w:hanging="420" w:firstLineChars="0"/>
              <w:jc w:val="left"/>
              <w:textAlignment w:val="auto"/>
              <w:rPr>
                <w:rFonts w:hint="default" w:ascii="Times New Roman" w:hAnsi="Times New Roman" w:eastAsia="仿宋_GB2312" w:cs="Times New Roman"/>
                <w:b/>
                <w:bCs/>
                <w:color w:val="auto"/>
                <w:kern w:val="2"/>
                <w:sz w:val="28"/>
                <w:szCs w:val="28"/>
                <w:highlight w:val="none"/>
                <w:lang w:val="en-US" w:eastAsia="zh-CN"/>
              </w:rPr>
            </w:pPr>
            <w:r>
              <w:rPr>
                <w:rFonts w:hint="default" w:ascii="Times New Roman" w:hAnsi="Times New Roman" w:eastAsia="仿宋_GB2312" w:cs="Times New Roman"/>
                <w:b/>
                <w:bCs/>
                <w:color w:val="auto"/>
                <w:kern w:val="2"/>
                <w:sz w:val="28"/>
                <w:szCs w:val="28"/>
                <w:highlight w:val="none"/>
                <w:lang w:val="en-US" w:eastAsia="zh-CN"/>
              </w:rPr>
              <w:t>生态系统保护与修复：</w:t>
            </w:r>
            <w:r>
              <w:rPr>
                <w:rFonts w:hint="eastAsia" w:cs="Times New Roman"/>
                <w:b w:val="0"/>
                <w:bCs w:val="0"/>
                <w:color w:val="auto"/>
                <w:kern w:val="2"/>
                <w:sz w:val="28"/>
                <w:szCs w:val="28"/>
                <w:highlight w:val="none"/>
                <w:lang w:val="en-US" w:eastAsia="zh-CN"/>
              </w:rPr>
              <w:t>1.</w:t>
            </w:r>
            <w:r>
              <w:rPr>
                <w:rFonts w:hint="default" w:ascii="Times New Roman" w:hAnsi="Times New Roman" w:eastAsia="仿宋_GB2312" w:cs="Times New Roman"/>
                <w:b w:val="0"/>
                <w:bCs w:val="0"/>
                <w:color w:val="auto"/>
                <w:kern w:val="2"/>
                <w:sz w:val="28"/>
                <w:szCs w:val="28"/>
                <w:highlight w:val="none"/>
                <w:lang w:val="en-US" w:eastAsia="zh-CN"/>
              </w:rPr>
              <w:t>实施四川省阿坝州邛崃-岷山生物多样性保护与水源涵养生态修复</w:t>
            </w:r>
            <w:r>
              <w:rPr>
                <w:rFonts w:hint="eastAsia" w:cs="Times New Roman"/>
                <w:b w:val="0"/>
                <w:bCs w:val="0"/>
                <w:color w:val="auto"/>
                <w:kern w:val="2"/>
                <w:sz w:val="28"/>
                <w:szCs w:val="28"/>
                <w:highlight w:val="none"/>
                <w:lang w:val="en-US" w:eastAsia="zh-CN"/>
              </w:rPr>
              <w:t>、</w:t>
            </w:r>
            <w:r>
              <w:rPr>
                <w:rFonts w:hint="default" w:ascii="Times New Roman" w:hAnsi="Times New Roman" w:eastAsia="仿宋_GB2312" w:cs="Times New Roman"/>
                <w:color w:val="auto"/>
                <w:sz w:val="28"/>
                <w:szCs w:val="28"/>
                <w:highlight w:val="none"/>
              </w:rPr>
              <w:t>杂谷脑河流域重要支流（梭罗沟、孟屯河、毕棚沟）生态修复</w:t>
            </w:r>
            <w:r>
              <w:rPr>
                <w:rFonts w:hint="default" w:ascii="Times New Roman" w:hAnsi="Times New Roman" w:eastAsia="仿宋_GB2312" w:cs="Times New Roman"/>
                <w:color w:val="auto"/>
                <w:sz w:val="28"/>
                <w:szCs w:val="28"/>
                <w:highlight w:val="none"/>
                <w:lang w:eastAsia="zh-CN"/>
              </w:rPr>
              <w:t>、</w:t>
            </w:r>
            <w:r>
              <w:rPr>
                <w:rFonts w:hint="eastAsia" w:cs="Times New Roman"/>
                <w:color w:val="auto"/>
                <w:sz w:val="28"/>
                <w:szCs w:val="28"/>
                <w:highlight w:val="none"/>
                <w:lang w:val="en-US" w:eastAsia="zh-CN"/>
              </w:rPr>
              <w:t>理县</w:t>
            </w:r>
            <w:r>
              <w:rPr>
                <w:rFonts w:hint="default" w:ascii="Times New Roman" w:hAnsi="Times New Roman" w:eastAsia="仿宋_GB2312" w:cs="Times New Roman"/>
                <w:color w:val="auto"/>
                <w:sz w:val="28"/>
                <w:szCs w:val="28"/>
                <w:highlight w:val="none"/>
              </w:rPr>
              <w:t>杂谷脑流域干旱-半干旱生态综合治理</w:t>
            </w:r>
            <w:r>
              <w:rPr>
                <w:rFonts w:hint="default" w:ascii="Times New Roman" w:hAnsi="Times New Roman" w:eastAsia="仿宋_GB2312" w:cs="Times New Roman"/>
                <w:color w:val="auto"/>
                <w:sz w:val="28"/>
                <w:szCs w:val="28"/>
                <w:highlight w:val="none"/>
                <w:lang w:eastAsia="zh-CN"/>
              </w:rPr>
              <w:t>、</w:t>
            </w:r>
            <w:r>
              <w:rPr>
                <w:rFonts w:hint="eastAsia" w:cs="Times New Roman"/>
                <w:color w:val="auto"/>
                <w:sz w:val="28"/>
                <w:szCs w:val="28"/>
                <w:highlight w:val="none"/>
                <w:lang w:val="en-US" w:eastAsia="zh-CN"/>
              </w:rPr>
              <w:t>理县</w:t>
            </w:r>
            <w:r>
              <w:rPr>
                <w:rFonts w:hint="default" w:ascii="Times New Roman" w:hAnsi="Times New Roman" w:eastAsia="仿宋_GB2312" w:cs="Times New Roman"/>
                <w:color w:val="auto"/>
                <w:sz w:val="28"/>
                <w:szCs w:val="28"/>
                <w:highlight w:val="none"/>
              </w:rPr>
              <w:t>人工林改造培育</w:t>
            </w:r>
            <w:r>
              <w:rPr>
                <w:rFonts w:hint="default" w:ascii="Times New Roman" w:hAnsi="Times New Roman" w:eastAsia="仿宋_GB2312" w:cs="Times New Roman"/>
                <w:color w:val="auto"/>
                <w:sz w:val="28"/>
                <w:szCs w:val="28"/>
                <w:highlight w:val="none"/>
                <w:lang w:eastAsia="zh-CN"/>
              </w:rPr>
              <w:t>、</w:t>
            </w:r>
            <w:r>
              <w:rPr>
                <w:rFonts w:hint="eastAsia" w:cs="Times New Roman"/>
                <w:color w:val="auto"/>
                <w:sz w:val="28"/>
                <w:szCs w:val="28"/>
                <w:highlight w:val="none"/>
                <w:lang w:val="en-US" w:eastAsia="zh-CN"/>
              </w:rPr>
              <w:t>理县</w:t>
            </w:r>
            <w:r>
              <w:rPr>
                <w:rFonts w:hint="default" w:ascii="Times New Roman" w:hAnsi="Times New Roman" w:eastAsia="仿宋_GB2312" w:cs="Times New Roman"/>
                <w:color w:val="auto"/>
                <w:sz w:val="28"/>
                <w:szCs w:val="28"/>
                <w:highlight w:val="none"/>
              </w:rPr>
              <w:t>草原改良及草原围栏封育</w:t>
            </w:r>
            <w:r>
              <w:rPr>
                <w:rFonts w:hint="default" w:ascii="Times New Roman" w:hAnsi="Times New Roman" w:eastAsia="仿宋_GB2312" w:cs="Times New Roman"/>
                <w:color w:val="auto"/>
                <w:sz w:val="28"/>
                <w:szCs w:val="28"/>
                <w:highlight w:val="none"/>
                <w:lang w:eastAsia="zh-CN"/>
              </w:rPr>
              <w:t>、</w:t>
            </w:r>
            <w:r>
              <w:rPr>
                <w:rFonts w:hint="eastAsia" w:cs="Times New Roman"/>
                <w:color w:val="auto"/>
                <w:sz w:val="28"/>
                <w:szCs w:val="28"/>
                <w:highlight w:val="none"/>
                <w:lang w:val="en-US" w:eastAsia="zh-CN"/>
              </w:rPr>
              <w:t>理县</w:t>
            </w:r>
            <w:r>
              <w:rPr>
                <w:rFonts w:hint="default" w:ascii="Times New Roman" w:hAnsi="Times New Roman" w:eastAsia="仿宋_GB2312" w:cs="Times New Roman"/>
                <w:color w:val="auto"/>
                <w:sz w:val="28"/>
                <w:szCs w:val="28"/>
                <w:highlight w:val="none"/>
              </w:rPr>
              <w:t>高山草地-亚高山森林-干旱河谷区生态修复</w:t>
            </w:r>
            <w:r>
              <w:rPr>
                <w:rFonts w:hint="default" w:ascii="Times New Roman" w:hAnsi="Times New Roman" w:eastAsia="仿宋_GB2312" w:cs="Times New Roman"/>
                <w:color w:val="auto"/>
                <w:sz w:val="28"/>
                <w:szCs w:val="28"/>
                <w:highlight w:val="none"/>
                <w:lang w:val="en-US" w:eastAsia="zh-CN"/>
              </w:rPr>
              <w:t>等项目。</w:t>
            </w:r>
            <w:r>
              <w:rPr>
                <w:rFonts w:hint="eastAsia" w:cs="Times New Roman"/>
                <w:color w:val="auto"/>
                <w:sz w:val="28"/>
                <w:szCs w:val="28"/>
                <w:highlight w:val="none"/>
                <w:lang w:val="en-US" w:eastAsia="zh-CN"/>
              </w:rPr>
              <w:t>2.</w:t>
            </w:r>
            <w:r>
              <w:rPr>
                <w:rFonts w:hint="default" w:ascii="Times New Roman" w:hAnsi="Times New Roman" w:eastAsia="仿宋_GB2312" w:cs="Times New Roman"/>
                <w:color w:val="auto"/>
                <w:sz w:val="28"/>
                <w:szCs w:val="28"/>
                <w:highlight w:val="none"/>
                <w:lang w:val="en-US" w:eastAsia="zh-CN"/>
              </w:rPr>
              <w:t>加快推进</w:t>
            </w:r>
            <w:r>
              <w:rPr>
                <w:rFonts w:hint="default" w:ascii="Times New Roman" w:hAnsi="Times New Roman" w:eastAsia="仿宋_GB2312" w:cs="Times New Roman"/>
                <w:color w:val="auto"/>
                <w:sz w:val="28"/>
                <w:szCs w:val="28"/>
                <w:highlight w:val="none"/>
              </w:rPr>
              <w:t>岷江流域理县段杂谷脑河水生态保护修复</w:t>
            </w:r>
            <w:r>
              <w:rPr>
                <w:rFonts w:hint="default" w:ascii="Times New Roman" w:hAnsi="Times New Roman" w:eastAsia="仿宋_GB2312" w:cs="Times New Roman"/>
                <w:color w:val="auto"/>
                <w:sz w:val="28"/>
                <w:szCs w:val="28"/>
                <w:highlight w:val="none"/>
                <w:lang w:eastAsia="zh-CN"/>
              </w:rPr>
              <w:t>、</w:t>
            </w:r>
            <w:r>
              <w:rPr>
                <w:rFonts w:hint="default" w:ascii="Times New Roman" w:hAnsi="Times New Roman" w:eastAsia="仿宋_GB2312" w:cs="Times New Roman"/>
                <w:color w:val="auto"/>
                <w:sz w:val="28"/>
                <w:szCs w:val="28"/>
                <w:highlight w:val="none"/>
              </w:rPr>
              <w:t>孟屯河水生态保护修复</w:t>
            </w:r>
            <w:r>
              <w:rPr>
                <w:rFonts w:hint="default" w:ascii="Times New Roman" w:hAnsi="Times New Roman" w:eastAsia="仿宋_GB2312" w:cs="Times New Roman"/>
                <w:color w:val="auto"/>
                <w:sz w:val="28"/>
                <w:szCs w:val="28"/>
                <w:highlight w:val="none"/>
                <w:lang w:val="en-US" w:eastAsia="zh-CN"/>
              </w:rPr>
              <w:t>等</w:t>
            </w:r>
            <w:r>
              <w:rPr>
                <w:rFonts w:hint="default" w:ascii="Times New Roman" w:hAnsi="Times New Roman" w:eastAsia="仿宋_GB2312" w:cs="Times New Roman"/>
                <w:color w:val="auto"/>
                <w:sz w:val="28"/>
                <w:szCs w:val="28"/>
                <w:highlight w:val="none"/>
              </w:rPr>
              <w:t>项目</w:t>
            </w:r>
            <w:r>
              <w:rPr>
                <w:rFonts w:hint="default" w:ascii="Times New Roman" w:hAnsi="Times New Roman" w:eastAsia="仿宋_GB2312" w:cs="Times New Roman"/>
                <w:color w:val="auto"/>
                <w:sz w:val="28"/>
                <w:szCs w:val="28"/>
                <w:highlight w:val="none"/>
                <w:lang w:val="en-US" w:eastAsia="zh-CN"/>
              </w:rPr>
              <w:t>前期工作。</w:t>
            </w:r>
          </w:p>
          <w:p w14:paraId="22B879DF">
            <w:pPr>
              <w:keepNext w:val="0"/>
              <w:keepLines w:val="0"/>
              <w:pageBreakBefore w:val="0"/>
              <w:widowControl/>
              <w:numPr>
                <w:ilvl w:val="0"/>
                <w:numId w:val="13"/>
              </w:numPr>
              <w:kinsoku/>
              <w:wordWrap/>
              <w:overflowPunct/>
              <w:topLinePunct w:val="0"/>
              <w:autoSpaceDE/>
              <w:autoSpaceDN/>
              <w:bidi w:val="0"/>
              <w:adjustRightInd w:val="0"/>
              <w:snapToGrid w:val="0"/>
              <w:spacing w:line="440" w:lineRule="exact"/>
              <w:ind w:left="420" w:leftChars="0" w:hanging="420" w:firstLineChars="0"/>
              <w:jc w:val="left"/>
              <w:textAlignment w:val="auto"/>
              <w:rPr>
                <w:rFonts w:hint="default" w:ascii="Times New Roman" w:hAnsi="Times New Roman" w:eastAsia="仿宋_GB2312" w:cs="Times New Roman"/>
                <w:b/>
                <w:bCs/>
                <w:color w:val="auto"/>
                <w:kern w:val="2"/>
                <w:sz w:val="28"/>
                <w:szCs w:val="28"/>
                <w:highlight w:val="none"/>
                <w:lang w:val="en-US" w:eastAsia="zh-CN"/>
              </w:rPr>
            </w:pPr>
            <w:r>
              <w:rPr>
                <w:rFonts w:hint="default" w:ascii="Times New Roman" w:hAnsi="Times New Roman" w:eastAsia="仿宋_GB2312" w:cs="Times New Roman"/>
                <w:b/>
                <w:bCs/>
                <w:color w:val="auto"/>
                <w:kern w:val="2"/>
                <w:sz w:val="28"/>
                <w:szCs w:val="28"/>
                <w:highlight w:val="none"/>
                <w:lang w:val="en-US" w:eastAsia="zh-CN"/>
              </w:rPr>
              <w:t>大熊猫国家公园区域生态保护和修复：</w:t>
            </w:r>
            <w:r>
              <w:rPr>
                <w:rFonts w:hint="default" w:ascii="Times New Roman" w:hAnsi="Times New Roman" w:eastAsia="仿宋_GB2312" w:cs="Times New Roman"/>
                <w:b w:val="0"/>
                <w:bCs w:val="0"/>
                <w:color w:val="auto"/>
                <w:kern w:val="2"/>
                <w:sz w:val="28"/>
                <w:szCs w:val="28"/>
                <w:highlight w:val="none"/>
                <w:lang w:val="en-US" w:eastAsia="zh-CN"/>
              </w:rPr>
              <w:t>实施大熊猫国家公园（理县片区）生态廊道与栖息地修复项目。</w:t>
            </w:r>
          </w:p>
          <w:p w14:paraId="4E88D60F">
            <w:pPr>
              <w:keepNext w:val="0"/>
              <w:keepLines w:val="0"/>
              <w:pageBreakBefore w:val="0"/>
              <w:widowControl/>
              <w:numPr>
                <w:ilvl w:val="0"/>
                <w:numId w:val="13"/>
              </w:numPr>
              <w:kinsoku/>
              <w:wordWrap/>
              <w:overflowPunct/>
              <w:topLinePunct w:val="0"/>
              <w:autoSpaceDE/>
              <w:autoSpaceDN/>
              <w:bidi w:val="0"/>
              <w:adjustRightInd w:val="0"/>
              <w:snapToGrid w:val="0"/>
              <w:spacing w:line="440" w:lineRule="exact"/>
              <w:ind w:left="420" w:leftChars="0" w:hanging="420" w:firstLineChars="0"/>
              <w:jc w:val="left"/>
              <w:textAlignment w:val="auto"/>
              <w:rPr>
                <w:rFonts w:hint="default" w:ascii="Times New Roman" w:hAnsi="Times New Roman" w:eastAsia="仿宋_GB2312" w:cs="Times New Roman"/>
                <w:b/>
                <w:bCs/>
                <w:color w:val="auto"/>
                <w:kern w:val="2"/>
                <w:sz w:val="28"/>
                <w:szCs w:val="28"/>
                <w:highlight w:val="none"/>
                <w:lang w:val="en-US" w:eastAsia="zh-CN"/>
              </w:rPr>
            </w:pPr>
            <w:r>
              <w:rPr>
                <w:rFonts w:hint="default" w:ascii="Times New Roman" w:hAnsi="Times New Roman" w:eastAsia="仿宋_GB2312" w:cs="Times New Roman"/>
                <w:b/>
                <w:bCs/>
                <w:color w:val="auto"/>
                <w:sz w:val="28"/>
                <w:szCs w:val="28"/>
                <w:highlight w:val="none"/>
                <w:lang w:val="en-US" w:eastAsia="zh-CN"/>
              </w:rPr>
              <w:t>岷江源美丽河湖保护：</w:t>
            </w:r>
            <w:r>
              <w:rPr>
                <w:rFonts w:hint="default" w:ascii="Times New Roman" w:hAnsi="Times New Roman" w:eastAsia="仿宋_GB2312" w:cs="Times New Roman"/>
                <w:b w:val="0"/>
                <w:bCs w:val="0"/>
                <w:color w:val="auto"/>
                <w:kern w:val="2"/>
                <w:sz w:val="28"/>
                <w:szCs w:val="28"/>
                <w:highlight w:val="none"/>
                <w:lang w:val="en-US" w:eastAsia="zh-CN"/>
              </w:rPr>
              <w:t>完工岷江流域理县段支流水质提升及生态修复项目</w:t>
            </w:r>
            <w:r>
              <w:rPr>
                <w:rFonts w:hint="default" w:ascii="Times New Roman" w:hAnsi="Times New Roman" w:eastAsia="仿宋_GB2312" w:cs="Times New Roman"/>
                <w:color w:val="auto"/>
                <w:sz w:val="28"/>
                <w:szCs w:val="28"/>
                <w:highlight w:val="none"/>
                <w:lang w:val="en-US" w:eastAsia="zh-CN"/>
              </w:rPr>
              <w:t>。</w:t>
            </w:r>
          </w:p>
          <w:p w14:paraId="331DF7BD">
            <w:pPr>
              <w:keepNext w:val="0"/>
              <w:keepLines w:val="0"/>
              <w:pageBreakBefore w:val="0"/>
              <w:widowControl/>
              <w:numPr>
                <w:ilvl w:val="0"/>
                <w:numId w:val="13"/>
              </w:numPr>
              <w:kinsoku/>
              <w:wordWrap/>
              <w:overflowPunct/>
              <w:topLinePunct w:val="0"/>
              <w:autoSpaceDE/>
              <w:autoSpaceDN/>
              <w:bidi w:val="0"/>
              <w:adjustRightInd w:val="0"/>
              <w:snapToGrid w:val="0"/>
              <w:spacing w:line="440" w:lineRule="exact"/>
              <w:ind w:left="420" w:leftChars="0" w:hanging="420" w:firstLineChars="0"/>
              <w:jc w:val="left"/>
              <w:textAlignment w:val="auto"/>
              <w:rPr>
                <w:rFonts w:hint="default" w:ascii="Times New Roman" w:hAnsi="Times New Roman" w:eastAsia="仿宋_GB2312" w:cs="Times New Roman"/>
                <w:color w:val="auto"/>
                <w:sz w:val="32"/>
                <w:szCs w:val="22"/>
                <w:highlight w:val="none"/>
                <w:lang w:eastAsia="zh-CN"/>
              </w:rPr>
            </w:pPr>
            <w:r>
              <w:rPr>
                <w:rFonts w:hint="default" w:ascii="Times New Roman" w:hAnsi="Times New Roman" w:eastAsia="仿宋_GB2312" w:cs="Times New Roman"/>
                <w:b/>
                <w:bCs/>
                <w:color w:val="auto"/>
                <w:kern w:val="2"/>
                <w:sz w:val="28"/>
                <w:szCs w:val="28"/>
                <w:highlight w:val="none"/>
                <w:lang w:val="en-US" w:eastAsia="zh-CN"/>
              </w:rPr>
              <w:t>生物多样性监测与保护：</w:t>
            </w:r>
            <w:r>
              <w:rPr>
                <w:rFonts w:hint="eastAsia" w:cs="Times New Roman"/>
                <w:b w:val="0"/>
                <w:bCs w:val="0"/>
                <w:color w:val="auto"/>
                <w:kern w:val="2"/>
                <w:sz w:val="28"/>
                <w:szCs w:val="28"/>
                <w:highlight w:val="none"/>
                <w:lang w:val="en-US" w:eastAsia="zh-CN"/>
              </w:rPr>
              <w:t>1.</w:t>
            </w:r>
            <w:r>
              <w:rPr>
                <w:rFonts w:hint="default" w:ascii="Times New Roman" w:hAnsi="Times New Roman" w:eastAsia="仿宋_GB2312" w:cs="Times New Roman"/>
                <w:color w:val="auto"/>
                <w:sz w:val="28"/>
                <w:szCs w:val="28"/>
                <w:highlight w:val="none"/>
                <w:lang w:val="en-US" w:eastAsia="zh-CN"/>
              </w:rPr>
              <w:t>实施</w:t>
            </w:r>
            <w:r>
              <w:rPr>
                <w:rFonts w:hint="default" w:ascii="Times New Roman" w:hAnsi="Times New Roman" w:eastAsia="仿宋_GB2312" w:cs="Times New Roman"/>
                <w:color w:val="auto"/>
                <w:sz w:val="28"/>
                <w:szCs w:val="28"/>
                <w:highlight w:val="none"/>
              </w:rPr>
              <w:t>理县林业有害生物防治</w:t>
            </w:r>
            <w:r>
              <w:rPr>
                <w:rFonts w:hint="default" w:ascii="Times New Roman" w:hAnsi="Times New Roman" w:eastAsia="仿宋_GB2312" w:cs="Times New Roman"/>
                <w:color w:val="auto"/>
                <w:sz w:val="28"/>
                <w:szCs w:val="28"/>
                <w:highlight w:val="none"/>
                <w:lang w:eastAsia="zh-CN"/>
              </w:rPr>
              <w:t>、</w:t>
            </w:r>
            <w:r>
              <w:rPr>
                <w:rFonts w:hint="eastAsia" w:cs="Times New Roman"/>
                <w:color w:val="auto"/>
                <w:sz w:val="28"/>
                <w:szCs w:val="28"/>
                <w:highlight w:val="none"/>
                <w:lang w:val="en-US" w:eastAsia="zh-CN"/>
              </w:rPr>
              <w:t>理县</w:t>
            </w:r>
            <w:r>
              <w:rPr>
                <w:rFonts w:hint="default" w:ascii="Times New Roman" w:hAnsi="Times New Roman" w:eastAsia="仿宋_GB2312" w:cs="Times New Roman"/>
                <w:color w:val="auto"/>
                <w:sz w:val="28"/>
                <w:szCs w:val="28"/>
                <w:highlight w:val="none"/>
              </w:rPr>
              <w:t>野生动物巡护监测与救助建设</w:t>
            </w:r>
            <w:r>
              <w:rPr>
                <w:rFonts w:hint="default" w:ascii="Times New Roman" w:hAnsi="Times New Roman" w:eastAsia="仿宋_GB2312" w:cs="Times New Roman"/>
                <w:color w:val="auto"/>
                <w:sz w:val="28"/>
                <w:szCs w:val="28"/>
                <w:highlight w:val="none"/>
                <w:lang w:eastAsia="zh-CN"/>
              </w:rPr>
              <w:t>、</w:t>
            </w:r>
            <w:r>
              <w:rPr>
                <w:rFonts w:hint="default" w:ascii="Times New Roman" w:hAnsi="Times New Roman" w:eastAsia="仿宋_GB2312" w:cs="Times New Roman"/>
                <w:color w:val="auto"/>
                <w:sz w:val="28"/>
                <w:szCs w:val="28"/>
                <w:highlight w:val="none"/>
              </w:rPr>
              <w:t>四川米亚罗森林生态系统定位观测研究站建设</w:t>
            </w:r>
            <w:r>
              <w:rPr>
                <w:rFonts w:hint="default" w:ascii="Times New Roman" w:hAnsi="Times New Roman" w:eastAsia="仿宋_GB2312" w:cs="Times New Roman"/>
                <w:color w:val="auto"/>
                <w:sz w:val="28"/>
                <w:szCs w:val="28"/>
                <w:highlight w:val="none"/>
                <w:lang w:val="en-US" w:eastAsia="zh-CN"/>
              </w:rPr>
              <w:t>等项目。</w:t>
            </w:r>
            <w:r>
              <w:rPr>
                <w:rFonts w:hint="eastAsia" w:cs="Times New Roman"/>
                <w:color w:val="auto"/>
                <w:sz w:val="28"/>
                <w:szCs w:val="28"/>
                <w:highlight w:val="none"/>
                <w:lang w:val="en-US" w:eastAsia="zh-CN"/>
              </w:rPr>
              <w:t>2.</w:t>
            </w:r>
            <w:r>
              <w:rPr>
                <w:rFonts w:hint="default" w:ascii="Times New Roman" w:hAnsi="Times New Roman" w:eastAsia="仿宋_GB2312" w:cs="Times New Roman"/>
                <w:color w:val="auto"/>
                <w:sz w:val="28"/>
                <w:szCs w:val="28"/>
                <w:highlight w:val="none"/>
                <w:lang w:val="en-US" w:eastAsia="zh-CN"/>
              </w:rPr>
              <w:t>推进</w:t>
            </w:r>
            <w:r>
              <w:rPr>
                <w:rFonts w:hint="eastAsia" w:cs="Times New Roman"/>
                <w:color w:val="auto"/>
                <w:sz w:val="28"/>
                <w:szCs w:val="28"/>
                <w:highlight w:val="none"/>
                <w:lang w:val="en-US" w:eastAsia="zh-CN"/>
              </w:rPr>
              <w:t>理县</w:t>
            </w:r>
            <w:r>
              <w:rPr>
                <w:rFonts w:hint="default" w:ascii="Times New Roman" w:hAnsi="Times New Roman" w:eastAsia="仿宋_GB2312" w:cs="Times New Roman"/>
                <w:color w:val="auto"/>
                <w:sz w:val="28"/>
                <w:szCs w:val="28"/>
                <w:highlight w:val="none"/>
              </w:rPr>
              <w:t>生物多样性监测与保育</w:t>
            </w:r>
            <w:r>
              <w:rPr>
                <w:rFonts w:hint="default" w:ascii="Times New Roman" w:hAnsi="Times New Roman" w:eastAsia="仿宋_GB2312" w:cs="Times New Roman"/>
                <w:color w:val="auto"/>
                <w:sz w:val="28"/>
                <w:szCs w:val="28"/>
                <w:highlight w:val="none"/>
                <w:lang w:eastAsia="zh-CN"/>
              </w:rPr>
              <w:t>、</w:t>
            </w:r>
            <w:r>
              <w:rPr>
                <w:rFonts w:hint="eastAsia" w:cs="Times New Roman"/>
                <w:color w:val="auto"/>
                <w:sz w:val="28"/>
                <w:szCs w:val="28"/>
                <w:highlight w:val="none"/>
                <w:lang w:val="en-US" w:eastAsia="zh-CN"/>
              </w:rPr>
              <w:t>理县</w:t>
            </w:r>
            <w:r>
              <w:rPr>
                <w:rFonts w:hint="default" w:ascii="Times New Roman" w:hAnsi="Times New Roman" w:eastAsia="仿宋_GB2312" w:cs="Times New Roman"/>
                <w:b w:val="0"/>
                <w:bCs w:val="0"/>
                <w:color w:val="auto"/>
                <w:kern w:val="2"/>
                <w:sz w:val="28"/>
                <w:szCs w:val="28"/>
                <w:highlight w:val="none"/>
                <w:lang w:val="en-US" w:eastAsia="zh-CN"/>
              </w:rPr>
              <w:t>生物多样性保护暨野外物种智能化监测体系能力提升等</w:t>
            </w:r>
            <w:r>
              <w:rPr>
                <w:rFonts w:hint="default" w:ascii="Times New Roman" w:hAnsi="Times New Roman" w:eastAsia="仿宋_GB2312" w:cs="Times New Roman"/>
                <w:color w:val="auto"/>
                <w:sz w:val="28"/>
                <w:szCs w:val="28"/>
                <w:highlight w:val="none"/>
              </w:rPr>
              <w:t>项目</w:t>
            </w:r>
            <w:r>
              <w:rPr>
                <w:rFonts w:hint="default" w:ascii="Times New Roman" w:hAnsi="Times New Roman" w:eastAsia="仿宋_GB2312" w:cs="Times New Roman"/>
                <w:color w:val="auto"/>
                <w:sz w:val="28"/>
                <w:szCs w:val="28"/>
                <w:highlight w:val="none"/>
                <w:lang w:val="en-US" w:eastAsia="zh-CN"/>
              </w:rPr>
              <w:t>前期工作。</w:t>
            </w:r>
          </w:p>
        </w:tc>
      </w:tr>
    </w:tbl>
    <w:p w14:paraId="5CC05560">
      <w:pPr>
        <w:keepNext/>
        <w:widowControl w:val="0"/>
        <w:numPr>
          <w:ilvl w:val="0"/>
          <w:numId w:val="1"/>
        </w:numPr>
        <w:bidi w:val="0"/>
        <w:snapToGrid w:val="0"/>
        <w:spacing w:before="100" w:beforeLines="100" w:after="100" w:afterLines="100" w:line="560" w:lineRule="exact"/>
        <w:ind w:left="0" w:leftChars="0" w:firstLine="0" w:firstLineChars="0"/>
        <w:jc w:val="center"/>
        <w:outlineLvl w:val="1"/>
        <w:rPr>
          <w:rFonts w:hint="default" w:ascii="Times New Roman" w:hAnsi="Times New Roman" w:eastAsia="黑体" w:cs="Times New Roman"/>
          <w:color w:val="auto"/>
          <w:kern w:val="2"/>
          <w:sz w:val="32"/>
          <w:szCs w:val="24"/>
          <w:highlight w:val="none"/>
          <w:lang w:val="en-US" w:eastAsia="zh-CN" w:bidi="ar-SA"/>
        </w:rPr>
      </w:pPr>
      <w:r>
        <w:rPr>
          <w:rFonts w:hint="default" w:ascii="Times New Roman" w:hAnsi="Times New Roman" w:eastAsia="黑体" w:cs="Times New Roman"/>
          <w:color w:val="auto"/>
          <w:kern w:val="2"/>
          <w:sz w:val="32"/>
          <w:szCs w:val="24"/>
          <w:highlight w:val="none"/>
          <w:lang w:val="en-US" w:eastAsia="zh-CN" w:bidi="ar-SA"/>
        </w:rPr>
        <w:t xml:space="preserve"> </w:t>
      </w:r>
      <w:bookmarkStart w:id="240" w:name="_Toc24458"/>
      <w:bookmarkStart w:id="241" w:name="_Toc24123"/>
      <w:bookmarkStart w:id="242" w:name="_Toc23394"/>
      <w:r>
        <w:rPr>
          <w:rFonts w:hint="default" w:ascii="Times New Roman" w:hAnsi="Times New Roman" w:eastAsia="黑体" w:cs="Times New Roman"/>
          <w:color w:val="auto"/>
          <w:kern w:val="2"/>
          <w:sz w:val="32"/>
          <w:szCs w:val="24"/>
          <w:highlight w:val="none"/>
          <w:lang w:val="en-US" w:eastAsia="zh-CN" w:bidi="ar-SA"/>
        </w:rPr>
        <w:t>全面加强环境综合治理</w:t>
      </w:r>
      <w:bookmarkEnd w:id="240"/>
      <w:bookmarkEnd w:id="241"/>
      <w:bookmarkEnd w:id="242"/>
    </w:p>
    <w:p w14:paraId="14193007">
      <w:pPr>
        <w:keepNext/>
        <w:widowControl w:val="0"/>
        <w:numPr>
          <w:ilvl w:val="0"/>
          <w:numId w:val="20"/>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243" w:name="_Toc31722"/>
      <w:bookmarkStart w:id="244" w:name="_Toc15996"/>
      <w:bookmarkStart w:id="245" w:name="_Toc30751"/>
      <w:bookmarkStart w:id="246" w:name="_Toc3831"/>
      <w:r>
        <w:rPr>
          <w:rFonts w:hint="default" w:ascii="Times New Roman" w:hAnsi="Times New Roman" w:eastAsia="楷体_GB2312" w:cs="Times New Roman"/>
          <w:b/>
          <w:bCs w:val="0"/>
          <w:color w:val="auto"/>
          <w:kern w:val="2"/>
          <w:sz w:val="32"/>
          <w:szCs w:val="32"/>
          <w:highlight w:val="none"/>
          <w:lang w:val="en-US" w:eastAsia="zh-CN" w:bidi="ar-SA"/>
        </w:rPr>
        <w:t>持续深入打好蓝天保卫战</w:t>
      </w:r>
      <w:bookmarkEnd w:id="243"/>
      <w:bookmarkEnd w:id="244"/>
      <w:bookmarkEnd w:id="245"/>
      <w:bookmarkEnd w:id="246"/>
    </w:p>
    <w:p w14:paraId="3D0E55F3">
      <w:pPr>
        <w:bidi w:val="0"/>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color w:val="auto"/>
          <w:sz w:val="32"/>
          <w:szCs w:val="22"/>
          <w:highlight w:val="none"/>
          <w:lang w:val="en-US" w:eastAsia="zh-CN"/>
        </w:rPr>
        <w:t>强化源头防控，围绕重点领域开展细颗粒物、挥发性有机物、氮氧化物综合治理。加强工业大气污染防治，严格落实节能减排目标任务，推进重点企业技术改造和清洁生产，控制有色金属冶炼、建材等行业的大气污染排放。围绕汽车维修、加油站等重点领域，开展挥发性有机物综合治理。实施餐饮油烟专项整治，加快推进县城餐饮行业油烟净化器设施建设。推行绿色施工，严控建筑工地、道路、堆场、砂石厂等扬尘污染。“十五五”期间，细颗粒物浓度完成目标任务，县城环境空气质量优良率保持100%，</w:t>
      </w:r>
      <w:r>
        <w:rPr>
          <w:rFonts w:hint="eastAsia" w:cs="Times New Roman"/>
          <w:color w:val="auto"/>
          <w:sz w:val="32"/>
          <w:szCs w:val="22"/>
          <w:highlight w:val="none"/>
          <w:lang w:val="en-US" w:eastAsia="zh-CN"/>
        </w:rPr>
        <w:t>持续</w:t>
      </w:r>
      <w:r>
        <w:rPr>
          <w:rFonts w:hint="default" w:ascii="Times New Roman" w:hAnsi="Times New Roman" w:eastAsia="仿宋_GB2312" w:cs="Times New Roman"/>
          <w:color w:val="auto"/>
          <w:sz w:val="32"/>
          <w:szCs w:val="22"/>
          <w:highlight w:val="none"/>
          <w:lang w:val="en-US" w:eastAsia="zh-CN"/>
        </w:rPr>
        <w:t>稳固空气质量全省领先地位。</w:t>
      </w:r>
    </w:p>
    <w:p w14:paraId="51E1B82A">
      <w:pPr>
        <w:keepNext/>
        <w:widowControl w:val="0"/>
        <w:numPr>
          <w:ilvl w:val="0"/>
          <w:numId w:val="20"/>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247" w:name="_Toc23607"/>
      <w:bookmarkStart w:id="248" w:name="_Toc12891"/>
      <w:bookmarkStart w:id="249" w:name="_Toc26630"/>
      <w:bookmarkStart w:id="250" w:name="_Toc8331"/>
      <w:r>
        <w:rPr>
          <w:rFonts w:hint="default" w:ascii="Times New Roman" w:hAnsi="Times New Roman" w:eastAsia="楷体_GB2312" w:cs="Times New Roman"/>
          <w:b/>
          <w:bCs w:val="0"/>
          <w:color w:val="auto"/>
          <w:kern w:val="2"/>
          <w:sz w:val="32"/>
          <w:szCs w:val="32"/>
          <w:highlight w:val="none"/>
          <w:lang w:val="en-US" w:eastAsia="zh-CN" w:bidi="ar-SA"/>
        </w:rPr>
        <w:t>持续巩固碧水保卫战成果</w:t>
      </w:r>
      <w:bookmarkEnd w:id="247"/>
      <w:bookmarkEnd w:id="248"/>
      <w:bookmarkEnd w:id="249"/>
      <w:bookmarkEnd w:id="250"/>
    </w:p>
    <w:p w14:paraId="07C4DAB9">
      <w:pPr>
        <w:bidi w:val="0"/>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color w:val="auto"/>
          <w:sz w:val="32"/>
          <w:szCs w:val="22"/>
          <w:highlight w:val="none"/>
          <w:lang w:val="en-US" w:eastAsia="zh-CN"/>
        </w:rPr>
        <w:t>全面推进美丽河湖保护与建设，加强杂谷脑河、孟屯河等主要河流水质监测和入河排污口监管，确保工业企业、生活污水达标排放。严格落实河（湖）长制，持续推进河湖库“清四乱”常态化规范化，严厉打击各类违法行为，筑牢河湖库生态安全屏障。持续推进饮用水水源地保护，保障居民饮水安全。提升城镇污水处理能力，提标改造污水处理厂，确保出水水质稳定达标。加强农村生活污水处理设施建设，不断提升农村生活污水治理率。</w:t>
      </w:r>
    </w:p>
    <w:p w14:paraId="5ACC1EA3">
      <w:pPr>
        <w:keepNext/>
        <w:widowControl w:val="0"/>
        <w:numPr>
          <w:ilvl w:val="0"/>
          <w:numId w:val="20"/>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251" w:name="_Toc1785"/>
      <w:bookmarkStart w:id="252" w:name="_Toc9836"/>
      <w:bookmarkStart w:id="253" w:name="_Toc10686"/>
      <w:bookmarkStart w:id="254" w:name="_Toc5761"/>
      <w:r>
        <w:rPr>
          <w:rFonts w:hint="default" w:ascii="Times New Roman" w:hAnsi="Times New Roman" w:eastAsia="楷体_GB2312" w:cs="Times New Roman"/>
          <w:b/>
          <w:bCs w:val="0"/>
          <w:color w:val="auto"/>
          <w:kern w:val="2"/>
          <w:sz w:val="32"/>
          <w:szCs w:val="32"/>
          <w:highlight w:val="none"/>
          <w:lang w:val="en-US" w:eastAsia="zh-CN" w:bidi="ar-SA"/>
        </w:rPr>
        <w:t>持续深入推进净土保卫战</w:t>
      </w:r>
      <w:bookmarkEnd w:id="251"/>
      <w:bookmarkEnd w:id="252"/>
      <w:bookmarkEnd w:id="253"/>
      <w:bookmarkEnd w:id="254"/>
    </w:p>
    <w:p w14:paraId="6714DBF8">
      <w:pPr>
        <w:bidi w:val="0"/>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color w:val="auto"/>
          <w:sz w:val="32"/>
          <w:szCs w:val="22"/>
          <w:highlight w:val="none"/>
          <w:lang w:val="en-US" w:eastAsia="zh-CN"/>
        </w:rPr>
        <w:t>完善土壤环境监测与监管体系，加强土壤重点监管单位监督管理，以有色金属冶炼、化工、垃圾焚烧等行业企业为重点，开展土壤、地下水污染状况调查评估和污染隐患排查。开展理县农业面源污染治理，推广绿色农业，减少化肥农药使用，推进农药化肥外包装物减量化和农膜等废弃物回收利用，防治农业用地土壤污染。推进疑似污染地块评估和修复，确保其达到土壤环境质量标准后开发利用。推进一般工业固体废物综合利用，加强固废、危废监管和利用处置能力，加快推动建筑垃圾转运调配厂和消纳场项目落地见效，强化建筑垃圾资源化综合利用，建设“无废城市”。</w:t>
      </w:r>
    </w:p>
    <w:p w14:paraId="387EFDCD">
      <w:pPr>
        <w:keepNext/>
        <w:widowControl w:val="0"/>
        <w:numPr>
          <w:ilvl w:val="0"/>
          <w:numId w:val="20"/>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255" w:name="_Toc234"/>
      <w:bookmarkStart w:id="256" w:name="_Toc25036"/>
      <w:bookmarkStart w:id="257" w:name="_Toc13250"/>
      <w:bookmarkStart w:id="258" w:name="_Toc20234"/>
      <w:r>
        <w:rPr>
          <w:rFonts w:hint="default" w:ascii="Times New Roman" w:hAnsi="Times New Roman" w:eastAsia="楷体_GB2312" w:cs="Times New Roman"/>
          <w:b/>
          <w:bCs w:val="0"/>
          <w:color w:val="auto"/>
          <w:kern w:val="2"/>
          <w:sz w:val="32"/>
          <w:szCs w:val="32"/>
          <w:highlight w:val="none"/>
          <w:lang w:val="en-US" w:eastAsia="zh-CN" w:bidi="ar-SA"/>
        </w:rPr>
        <w:t>持续推进城乡环境提质</w:t>
      </w:r>
      <w:bookmarkEnd w:id="255"/>
      <w:bookmarkEnd w:id="256"/>
      <w:bookmarkEnd w:id="257"/>
      <w:bookmarkEnd w:id="258"/>
    </w:p>
    <w:p w14:paraId="2D858403">
      <w:pPr>
        <w:bidi w:val="0"/>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color w:val="auto"/>
          <w:sz w:val="32"/>
          <w:szCs w:val="22"/>
          <w:highlight w:val="none"/>
          <w:lang w:val="en-US" w:eastAsia="zh-CN"/>
        </w:rPr>
        <w:t>常态化开展城乡环境六大领域专项行动，解决城乡结合部、农村等重点区域环境问题。深化“峡谷添彩、洁美家园”等六大工程，打造“城绿交融、村景共生”生态景观带。实施“县城精修细补十大民生工程”、中心镇改革发展“六大工程”，补齐城乡污水、生活垃圾处理设施建设短板，推进县城污水处理率、生活垃圾无害化处理率达标。深化农村厕所、垃圾、污水“三大革命”，实现农村污水处理、农村生活垃圾无害化处理全覆盖。</w:t>
      </w:r>
    </w:p>
    <w:p w14:paraId="7C43B3DC">
      <w:pPr>
        <w:keepNext/>
        <w:widowControl w:val="0"/>
        <w:numPr>
          <w:ilvl w:val="0"/>
          <w:numId w:val="19"/>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259" w:name="_Toc19248"/>
      <w:bookmarkStart w:id="260" w:name="_Toc5836"/>
      <w:bookmarkStart w:id="261" w:name="_Toc18098"/>
      <w:r>
        <w:rPr>
          <w:rFonts w:hint="default" w:ascii="Times New Roman" w:hAnsi="Times New Roman" w:eastAsia="楷体_GB2312" w:cs="Times New Roman"/>
          <w:b/>
          <w:bCs w:val="0"/>
          <w:color w:val="auto"/>
          <w:kern w:val="2"/>
          <w:sz w:val="32"/>
          <w:szCs w:val="32"/>
          <w:highlight w:val="none"/>
          <w:lang w:val="en-US" w:eastAsia="zh-CN" w:bidi="ar-SA"/>
        </w:rPr>
        <w:t>提高生态环境治理能力</w:t>
      </w:r>
      <w:bookmarkEnd w:id="259"/>
      <w:bookmarkEnd w:id="260"/>
      <w:bookmarkEnd w:id="261"/>
    </w:p>
    <w:p w14:paraId="7D052C27">
      <w:pPr>
        <w:bidi w:val="0"/>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color w:val="auto"/>
          <w:sz w:val="32"/>
          <w:szCs w:val="22"/>
          <w:highlight w:val="none"/>
          <w:lang w:val="en-US" w:eastAsia="zh-CN"/>
        </w:rPr>
        <w:t>完善生态环境监测、执法、评估制度，建立全链条闭环管理体系，强化森林草原防灭火、耕地保护及水资源管理。联合科研机构攻关生态保护技术，推广卫星遥感、无人机巡查等应用，融入AI图像识别与数据分析功能，实现生态环境问题“天—空—地”立体监测。构建生态环境大数据平台，整合全域数据资源，推动跨部门信息共享与智能分析，支撑科学决策。开展生态环保主题活动，普及生态文明理念，鼓励公众参与环保志愿服务。畅通监督举报渠道，健全公众参与机制，形成“政府主导、社会监督、全民行动”的共治格局。坚持区域一体化治理，优化完善生态环境质量监测网络，建立区域环境监测数据资源统筹管理和共享机制，开展跨区域联合执法检查，协同抓好生态环境大保护。</w:t>
      </w:r>
    </w:p>
    <w:p w14:paraId="581ADC6B">
      <w:pPr>
        <w:keepNext/>
        <w:widowControl w:val="0"/>
        <w:numPr>
          <w:ilvl w:val="0"/>
          <w:numId w:val="1"/>
        </w:numPr>
        <w:bidi w:val="0"/>
        <w:snapToGrid w:val="0"/>
        <w:spacing w:before="100" w:beforeLines="100" w:after="100" w:afterLines="100" w:line="560" w:lineRule="exact"/>
        <w:ind w:left="0" w:leftChars="0" w:firstLine="0" w:firstLineChars="0"/>
        <w:jc w:val="center"/>
        <w:outlineLvl w:val="1"/>
        <w:rPr>
          <w:rFonts w:hint="default" w:ascii="Times New Roman" w:hAnsi="Times New Roman" w:eastAsia="黑体" w:cs="Times New Roman"/>
          <w:color w:val="auto"/>
          <w:kern w:val="2"/>
          <w:sz w:val="32"/>
          <w:szCs w:val="24"/>
          <w:highlight w:val="none"/>
          <w:lang w:val="en-US" w:eastAsia="zh-CN" w:bidi="ar-SA"/>
        </w:rPr>
      </w:pPr>
      <w:r>
        <w:rPr>
          <w:rFonts w:hint="default" w:ascii="Times New Roman" w:hAnsi="Times New Roman" w:eastAsia="黑体" w:cs="Times New Roman"/>
          <w:color w:val="auto"/>
          <w:kern w:val="2"/>
          <w:sz w:val="32"/>
          <w:szCs w:val="24"/>
          <w:highlight w:val="none"/>
          <w:lang w:val="en-US" w:eastAsia="zh-CN" w:bidi="ar-SA"/>
        </w:rPr>
        <w:t xml:space="preserve"> </w:t>
      </w:r>
      <w:bookmarkStart w:id="262" w:name="_Toc29913"/>
      <w:bookmarkStart w:id="263" w:name="_Toc29794"/>
      <w:bookmarkStart w:id="264" w:name="_Toc13063"/>
      <w:r>
        <w:rPr>
          <w:rFonts w:hint="default" w:ascii="Times New Roman" w:hAnsi="Times New Roman" w:eastAsia="黑体" w:cs="Times New Roman"/>
          <w:color w:val="auto"/>
          <w:kern w:val="2"/>
          <w:sz w:val="32"/>
          <w:szCs w:val="24"/>
          <w:highlight w:val="none"/>
          <w:lang w:val="en-US" w:eastAsia="zh-CN" w:bidi="ar-SA"/>
        </w:rPr>
        <w:t>加快促进绿色低碳转型</w:t>
      </w:r>
      <w:bookmarkEnd w:id="262"/>
      <w:bookmarkEnd w:id="263"/>
      <w:bookmarkEnd w:id="264"/>
    </w:p>
    <w:p w14:paraId="61D09918">
      <w:pPr>
        <w:keepNext/>
        <w:widowControl w:val="0"/>
        <w:numPr>
          <w:ilvl w:val="0"/>
          <w:numId w:val="21"/>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265" w:name="_Toc32018"/>
      <w:bookmarkStart w:id="266" w:name="_Toc1039"/>
      <w:bookmarkStart w:id="267" w:name="_Toc3085"/>
      <w:bookmarkStart w:id="268" w:name="_Toc6886"/>
      <w:r>
        <w:rPr>
          <w:rFonts w:hint="default" w:ascii="Times New Roman" w:hAnsi="Times New Roman" w:eastAsia="楷体_GB2312" w:cs="Times New Roman"/>
          <w:b/>
          <w:bCs w:val="0"/>
          <w:color w:val="auto"/>
          <w:kern w:val="2"/>
          <w:sz w:val="32"/>
          <w:szCs w:val="32"/>
          <w:highlight w:val="none"/>
          <w:lang w:val="en-US" w:eastAsia="zh-CN" w:bidi="ar-SA"/>
        </w:rPr>
        <w:t>全面提高资源利用效率</w:t>
      </w:r>
      <w:bookmarkEnd w:id="265"/>
      <w:bookmarkEnd w:id="266"/>
      <w:bookmarkEnd w:id="267"/>
      <w:bookmarkEnd w:id="268"/>
    </w:p>
    <w:p w14:paraId="06BA5694">
      <w:pPr>
        <w:bidi w:val="0"/>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color w:val="auto"/>
          <w:sz w:val="32"/>
          <w:szCs w:val="22"/>
          <w:highlight w:val="none"/>
          <w:lang w:val="en-US" w:eastAsia="zh-CN"/>
        </w:rPr>
        <w:t>严格落实能源消费强度和总量双控制度，突出抓好工业、建筑、交通、公共机构等重点领域节能，加快推行合同能源管理，强化节能评估审查。推进能源消耗总量和强度调控逐步转向碳排放总量和强度双控，强化温室气体监测、统计和清单管理，有效控制温室气体排放。强化用水总量强度双控，大力推广合同节水管理，加强城市再生水利用，加快节水型社会达标建设，强化农业节水增效、工业节水减排、城镇节水降损，推动全社会用水方式</w:t>
      </w:r>
      <w:r>
        <w:rPr>
          <w:rFonts w:hint="eastAsia" w:cs="Times New Roman"/>
          <w:color w:val="auto"/>
          <w:sz w:val="32"/>
          <w:szCs w:val="22"/>
          <w:highlight w:val="none"/>
          <w:lang w:val="en-US" w:eastAsia="zh-CN"/>
        </w:rPr>
        <w:t>向</w:t>
      </w:r>
      <w:r>
        <w:rPr>
          <w:rFonts w:hint="default" w:ascii="Times New Roman" w:hAnsi="Times New Roman" w:eastAsia="仿宋_GB2312" w:cs="Times New Roman"/>
          <w:color w:val="auto"/>
          <w:sz w:val="32"/>
          <w:szCs w:val="22"/>
          <w:highlight w:val="none"/>
          <w:lang w:val="en-US" w:eastAsia="zh-CN"/>
        </w:rPr>
        <w:t>节约集约</w:t>
      </w:r>
      <w:r>
        <w:rPr>
          <w:rFonts w:hint="eastAsia" w:cs="Times New Roman"/>
          <w:color w:val="auto"/>
          <w:sz w:val="32"/>
          <w:szCs w:val="22"/>
          <w:highlight w:val="none"/>
          <w:lang w:val="en-US" w:eastAsia="zh-CN"/>
        </w:rPr>
        <w:t>转变</w:t>
      </w:r>
      <w:r>
        <w:rPr>
          <w:rFonts w:hint="default" w:ascii="Times New Roman" w:hAnsi="Times New Roman" w:eastAsia="仿宋_GB2312" w:cs="Times New Roman"/>
          <w:color w:val="auto"/>
          <w:sz w:val="32"/>
          <w:szCs w:val="22"/>
          <w:highlight w:val="none"/>
          <w:lang w:val="en-US" w:eastAsia="zh-CN"/>
        </w:rPr>
        <w:t>。坚持最严格的节约用地制度，调整建设用地结构，降低工业用地比例，推进城镇低效用地再开发和工矿废弃地复垦，严格控制农村集体建设用地规模。推广资源循环型生产模式，大力发展资源循环利用产业，加快构建覆盖全面、运转高效、规范有序的废弃物循环利用体系。</w:t>
      </w:r>
    </w:p>
    <w:p w14:paraId="7822E2F3">
      <w:pPr>
        <w:keepNext/>
        <w:widowControl w:val="0"/>
        <w:numPr>
          <w:ilvl w:val="0"/>
          <w:numId w:val="21"/>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269" w:name="_Toc9496"/>
      <w:bookmarkStart w:id="270" w:name="_Toc30932"/>
      <w:bookmarkStart w:id="271" w:name="_Toc18108"/>
      <w:bookmarkStart w:id="272" w:name="_Toc27400"/>
      <w:r>
        <w:rPr>
          <w:rFonts w:hint="default" w:ascii="Times New Roman" w:hAnsi="Times New Roman" w:eastAsia="楷体_GB2312" w:cs="Times New Roman"/>
          <w:b/>
          <w:bCs w:val="0"/>
          <w:color w:val="auto"/>
          <w:kern w:val="2"/>
          <w:sz w:val="32"/>
          <w:szCs w:val="32"/>
          <w:highlight w:val="none"/>
          <w:lang w:val="en-US" w:eastAsia="zh-CN" w:bidi="ar-SA"/>
        </w:rPr>
        <w:t>大力发展绿色生态产业</w:t>
      </w:r>
      <w:bookmarkEnd w:id="269"/>
      <w:bookmarkEnd w:id="270"/>
      <w:bookmarkEnd w:id="271"/>
      <w:bookmarkEnd w:id="272"/>
    </w:p>
    <w:p w14:paraId="1C0A4B4E">
      <w:pPr>
        <w:bidi w:val="0"/>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color w:val="auto"/>
          <w:sz w:val="32"/>
          <w:szCs w:val="22"/>
          <w:highlight w:val="none"/>
          <w:lang w:val="en-US" w:eastAsia="zh-CN"/>
        </w:rPr>
        <w:t>大力发展绿色低碳经济，推进产业结构、能源结构、交通运输结构、城乡建设发展绿色转型。加快工业园区绿色化发展，积极利用余热废热资源，推动园区能源梯级利用，开展供水、污水等基础设施绿色化改造，推进中水、再生水等非常规水资源的开发利用，支持有条件的园区、企业开展雨水集蓄利用。支持有条件的企业、园区积极创建绿色工厂、绿色园区。持续优化能源结构，做优以水电为主的清洁能源产业，加快推进凉水井光伏项目前期工作。发展绿色建筑产业，积极推进装配式构件、木材加工、绿色建材、建筑装备等领域发展。引导企业开展绿色设计、选择绿色材料、推行绿色制造、采用绿色包装、开展绿色运输、回收利用资源，降低产品全生命周期能源资源消耗和生态环境影响。</w:t>
      </w:r>
    </w:p>
    <w:p w14:paraId="51C45391">
      <w:pPr>
        <w:keepNext/>
        <w:widowControl w:val="0"/>
        <w:numPr>
          <w:ilvl w:val="0"/>
          <w:numId w:val="21"/>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273" w:name="_Toc27414"/>
      <w:bookmarkStart w:id="274" w:name="_Toc3720"/>
      <w:bookmarkStart w:id="275" w:name="_Toc16758"/>
      <w:bookmarkStart w:id="276" w:name="_Toc13765"/>
      <w:r>
        <w:rPr>
          <w:rFonts w:hint="default" w:ascii="Times New Roman" w:hAnsi="Times New Roman" w:eastAsia="楷体_GB2312" w:cs="Times New Roman"/>
          <w:b/>
          <w:bCs w:val="0"/>
          <w:color w:val="auto"/>
          <w:kern w:val="2"/>
          <w:sz w:val="32"/>
          <w:szCs w:val="32"/>
          <w:highlight w:val="none"/>
          <w:lang w:val="en-US" w:eastAsia="zh-CN" w:bidi="ar-SA"/>
        </w:rPr>
        <w:t>积极倡导绿色生活方式</w:t>
      </w:r>
      <w:bookmarkEnd w:id="273"/>
      <w:bookmarkEnd w:id="274"/>
      <w:bookmarkEnd w:id="275"/>
      <w:bookmarkEnd w:id="276"/>
    </w:p>
    <w:p w14:paraId="00861217">
      <w:pPr>
        <w:bidi w:val="0"/>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color w:val="auto"/>
          <w:sz w:val="32"/>
          <w:szCs w:val="22"/>
          <w:highlight w:val="none"/>
          <w:lang w:val="en-US" w:eastAsia="zh-CN"/>
        </w:rPr>
        <w:t>大力倡导简约适度、绿色低碳、文明健康的生活理念和消费方式，开展绿色低碳全民行动，增强全民节约意识、环保意识、生态意识。引导公众节约用水用电、反对铺张浪费、推广“光盘行动”、抵制过度包装、减少一次性用品使用，引导公众优先选择公共交通、步行、自行车等绿色出行方式，引导消费者购买绿色产品，鼓励用户扩大绿色能源消费。全面推进绿色建筑，城镇新建民用建筑严格执行节能设计标准，加强绿色建筑全过程质量管理。完善城乡物流配送体系，推动配送方式绿色智能转型。完善新能源汽车充电桩基础设施建设，大力推广新能源汽车，推动城市公共服务车辆电动化替代。加大政府绿色采购力度，拓展绿色产品采购范围和规模，适时将碳足迹要求纳入政府采购。</w:t>
      </w:r>
    </w:p>
    <w:p w14:paraId="7A2A7D8F">
      <w:pPr>
        <w:keepNext/>
        <w:widowControl w:val="0"/>
        <w:numPr>
          <w:ilvl w:val="0"/>
          <w:numId w:val="19"/>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277" w:name="_Toc17018"/>
      <w:bookmarkStart w:id="278" w:name="_Toc24297"/>
      <w:bookmarkStart w:id="279" w:name="_Toc8135"/>
      <w:r>
        <w:rPr>
          <w:rFonts w:hint="default" w:ascii="Times New Roman" w:hAnsi="Times New Roman" w:eastAsia="楷体_GB2312" w:cs="Times New Roman"/>
          <w:b/>
          <w:bCs w:val="0"/>
          <w:color w:val="auto"/>
          <w:kern w:val="2"/>
          <w:sz w:val="32"/>
          <w:szCs w:val="32"/>
          <w:highlight w:val="none"/>
          <w:lang w:val="en-US" w:eastAsia="zh-CN" w:bidi="ar-SA"/>
        </w:rPr>
        <w:t>探索生态价值转化机制</w:t>
      </w:r>
      <w:bookmarkEnd w:id="277"/>
      <w:bookmarkEnd w:id="278"/>
      <w:bookmarkEnd w:id="279"/>
    </w:p>
    <w:p w14:paraId="29E1CB4A">
      <w:pPr>
        <w:bidi w:val="0"/>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color w:val="auto"/>
          <w:sz w:val="32"/>
          <w:szCs w:val="22"/>
          <w:highlight w:val="none"/>
          <w:lang w:val="en-US" w:eastAsia="zh-CN"/>
        </w:rPr>
        <w:t>探索“生态+”发展的“两山”转化模式，开展生态产品信息普查，创新物质供给、调节服务、文化服务三类生态产品经营开发模式，探索建设生态产品第四产业实践基地。推进节能减排降碳，贯彻落实生态保护红线监管与碳汇风险管控机制，构建“生态治理+制度保障”双轮驱动模式。推广森林草原湿地生态保护修复关键技术、森林生态系统固碳增汇技术、碳汇监测技术，加快推进四川米亚罗森林生态系统国家定位观测研究站建设。开展集体林权制度改革，探索森林碳汇价值实现机制。加强森林草原湿地碳汇资源普查，科学规划开发森林草原湿地碳汇项目，争取纳入林业碳汇试点建设。丰富生态系统生产总值（GEP）核算结果应用场景，探索将核算结果与生态产品有偿使用、生态保护补偿、生态环境损害赔偿等联动挂钩，实现生态产品保值增值。</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37743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00" w:type="pct"/>
            <w:shd w:val="clear" w:color="auto" w:fill="7F7F7F" w:themeFill="text1" w:themeFillTint="7F"/>
          </w:tcPr>
          <w:p w14:paraId="3A3C496D">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center"/>
              <w:rPr>
                <w:rFonts w:hint="default" w:ascii="Times New Roman" w:hAnsi="Times New Roman" w:eastAsia="黑体" w:cs="Times New Roman"/>
                <w:b/>
                <w:bCs/>
                <w:color w:val="auto"/>
                <w:kern w:val="0"/>
                <w:sz w:val="28"/>
                <w:szCs w:val="28"/>
                <w:highlight w:val="none"/>
                <w:lang w:val="en-US" w:eastAsia="zh-CN" w:bidi="ar"/>
              </w:rPr>
            </w:pPr>
            <w:r>
              <w:rPr>
                <w:rFonts w:hint="default" w:ascii="Times New Roman" w:hAnsi="Times New Roman" w:eastAsia="黑体" w:cs="Times New Roman"/>
                <w:b/>
                <w:bCs/>
                <w:color w:val="auto"/>
                <w:kern w:val="0"/>
                <w:sz w:val="28"/>
                <w:szCs w:val="28"/>
                <w:highlight w:val="none"/>
                <w:lang w:bidi="ar"/>
              </w:rPr>
              <w:t>专栏</w:t>
            </w:r>
            <w:r>
              <w:rPr>
                <w:rFonts w:hint="default" w:ascii="Times New Roman" w:hAnsi="Times New Roman" w:eastAsia="黑体" w:cs="Times New Roman"/>
                <w:b/>
                <w:bCs/>
                <w:color w:val="auto"/>
                <w:kern w:val="0"/>
                <w:sz w:val="28"/>
                <w:szCs w:val="28"/>
                <w:highlight w:val="none"/>
                <w:lang w:val="en-US" w:eastAsia="zh-CN" w:bidi="ar"/>
              </w:rPr>
              <w:t xml:space="preserve">10 </w:t>
            </w:r>
            <w:r>
              <w:rPr>
                <w:rFonts w:hint="default" w:ascii="Times New Roman" w:hAnsi="Times New Roman" w:eastAsia="黑体" w:cs="Times New Roman"/>
                <w:b/>
                <w:bCs/>
                <w:color w:val="auto"/>
                <w:kern w:val="0"/>
                <w:sz w:val="28"/>
                <w:szCs w:val="28"/>
                <w:highlight w:val="none"/>
                <w:lang w:bidi="ar"/>
              </w:rPr>
              <w:t xml:space="preserve"> 环境质量巩固提升</w:t>
            </w:r>
            <w:r>
              <w:rPr>
                <w:rFonts w:hint="default" w:ascii="Times New Roman" w:hAnsi="Times New Roman" w:eastAsia="黑体" w:cs="Times New Roman"/>
                <w:b/>
                <w:bCs/>
                <w:color w:val="auto"/>
                <w:kern w:val="0"/>
                <w:sz w:val="28"/>
                <w:szCs w:val="28"/>
                <w:highlight w:val="none"/>
                <w:lang w:val="en-US" w:eastAsia="zh-CN" w:bidi="ar"/>
              </w:rPr>
              <w:t>重点工程</w:t>
            </w:r>
          </w:p>
        </w:tc>
      </w:tr>
      <w:tr w14:paraId="5E1AD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tcPr>
          <w:p w14:paraId="25832343">
            <w:pPr>
              <w:keepNext w:val="0"/>
              <w:keepLines w:val="0"/>
              <w:pageBreakBefore w:val="0"/>
              <w:widowControl/>
              <w:numPr>
                <w:ilvl w:val="0"/>
                <w:numId w:val="13"/>
              </w:numPr>
              <w:kinsoku/>
              <w:wordWrap/>
              <w:overflowPunct/>
              <w:topLinePunct w:val="0"/>
              <w:autoSpaceDE/>
              <w:autoSpaceDN/>
              <w:bidi w:val="0"/>
              <w:adjustRightInd w:val="0"/>
              <w:snapToGrid w:val="0"/>
              <w:spacing w:line="440" w:lineRule="exact"/>
              <w:ind w:left="420" w:leftChars="0" w:hanging="420" w:firstLineChars="0"/>
              <w:jc w:val="left"/>
              <w:textAlignment w:val="auto"/>
              <w:rPr>
                <w:rFonts w:hint="default" w:ascii="Times New Roman" w:hAnsi="Times New Roman" w:eastAsia="仿宋_GB2312" w:cs="Times New Roman"/>
                <w:b/>
                <w:bCs/>
                <w:color w:val="auto"/>
                <w:kern w:val="2"/>
                <w:sz w:val="28"/>
                <w:szCs w:val="28"/>
                <w:highlight w:val="none"/>
                <w:lang w:val="en-US" w:eastAsia="zh-CN"/>
              </w:rPr>
            </w:pPr>
            <w:r>
              <w:rPr>
                <w:rFonts w:hint="default" w:ascii="Times New Roman" w:hAnsi="Times New Roman" w:eastAsia="仿宋_GB2312" w:cs="Times New Roman"/>
                <w:b/>
                <w:bCs/>
                <w:color w:val="auto"/>
                <w:sz w:val="28"/>
                <w:szCs w:val="28"/>
                <w:highlight w:val="none"/>
                <w:lang w:val="en-US" w:eastAsia="zh-CN"/>
              </w:rPr>
              <w:t>大气污染防治：</w:t>
            </w:r>
            <w:r>
              <w:rPr>
                <w:rFonts w:hint="default" w:ascii="Times New Roman" w:hAnsi="Times New Roman" w:eastAsia="仿宋_GB2312" w:cs="Times New Roman"/>
                <w:b w:val="0"/>
                <w:bCs w:val="0"/>
                <w:color w:val="auto"/>
                <w:kern w:val="2"/>
                <w:sz w:val="28"/>
                <w:szCs w:val="28"/>
                <w:highlight w:val="none"/>
                <w:lang w:val="en-US" w:eastAsia="zh-CN"/>
              </w:rPr>
              <w:t>开展餐饮油烟整治，实施大气系统化治理项目。</w:t>
            </w:r>
          </w:p>
          <w:p w14:paraId="37C6E9B0">
            <w:pPr>
              <w:keepNext w:val="0"/>
              <w:keepLines w:val="0"/>
              <w:pageBreakBefore w:val="0"/>
              <w:widowControl/>
              <w:numPr>
                <w:ilvl w:val="0"/>
                <w:numId w:val="13"/>
              </w:numPr>
              <w:kinsoku/>
              <w:wordWrap/>
              <w:overflowPunct/>
              <w:topLinePunct w:val="0"/>
              <w:autoSpaceDE/>
              <w:autoSpaceDN/>
              <w:bidi w:val="0"/>
              <w:adjustRightInd w:val="0"/>
              <w:snapToGrid w:val="0"/>
              <w:spacing w:line="440" w:lineRule="exact"/>
              <w:ind w:left="420" w:leftChars="0" w:hanging="420" w:firstLineChars="0"/>
              <w:jc w:val="left"/>
              <w:textAlignment w:val="auto"/>
              <w:rPr>
                <w:rFonts w:hint="default" w:ascii="Times New Roman" w:hAnsi="Times New Roman" w:eastAsia="仿宋_GB2312" w:cs="Times New Roman"/>
                <w:b w:val="0"/>
                <w:bCs w:val="0"/>
                <w:color w:val="auto"/>
                <w:kern w:val="2"/>
                <w:sz w:val="28"/>
                <w:szCs w:val="28"/>
                <w:highlight w:val="none"/>
                <w:lang w:val="en-US" w:eastAsia="zh-CN"/>
              </w:rPr>
            </w:pPr>
            <w:r>
              <w:rPr>
                <w:rFonts w:hint="default" w:ascii="Times New Roman" w:hAnsi="Times New Roman" w:eastAsia="仿宋_GB2312" w:cs="Times New Roman"/>
                <w:b/>
                <w:bCs/>
                <w:color w:val="auto"/>
                <w:kern w:val="2"/>
                <w:sz w:val="28"/>
                <w:szCs w:val="28"/>
                <w:highlight w:val="none"/>
                <w:lang w:val="en-US" w:eastAsia="zh-CN"/>
              </w:rPr>
              <w:t>水污染防治：</w:t>
            </w:r>
            <w:r>
              <w:rPr>
                <w:rFonts w:hint="eastAsia" w:cs="Times New Roman"/>
                <w:b w:val="0"/>
                <w:bCs w:val="0"/>
                <w:color w:val="auto"/>
                <w:kern w:val="2"/>
                <w:sz w:val="28"/>
                <w:szCs w:val="28"/>
                <w:highlight w:val="none"/>
                <w:lang w:val="en-US" w:eastAsia="zh-CN"/>
              </w:rPr>
              <w:t>1.</w:t>
            </w:r>
            <w:r>
              <w:rPr>
                <w:rFonts w:hint="default" w:ascii="Times New Roman" w:hAnsi="Times New Roman" w:eastAsia="仿宋_GB2312" w:cs="Times New Roman"/>
                <w:b w:val="0"/>
                <w:bCs w:val="0"/>
                <w:color w:val="auto"/>
                <w:kern w:val="2"/>
                <w:sz w:val="28"/>
                <w:szCs w:val="28"/>
                <w:highlight w:val="none"/>
                <w:lang w:val="en-US" w:eastAsia="zh-CN"/>
              </w:rPr>
              <w:t>实施</w:t>
            </w:r>
            <w:r>
              <w:rPr>
                <w:rFonts w:hint="eastAsia" w:cs="Times New Roman"/>
                <w:color w:val="auto"/>
                <w:sz w:val="28"/>
                <w:szCs w:val="28"/>
                <w:highlight w:val="none"/>
                <w:lang w:val="en-US" w:eastAsia="zh-CN"/>
              </w:rPr>
              <w:t>理县</w:t>
            </w:r>
            <w:r>
              <w:rPr>
                <w:rFonts w:hint="default" w:ascii="Times New Roman" w:hAnsi="Times New Roman" w:eastAsia="仿宋_GB2312" w:cs="Times New Roman"/>
                <w:b w:val="0"/>
                <w:bCs w:val="0"/>
                <w:color w:val="auto"/>
                <w:kern w:val="2"/>
                <w:sz w:val="28"/>
                <w:szCs w:val="28"/>
                <w:highlight w:val="none"/>
                <w:lang w:val="en-US" w:eastAsia="zh-CN"/>
              </w:rPr>
              <w:t>入河排污口规范化建设</w:t>
            </w:r>
            <w:r>
              <w:rPr>
                <w:rFonts w:hint="eastAsia" w:cs="Times New Roman"/>
                <w:b w:val="0"/>
                <w:bCs w:val="0"/>
                <w:color w:val="auto"/>
                <w:kern w:val="2"/>
                <w:sz w:val="28"/>
                <w:szCs w:val="28"/>
                <w:highlight w:val="none"/>
                <w:lang w:val="en-US" w:eastAsia="zh-CN"/>
              </w:rPr>
              <w:t>项目。2.</w:t>
            </w:r>
            <w:r>
              <w:rPr>
                <w:rFonts w:hint="default" w:ascii="Times New Roman" w:hAnsi="Times New Roman" w:eastAsia="仿宋_GB2312" w:cs="Times New Roman"/>
                <w:b w:val="0"/>
                <w:bCs w:val="0"/>
                <w:color w:val="auto"/>
                <w:kern w:val="2"/>
                <w:sz w:val="28"/>
                <w:szCs w:val="28"/>
                <w:highlight w:val="none"/>
                <w:lang w:val="en-US" w:eastAsia="zh-CN"/>
              </w:rPr>
              <w:t>推进农村污水治理设施设备更换及处理工艺技术提升改造项目前期工作。</w:t>
            </w:r>
          </w:p>
          <w:p w14:paraId="4511D999">
            <w:pPr>
              <w:keepNext w:val="0"/>
              <w:keepLines w:val="0"/>
              <w:pageBreakBefore w:val="0"/>
              <w:widowControl/>
              <w:numPr>
                <w:ilvl w:val="0"/>
                <w:numId w:val="13"/>
              </w:numPr>
              <w:kinsoku/>
              <w:wordWrap/>
              <w:overflowPunct/>
              <w:topLinePunct w:val="0"/>
              <w:autoSpaceDE/>
              <w:autoSpaceDN/>
              <w:bidi w:val="0"/>
              <w:adjustRightInd w:val="0"/>
              <w:snapToGrid w:val="0"/>
              <w:spacing w:line="440" w:lineRule="exact"/>
              <w:ind w:left="420" w:leftChars="0" w:hanging="420" w:firstLineChars="0"/>
              <w:jc w:val="left"/>
              <w:textAlignment w:val="auto"/>
              <w:rPr>
                <w:rFonts w:hint="default" w:ascii="Times New Roman" w:hAnsi="Times New Roman" w:eastAsia="仿宋_GB2312" w:cs="Times New Roman"/>
                <w:b/>
                <w:bCs/>
                <w:color w:val="auto"/>
                <w:kern w:val="2"/>
                <w:sz w:val="28"/>
                <w:szCs w:val="28"/>
                <w:highlight w:val="none"/>
                <w:lang w:val="en-US" w:eastAsia="zh-CN"/>
              </w:rPr>
            </w:pPr>
            <w:r>
              <w:rPr>
                <w:rFonts w:hint="default" w:ascii="Times New Roman" w:hAnsi="Times New Roman" w:eastAsia="仿宋_GB2312" w:cs="Times New Roman"/>
                <w:b/>
                <w:bCs/>
                <w:color w:val="auto"/>
                <w:kern w:val="2"/>
                <w:sz w:val="28"/>
                <w:szCs w:val="28"/>
                <w:highlight w:val="none"/>
                <w:lang w:val="en-US" w:eastAsia="zh-CN"/>
              </w:rPr>
              <w:t>地下水污染防治：</w:t>
            </w:r>
            <w:r>
              <w:rPr>
                <w:rFonts w:hint="default" w:ascii="Times New Roman" w:hAnsi="Times New Roman" w:eastAsia="仿宋_GB2312" w:cs="Times New Roman"/>
                <w:b w:val="0"/>
                <w:bCs w:val="0"/>
                <w:color w:val="auto"/>
                <w:kern w:val="2"/>
                <w:sz w:val="28"/>
                <w:szCs w:val="28"/>
                <w:highlight w:val="none"/>
                <w:lang w:val="en-US" w:eastAsia="zh-CN"/>
              </w:rPr>
              <w:t>实施理县县城胆扎木片区市政排水沟工程建设项目。</w:t>
            </w:r>
          </w:p>
          <w:p w14:paraId="494FB3F8">
            <w:pPr>
              <w:keepNext w:val="0"/>
              <w:keepLines w:val="0"/>
              <w:pageBreakBefore w:val="0"/>
              <w:widowControl/>
              <w:numPr>
                <w:ilvl w:val="0"/>
                <w:numId w:val="13"/>
              </w:numPr>
              <w:kinsoku/>
              <w:wordWrap/>
              <w:overflowPunct/>
              <w:topLinePunct w:val="0"/>
              <w:autoSpaceDE/>
              <w:autoSpaceDN/>
              <w:bidi w:val="0"/>
              <w:adjustRightInd w:val="0"/>
              <w:snapToGrid w:val="0"/>
              <w:spacing w:line="440" w:lineRule="exact"/>
              <w:ind w:left="420" w:leftChars="0" w:hanging="420" w:firstLineChars="0"/>
              <w:jc w:val="left"/>
              <w:textAlignment w:val="auto"/>
              <w:rPr>
                <w:rFonts w:hint="default" w:ascii="Times New Roman" w:hAnsi="Times New Roman" w:eastAsia="仿宋_GB2312" w:cs="Times New Roman"/>
                <w:b/>
                <w:bCs/>
                <w:color w:val="auto"/>
                <w:kern w:val="2"/>
                <w:sz w:val="28"/>
                <w:szCs w:val="28"/>
                <w:highlight w:val="none"/>
                <w:lang w:val="en-US" w:eastAsia="zh-CN"/>
              </w:rPr>
            </w:pPr>
            <w:r>
              <w:rPr>
                <w:rFonts w:hint="default" w:ascii="Times New Roman" w:hAnsi="Times New Roman" w:eastAsia="仿宋_GB2312" w:cs="Times New Roman"/>
                <w:b/>
                <w:bCs/>
                <w:color w:val="auto"/>
                <w:kern w:val="2"/>
                <w:sz w:val="28"/>
                <w:szCs w:val="28"/>
                <w:highlight w:val="none"/>
                <w:lang w:val="en-US" w:eastAsia="zh-CN"/>
              </w:rPr>
              <w:t>城乡环境综合治理及农业面源污染治理：</w:t>
            </w:r>
            <w:r>
              <w:rPr>
                <w:rFonts w:hint="eastAsia" w:cs="Times New Roman"/>
                <w:b w:val="0"/>
                <w:bCs w:val="0"/>
                <w:color w:val="auto"/>
                <w:kern w:val="2"/>
                <w:sz w:val="28"/>
                <w:szCs w:val="28"/>
                <w:highlight w:val="none"/>
                <w:lang w:val="en-US" w:eastAsia="zh-CN"/>
              </w:rPr>
              <w:t>1.</w:t>
            </w:r>
            <w:r>
              <w:rPr>
                <w:rFonts w:hint="default" w:ascii="Times New Roman" w:hAnsi="Times New Roman" w:eastAsia="仿宋_GB2312" w:cs="Times New Roman"/>
                <w:b w:val="0"/>
                <w:bCs w:val="0"/>
                <w:color w:val="auto"/>
                <w:kern w:val="2"/>
                <w:sz w:val="28"/>
                <w:szCs w:val="28"/>
                <w:highlight w:val="none"/>
                <w:lang w:val="en-US" w:eastAsia="zh-CN"/>
              </w:rPr>
              <w:t>完工薛城镇农村环境综合整治项目。</w:t>
            </w:r>
            <w:r>
              <w:rPr>
                <w:rFonts w:hint="eastAsia" w:cs="Times New Roman"/>
                <w:b w:val="0"/>
                <w:bCs w:val="0"/>
                <w:color w:val="auto"/>
                <w:kern w:val="2"/>
                <w:sz w:val="28"/>
                <w:szCs w:val="28"/>
                <w:highlight w:val="none"/>
                <w:lang w:val="en-US" w:eastAsia="zh-CN"/>
              </w:rPr>
              <w:t>2.</w:t>
            </w:r>
            <w:r>
              <w:rPr>
                <w:rFonts w:hint="default" w:ascii="Times New Roman" w:hAnsi="Times New Roman" w:eastAsia="仿宋_GB2312" w:cs="Times New Roman"/>
                <w:b w:val="0"/>
                <w:bCs w:val="0"/>
                <w:color w:val="auto"/>
                <w:kern w:val="2"/>
                <w:sz w:val="28"/>
                <w:szCs w:val="28"/>
                <w:highlight w:val="none"/>
                <w:lang w:val="en-US" w:eastAsia="zh-CN"/>
              </w:rPr>
              <w:t>实施</w:t>
            </w:r>
            <w:r>
              <w:rPr>
                <w:rFonts w:hint="eastAsia" w:cs="Times New Roman"/>
                <w:color w:val="auto"/>
                <w:sz w:val="28"/>
                <w:szCs w:val="28"/>
                <w:highlight w:val="none"/>
                <w:lang w:val="en-US" w:eastAsia="zh-CN"/>
              </w:rPr>
              <w:t>理县</w:t>
            </w:r>
            <w:r>
              <w:rPr>
                <w:rFonts w:hint="default" w:ascii="Times New Roman" w:hAnsi="Times New Roman" w:eastAsia="仿宋_GB2312" w:cs="Times New Roman"/>
                <w:b w:val="0"/>
                <w:bCs w:val="0"/>
                <w:color w:val="auto"/>
                <w:kern w:val="2"/>
                <w:sz w:val="28"/>
                <w:szCs w:val="28"/>
                <w:highlight w:val="none"/>
                <w:lang w:val="en-US" w:eastAsia="zh-CN"/>
              </w:rPr>
              <w:t>旅游乡镇生活污水治理（上孟乡）扩建、</w:t>
            </w:r>
            <w:r>
              <w:rPr>
                <w:rFonts w:hint="eastAsia" w:cs="Times New Roman"/>
                <w:color w:val="auto"/>
                <w:sz w:val="28"/>
                <w:szCs w:val="28"/>
                <w:highlight w:val="none"/>
                <w:lang w:val="en-US" w:eastAsia="zh-CN"/>
              </w:rPr>
              <w:t>理县</w:t>
            </w:r>
            <w:r>
              <w:rPr>
                <w:rFonts w:hint="default" w:ascii="Times New Roman" w:hAnsi="Times New Roman" w:eastAsia="仿宋_GB2312" w:cs="Times New Roman"/>
                <w:b w:val="0"/>
                <w:bCs w:val="0"/>
                <w:color w:val="auto"/>
                <w:kern w:val="2"/>
                <w:sz w:val="28"/>
                <w:szCs w:val="28"/>
                <w:highlight w:val="none"/>
                <w:lang w:val="en-US" w:eastAsia="zh-CN"/>
              </w:rPr>
              <w:t>农业面源污染治理专项、薛城镇木卡村污水及化粪处理</w:t>
            </w:r>
            <w:r>
              <w:rPr>
                <w:rFonts w:hint="eastAsia" w:cs="Times New Roman"/>
                <w:b w:val="0"/>
                <w:bCs w:val="0"/>
                <w:color w:val="auto"/>
                <w:kern w:val="2"/>
                <w:sz w:val="28"/>
                <w:szCs w:val="28"/>
                <w:highlight w:val="none"/>
                <w:lang w:val="en-US" w:eastAsia="zh-CN"/>
              </w:rPr>
              <w:t>、理县</w:t>
            </w:r>
            <w:r>
              <w:rPr>
                <w:rFonts w:hint="default" w:ascii="Times New Roman" w:hAnsi="Times New Roman" w:eastAsia="仿宋_GB2312" w:cs="Times New Roman"/>
                <w:b w:val="0"/>
                <w:bCs w:val="0"/>
                <w:color w:val="auto"/>
                <w:kern w:val="2"/>
                <w:sz w:val="28"/>
                <w:szCs w:val="28"/>
                <w:highlight w:val="none"/>
                <w:lang w:val="en-US" w:eastAsia="zh-CN"/>
              </w:rPr>
              <w:t>旅游乡镇农村生活污水治理项目（二期）、岷江流域理县段支流农村生活污水治理等项目。</w:t>
            </w:r>
            <w:r>
              <w:rPr>
                <w:rFonts w:hint="eastAsia" w:cs="Times New Roman"/>
                <w:b w:val="0"/>
                <w:bCs w:val="0"/>
                <w:color w:val="auto"/>
                <w:kern w:val="2"/>
                <w:sz w:val="28"/>
                <w:szCs w:val="28"/>
                <w:highlight w:val="none"/>
                <w:lang w:val="en-US" w:eastAsia="zh-CN"/>
              </w:rPr>
              <w:t>3.</w:t>
            </w:r>
            <w:r>
              <w:rPr>
                <w:rFonts w:hint="default" w:ascii="Times New Roman" w:hAnsi="Times New Roman" w:eastAsia="仿宋_GB2312" w:cs="Times New Roman"/>
                <w:b w:val="0"/>
                <w:bCs w:val="0"/>
                <w:color w:val="auto"/>
                <w:kern w:val="2"/>
                <w:sz w:val="28"/>
                <w:szCs w:val="28"/>
                <w:highlight w:val="none"/>
                <w:lang w:val="en-US" w:eastAsia="zh-CN"/>
              </w:rPr>
              <w:t>推进</w:t>
            </w:r>
            <w:r>
              <w:rPr>
                <w:rFonts w:hint="eastAsia" w:cs="Times New Roman"/>
                <w:color w:val="auto"/>
                <w:sz w:val="28"/>
                <w:szCs w:val="28"/>
                <w:highlight w:val="none"/>
                <w:lang w:val="en-US" w:eastAsia="zh-CN"/>
              </w:rPr>
              <w:t>理县</w:t>
            </w:r>
            <w:r>
              <w:rPr>
                <w:rFonts w:hint="default" w:ascii="Times New Roman" w:hAnsi="Times New Roman" w:eastAsia="仿宋_GB2312" w:cs="Times New Roman"/>
                <w:color w:val="auto"/>
                <w:sz w:val="28"/>
                <w:szCs w:val="28"/>
                <w:highlight w:val="none"/>
              </w:rPr>
              <w:t>下孟乡农业面源污染治理专项</w:t>
            </w:r>
            <w:r>
              <w:rPr>
                <w:rFonts w:hint="default" w:ascii="Times New Roman" w:hAnsi="Times New Roman" w:eastAsia="仿宋_GB2312" w:cs="Times New Roman"/>
                <w:color w:val="auto"/>
                <w:sz w:val="28"/>
                <w:szCs w:val="28"/>
                <w:highlight w:val="none"/>
                <w:lang w:eastAsia="zh-CN"/>
              </w:rPr>
              <w:t>、</w:t>
            </w:r>
            <w:r>
              <w:rPr>
                <w:rFonts w:hint="default" w:ascii="Times New Roman" w:hAnsi="Times New Roman" w:eastAsia="仿宋_GB2312" w:cs="Times New Roman"/>
                <w:color w:val="auto"/>
                <w:sz w:val="28"/>
                <w:szCs w:val="28"/>
                <w:highlight w:val="none"/>
              </w:rPr>
              <w:t>理县生活垃圾压缩站建设</w:t>
            </w:r>
            <w:r>
              <w:rPr>
                <w:rFonts w:hint="default" w:ascii="Times New Roman" w:hAnsi="Times New Roman" w:eastAsia="仿宋_GB2312" w:cs="Times New Roman"/>
                <w:color w:val="auto"/>
                <w:sz w:val="28"/>
                <w:szCs w:val="28"/>
                <w:highlight w:val="none"/>
                <w:lang w:eastAsia="zh-CN"/>
              </w:rPr>
              <w:t>、</w:t>
            </w:r>
            <w:r>
              <w:rPr>
                <w:rFonts w:hint="default" w:ascii="Times New Roman" w:hAnsi="Times New Roman" w:eastAsia="仿宋_GB2312" w:cs="Times New Roman"/>
                <w:color w:val="auto"/>
                <w:sz w:val="28"/>
                <w:szCs w:val="28"/>
                <w:highlight w:val="none"/>
              </w:rPr>
              <w:t>理县新建生活垃圾填埋场建设</w:t>
            </w:r>
            <w:r>
              <w:rPr>
                <w:rFonts w:hint="default" w:ascii="Times New Roman" w:hAnsi="Times New Roman" w:eastAsia="仿宋_GB2312" w:cs="Times New Roman"/>
                <w:color w:val="auto"/>
                <w:sz w:val="28"/>
                <w:szCs w:val="28"/>
                <w:highlight w:val="none"/>
                <w:lang w:val="en-US" w:eastAsia="zh-CN"/>
              </w:rPr>
              <w:t>等</w:t>
            </w:r>
            <w:r>
              <w:rPr>
                <w:rFonts w:hint="default" w:ascii="Times New Roman" w:hAnsi="Times New Roman" w:eastAsia="仿宋_GB2312" w:cs="Times New Roman"/>
                <w:color w:val="auto"/>
                <w:sz w:val="28"/>
                <w:szCs w:val="28"/>
                <w:highlight w:val="none"/>
              </w:rPr>
              <w:t>项目</w:t>
            </w:r>
            <w:r>
              <w:rPr>
                <w:rFonts w:hint="default" w:ascii="Times New Roman" w:hAnsi="Times New Roman" w:eastAsia="仿宋_GB2312" w:cs="Times New Roman"/>
                <w:color w:val="auto"/>
                <w:sz w:val="28"/>
                <w:szCs w:val="28"/>
                <w:highlight w:val="none"/>
                <w:lang w:val="en-US" w:eastAsia="zh-CN"/>
              </w:rPr>
              <w:t>前期工作。</w:t>
            </w:r>
          </w:p>
          <w:p w14:paraId="481FBCEA">
            <w:pPr>
              <w:keepNext w:val="0"/>
              <w:keepLines w:val="0"/>
              <w:pageBreakBefore w:val="0"/>
              <w:widowControl/>
              <w:numPr>
                <w:ilvl w:val="0"/>
                <w:numId w:val="13"/>
              </w:numPr>
              <w:kinsoku/>
              <w:wordWrap/>
              <w:overflowPunct/>
              <w:topLinePunct w:val="0"/>
              <w:autoSpaceDE/>
              <w:autoSpaceDN/>
              <w:bidi w:val="0"/>
              <w:adjustRightInd w:val="0"/>
              <w:snapToGrid w:val="0"/>
              <w:spacing w:line="440" w:lineRule="exact"/>
              <w:ind w:left="420" w:leftChars="0" w:hanging="420" w:firstLineChars="0"/>
              <w:jc w:val="left"/>
              <w:textAlignment w:val="auto"/>
              <w:rPr>
                <w:rFonts w:hint="default" w:ascii="Times New Roman" w:hAnsi="Times New Roman" w:eastAsia="仿宋_GB2312" w:cs="Times New Roman"/>
                <w:b/>
                <w:bCs/>
                <w:color w:val="auto"/>
                <w:kern w:val="2"/>
                <w:sz w:val="28"/>
                <w:szCs w:val="28"/>
                <w:highlight w:val="none"/>
                <w:lang w:val="en-US" w:eastAsia="zh-CN"/>
              </w:rPr>
            </w:pPr>
            <w:r>
              <w:rPr>
                <w:rFonts w:hint="default" w:ascii="Times New Roman" w:hAnsi="Times New Roman" w:eastAsia="仿宋_GB2312" w:cs="Times New Roman"/>
                <w:b/>
                <w:bCs/>
                <w:color w:val="auto"/>
                <w:kern w:val="2"/>
                <w:sz w:val="28"/>
                <w:szCs w:val="28"/>
                <w:highlight w:val="none"/>
                <w:lang w:val="en-US" w:eastAsia="zh-CN"/>
              </w:rPr>
              <w:t>节能减排综合提升：</w:t>
            </w:r>
            <w:r>
              <w:rPr>
                <w:rFonts w:hint="default" w:ascii="Times New Roman" w:hAnsi="Times New Roman" w:eastAsia="仿宋_GB2312" w:cs="Times New Roman"/>
                <w:b w:val="0"/>
                <w:bCs w:val="0"/>
                <w:color w:val="auto"/>
                <w:kern w:val="2"/>
                <w:sz w:val="28"/>
                <w:szCs w:val="28"/>
                <w:highlight w:val="none"/>
                <w:lang w:val="en-US" w:eastAsia="zh-CN"/>
              </w:rPr>
              <w:t>完工四川福兴新材料有限公司矿热炉烟气深度治理项目。</w:t>
            </w:r>
          </w:p>
          <w:p w14:paraId="4C58923F">
            <w:pPr>
              <w:keepNext w:val="0"/>
              <w:keepLines w:val="0"/>
              <w:pageBreakBefore w:val="0"/>
              <w:widowControl/>
              <w:numPr>
                <w:ilvl w:val="0"/>
                <w:numId w:val="13"/>
              </w:numPr>
              <w:kinsoku/>
              <w:wordWrap/>
              <w:overflowPunct/>
              <w:topLinePunct w:val="0"/>
              <w:autoSpaceDE/>
              <w:autoSpaceDN/>
              <w:bidi w:val="0"/>
              <w:adjustRightInd w:val="0"/>
              <w:snapToGrid w:val="0"/>
              <w:spacing w:line="440" w:lineRule="exact"/>
              <w:ind w:left="420" w:leftChars="0" w:hanging="420" w:firstLineChars="0"/>
              <w:jc w:val="left"/>
              <w:textAlignment w:val="auto"/>
              <w:rPr>
                <w:rFonts w:hint="default" w:ascii="Times New Roman" w:hAnsi="Times New Roman" w:eastAsia="仿宋_GB2312" w:cs="Times New Roman"/>
                <w:color w:val="auto"/>
                <w:sz w:val="32"/>
                <w:szCs w:val="22"/>
                <w:highlight w:val="none"/>
                <w:lang w:eastAsia="zh-CN"/>
              </w:rPr>
            </w:pPr>
            <w:r>
              <w:rPr>
                <w:rFonts w:hint="default" w:ascii="Times New Roman" w:hAnsi="Times New Roman" w:eastAsia="仿宋_GB2312" w:cs="Times New Roman"/>
                <w:b/>
                <w:bCs/>
                <w:color w:val="auto"/>
                <w:kern w:val="2"/>
                <w:sz w:val="28"/>
                <w:szCs w:val="28"/>
                <w:highlight w:val="none"/>
                <w:lang w:val="en-US" w:eastAsia="zh-CN"/>
              </w:rPr>
              <w:t>环境监管体系建设：</w:t>
            </w:r>
            <w:r>
              <w:rPr>
                <w:rFonts w:hint="eastAsia" w:cs="Times New Roman"/>
                <w:b w:val="0"/>
                <w:bCs w:val="0"/>
                <w:color w:val="auto"/>
                <w:kern w:val="2"/>
                <w:sz w:val="28"/>
                <w:szCs w:val="28"/>
                <w:highlight w:val="none"/>
                <w:lang w:val="en-US" w:eastAsia="zh-CN"/>
              </w:rPr>
              <w:t>1.</w:t>
            </w:r>
            <w:r>
              <w:rPr>
                <w:rFonts w:hint="default" w:ascii="Times New Roman" w:hAnsi="Times New Roman" w:eastAsia="仿宋_GB2312" w:cs="Times New Roman"/>
                <w:b w:val="0"/>
                <w:bCs w:val="0"/>
                <w:color w:val="auto"/>
                <w:kern w:val="2"/>
                <w:sz w:val="28"/>
                <w:szCs w:val="28"/>
                <w:highlight w:val="none"/>
                <w:lang w:val="en-US" w:eastAsia="zh-CN"/>
              </w:rPr>
              <w:t>实施理县环境监测实验室改造建设及设备购置项目。</w:t>
            </w:r>
            <w:r>
              <w:rPr>
                <w:rFonts w:hint="eastAsia" w:cs="Times New Roman"/>
                <w:b w:val="0"/>
                <w:bCs w:val="0"/>
                <w:color w:val="auto"/>
                <w:kern w:val="2"/>
                <w:sz w:val="28"/>
                <w:szCs w:val="28"/>
                <w:highlight w:val="none"/>
                <w:lang w:val="en-US" w:eastAsia="zh-CN"/>
              </w:rPr>
              <w:t>2.</w:t>
            </w:r>
            <w:r>
              <w:rPr>
                <w:rFonts w:hint="default" w:ascii="Times New Roman" w:hAnsi="Times New Roman" w:eastAsia="仿宋_GB2312" w:cs="Times New Roman"/>
                <w:b w:val="0"/>
                <w:bCs w:val="0"/>
                <w:color w:val="auto"/>
                <w:kern w:val="2"/>
                <w:sz w:val="28"/>
                <w:szCs w:val="28"/>
                <w:highlight w:val="none"/>
                <w:lang w:val="en-US" w:eastAsia="zh-CN"/>
              </w:rPr>
              <w:t>推进</w:t>
            </w:r>
            <w:r>
              <w:rPr>
                <w:rFonts w:hint="default" w:ascii="Times New Roman" w:hAnsi="Times New Roman" w:eastAsia="仿宋_GB2312" w:cs="Times New Roman"/>
                <w:color w:val="auto"/>
                <w:sz w:val="28"/>
                <w:szCs w:val="28"/>
                <w:highlight w:val="none"/>
              </w:rPr>
              <w:t>理县环境应急管理能力提升</w:t>
            </w:r>
            <w:r>
              <w:rPr>
                <w:rFonts w:hint="default" w:ascii="Times New Roman" w:hAnsi="Times New Roman" w:eastAsia="仿宋_GB2312" w:cs="Times New Roman"/>
                <w:color w:val="auto"/>
                <w:sz w:val="28"/>
                <w:szCs w:val="28"/>
                <w:highlight w:val="none"/>
                <w:lang w:eastAsia="zh-CN"/>
              </w:rPr>
              <w:t>、</w:t>
            </w:r>
            <w:r>
              <w:rPr>
                <w:rFonts w:hint="default" w:ascii="Times New Roman" w:hAnsi="Times New Roman" w:eastAsia="仿宋_GB2312" w:cs="Times New Roman"/>
                <w:color w:val="auto"/>
                <w:sz w:val="28"/>
                <w:szCs w:val="28"/>
                <w:highlight w:val="none"/>
              </w:rPr>
              <w:t>理县网格化环境监管综合系统建设</w:t>
            </w:r>
            <w:r>
              <w:rPr>
                <w:rFonts w:hint="default" w:ascii="Times New Roman" w:hAnsi="Times New Roman" w:eastAsia="仿宋_GB2312" w:cs="Times New Roman"/>
                <w:color w:val="auto"/>
                <w:sz w:val="28"/>
                <w:szCs w:val="28"/>
                <w:highlight w:val="none"/>
                <w:lang w:eastAsia="zh-CN"/>
              </w:rPr>
              <w:t>、</w:t>
            </w:r>
            <w:r>
              <w:rPr>
                <w:rFonts w:hint="default" w:ascii="Times New Roman" w:hAnsi="Times New Roman" w:eastAsia="仿宋_GB2312" w:cs="Times New Roman"/>
                <w:color w:val="auto"/>
                <w:sz w:val="28"/>
                <w:szCs w:val="28"/>
                <w:highlight w:val="none"/>
              </w:rPr>
              <w:t>理县生态环境数智化监管能力提升</w:t>
            </w:r>
            <w:r>
              <w:rPr>
                <w:rFonts w:hint="default" w:ascii="Times New Roman" w:hAnsi="Times New Roman" w:eastAsia="仿宋_GB2312" w:cs="Times New Roman"/>
                <w:color w:val="auto"/>
                <w:sz w:val="28"/>
                <w:szCs w:val="28"/>
                <w:highlight w:val="none"/>
                <w:lang w:eastAsia="zh-CN"/>
              </w:rPr>
              <w:t>、</w:t>
            </w:r>
            <w:r>
              <w:rPr>
                <w:rFonts w:hint="default" w:ascii="Times New Roman" w:hAnsi="Times New Roman" w:eastAsia="仿宋_GB2312" w:cs="Times New Roman"/>
                <w:color w:val="auto"/>
                <w:sz w:val="28"/>
                <w:szCs w:val="28"/>
                <w:highlight w:val="none"/>
              </w:rPr>
              <w:t>理县环境监测站全覆盖监测体系建设</w:t>
            </w:r>
            <w:r>
              <w:rPr>
                <w:rFonts w:hint="default" w:ascii="Times New Roman" w:hAnsi="Times New Roman" w:eastAsia="仿宋_GB2312" w:cs="Times New Roman"/>
                <w:color w:val="auto"/>
                <w:sz w:val="28"/>
                <w:szCs w:val="28"/>
                <w:highlight w:val="none"/>
                <w:lang w:val="en-US" w:eastAsia="zh-CN"/>
              </w:rPr>
              <w:t>等</w:t>
            </w:r>
            <w:r>
              <w:rPr>
                <w:rFonts w:hint="default" w:ascii="Times New Roman" w:hAnsi="Times New Roman" w:eastAsia="仿宋_GB2312" w:cs="Times New Roman"/>
                <w:color w:val="auto"/>
                <w:sz w:val="28"/>
                <w:szCs w:val="28"/>
                <w:highlight w:val="none"/>
              </w:rPr>
              <w:t>项目</w:t>
            </w:r>
            <w:r>
              <w:rPr>
                <w:rFonts w:hint="default" w:ascii="Times New Roman" w:hAnsi="Times New Roman" w:eastAsia="仿宋_GB2312" w:cs="Times New Roman"/>
                <w:color w:val="auto"/>
                <w:sz w:val="28"/>
                <w:szCs w:val="28"/>
                <w:highlight w:val="none"/>
                <w:lang w:val="en-US" w:eastAsia="zh-CN"/>
              </w:rPr>
              <w:t>前期工作。</w:t>
            </w:r>
          </w:p>
          <w:p w14:paraId="212CE6A0">
            <w:pPr>
              <w:keepNext w:val="0"/>
              <w:keepLines w:val="0"/>
              <w:pageBreakBefore w:val="0"/>
              <w:widowControl/>
              <w:numPr>
                <w:ilvl w:val="0"/>
                <w:numId w:val="13"/>
              </w:numPr>
              <w:kinsoku/>
              <w:wordWrap/>
              <w:overflowPunct/>
              <w:topLinePunct w:val="0"/>
              <w:autoSpaceDE/>
              <w:autoSpaceDN/>
              <w:bidi w:val="0"/>
              <w:adjustRightInd w:val="0"/>
              <w:snapToGrid w:val="0"/>
              <w:spacing w:line="440" w:lineRule="exact"/>
              <w:ind w:left="420" w:leftChars="0" w:hanging="420" w:firstLineChars="0"/>
              <w:jc w:val="left"/>
              <w:textAlignment w:val="auto"/>
              <w:rPr>
                <w:rFonts w:hint="default" w:ascii="Times New Roman" w:hAnsi="Times New Roman" w:eastAsia="仿宋_GB2312" w:cs="Times New Roman"/>
                <w:color w:val="auto"/>
                <w:sz w:val="32"/>
                <w:szCs w:val="22"/>
                <w:highlight w:val="none"/>
                <w:lang w:eastAsia="zh-CN"/>
              </w:rPr>
            </w:pPr>
            <w:r>
              <w:rPr>
                <w:rFonts w:hint="default" w:ascii="Times New Roman" w:hAnsi="Times New Roman" w:eastAsia="仿宋_GB2312" w:cs="Times New Roman"/>
                <w:b/>
                <w:bCs/>
                <w:color w:val="auto"/>
                <w:kern w:val="2"/>
                <w:sz w:val="28"/>
                <w:szCs w:val="28"/>
                <w:highlight w:val="none"/>
                <w:lang w:val="en-US" w:eastAsia="zh-CN"/>
              </w:rPr>
              <w:t>生态价值转化</w:t>
            </w:r>
            <w:r>
              <w:rPr>
                <w:rFonts w:hint="default" w:ascii="Times New Roman" w:hAnsi="Times New Roman" w:eastAsia="仿宋_GB2312" w:cs="Times New Roman"/>
                <w:b w:val="0"/>
                <w:bCs w:val="0"/>
                <w:color w:val="auto"/>
                <w:kern w:val="2"/>
                <w:sz w:val="28"/>
                <w:szCs w:val="28"/>
                <w:highlight w:val="none"/>
                <w:lang w:val="en-US" w:eastAsia="zh-CN"/>
              </w:rPr>
              <w:t>：加强森林草原湿地碳汇资源普查，推进</w:t>
            </w:r>
            <w:r>
              <w:rPr>
                <w:rFonts w:hint="default" w:ascii="Times New Roman" w:hAnsi="Times New Roman" w:eastAsia="仿宋_GB2312" w:cs="Times New Roman"/>
                <w:color w:val="auto"/>
                <w:sz w:val="28"/>
                <w:szCs w:val="28"/>
                <w:highlight w:val="none"/>
              </w:rPr>
              <w:t>理县林草碳汇功能精准提升</w:t>
            </w:r>
            <w:r>
              <w:rPr>
                <w:rFonts w:hint="default" w:ascii="Times New Roman" w:hAnsi="Times New Roman" w:eastAsia="仿宋_GB2312" w:cs="Times New Roman"/>
                <w:color w:val="auto"/>
                <w:sz w:val="28"/>
                <w:szCs w:val="28"/>
                <w:highlight w:val="none"/>
                <w:lang w:val="en-US" w:eastAsia="zh-CN"/>
              </w:rPr>
              <w:t>项目前期工作。</w:t>
            </w:r>
          </w:p>
        </w:tc>
      </w:tr>
    </w:tbl>
    <w:p w14:paraId="675EDE90">
      <w:pPr>
        <w:bidi w:val="0"/>
        <w:spacing w:line="560" w:lineRule="exact"/>
        <w:ind w:left="0" w:leftChars="0" w:firstLine="0" w:firstLineChars="0"/>
        <w:rPr>
          <w:rFonts w:hint="default" w:ascii="Times New Roman" w:hAnsi="Times New Roman" w:eastAsia="仿宋_GB2312" w:cs="Times New Roman"/>
          <w:color w:val="auto"/>
          <w:sz w:val="32"/>
          <w:szCs w:val="22"/>
          <w:highlight w:val="none"/>
          <w:lang w:val="en-US" w:eastAsia="zh-CN"/>
        </w:rPr>
      </w:pPr>
    </w:p>
    <w:p w14:paraId="34B4B102">
      <w:pPr>
        <w:bidi w:val="0"/>
        <w:rPr>
          <w:rFonts w:hint="default" w:ascii="Times New Roman" w:hAnsi="Times New Roman" w:cs="Times New Roman"/>
          <w:color w:val="auto"/>
          <w:highlight w:val="none"/>
          <w:lang w:val="en-US" w:eastAsia="zh-CN"/>
        </w:rPr>
        <w:sectPr>
          <w:pgSz w:w="11906" w:h="16838"/>
          <w:pgMar w:top="2098" w:right="1474" w:bottom="1984" w:left="1587" w:header="851" w:footer="992" w:gutter="0"/>
          <w:pgNumType w:fmt="numberInDash"/>
          <w:cols w:space="0" w:num="1"/>
          <w:rtlGutter w:val="0"/>
          <w:docGrid w:type="lines" w:linePitch="439" w:charSpace="0"/>
        </w:sectPr>
      </w:pPr>
    </w:p>
    <w:p w14:paraId="676C6114">
      <w:pPr>
        <w:keepNext w:val="0"/>
        <w:keepLines w:val="0"/>
        <w:pageBreakBefore w:val="0"/>
        <w:widowControl w:val="0"/>
        <w:numPr>
          <w:ilvl w:val="0"/>
          <w:numId w:val="3"/>
        </w:numPr>
        <w:kinsoku/>
        <w:wordWrap/>
        <w:overflowPunct/>
        <w:topLinePunct w:val="0"/>
        <w:autoSpaceDE/>
        <w:autoSpaceDN/>
        <w:bidi w:val="0"/>
        <w:adjustRightInd/>
        <w:snapToGrid w:val="0"/>
        <w:spacing w:before="313" w:beforeLines="100" w:after="313" w:afterLines="100" w:line="560" w:lineRule="exact"/>
        <w:ind w:left="0" w:leftChars="0" w:firstLine="0" w:firstLineChars="0"/>
        <w:jc w:val="center"/>
        <w:textAlignment w:val="auto"/>
        <w:outlineLvl w:val="0"/>
        <w:rPr>
          <w:rFonts w:hint="default" w:ascii="Times New Roman" w:hAnsi="Times New Roman" w:eastAsia="方正小标宋简体" w:cs="Times New Roman"/>
          <w:color w:val="auto"/>
          <w:kern w:val="2"/>
          <w:sz w:val="44"/>
          <w:szCs w:val="44"/>
          <w:highlight w:val="none"/>
          <w:lang w:val="en-US" w:eastAsia="zh-CN" w:bidi="ar-SA"/>
        </w:rPr>
      </w:pPr>
      <w:r>
        <w:rPr>
          <w:rFonts w:hint="default" w:ascii="Times New Roman" w:hAnsi="Times New Roman" w:eastAsia="方正小标宋简体" w:cs="Times New Roman"/>
          <w:color w:val="auto"/>
          <w:kern w:val="2"/>
          <w:sz w:val="36"/>
          <w:szCs w:val="22"/>
          <w:highlight w:val="none"/>
          <w:lang w:val="en-US" w:eastAsia="zh-CN" w:bidi="ar-SA"/>
        </w:rPr>
        <w:t xml:space="preserve"> </w:t>
      </w:r>
      <w:bookmarkStart w:id="280" w:name="_Toc424"/>
      <w:bookmarkStart w:id="281" w:name="_Toc19826"/>
      <w:bookmarkStart w:id="282" w:name="_Toc1582"/>
      <w:bookmarkStart w:id="283" w:name="_Toc31441"/>
      <w:bookmarkStart w:id="284" w:name="_Toc28271"/>
      <w:r>
        <w:rPr>
          <w:rFonts w:hint="default" w:ascii="Times New Roman" w:hAnsi="Times New Roman" w:eastAsia="方正小标宋简体" w:cs="Times New Roman"/>
          <w:color w:val="auto"/>
          <w:kern w:val="2"/>
          <w:sz w:val="44"/>
          <w:szCs w:val="44"/>
          <w:highlight w:val="none"/>
          <w:lang w:val="en-US" w:eastAsia="zh-CN" w:bidi="ar-SA"/>
        </w:rPr>
        <w:fldChar w:fldCharType="begin"/>
      </w:r>
      <w:r>
        <w:rPr>
          <w:rFonts w:hint="default" w:ascii="Times New Roman" w:hAnsi="Times New Roman" w:eastAsia="方正小标宋简体" w:cs="Times New Roman"/>
          <w:color w:val="auto"/>
          <w:kern w:val="2"/>
          <w:sz w:val="44"/>
          <w:szCs w:val="44"/>
          <w:highlight w:val="none"/>
          <w:lang w:val="en-US" w:eastAsia="zh-CN" w:bidi="ar-SA"/>
        </w:rPr>
        <w:instrText xml:space="preserve"> HYPERLINK \l _Toc3000 </w:instrText>
      </w:r>
      <w:r>
        <w:rPr>
          <w:rFonts w:hint="default" w:ascii="Times New Roman" w:hAnsi="Times New Roman" w:eastAsia="方正小标宋简体" w:cs="Times New Roman"/>
          <w:color w:val="auto"/>
          <w:kern w:val="2"/>
          <w:sz w:val="44"/>
          <w:szCs w:val="44"/>
          <w:highlight w:val="none"/>
          <w:lang w:val="en-US" w:eastAsia="zh-CN" w:bidi="ar-SA"/>
        </w:rPr>
        <w:fldChar w:fldCharType="separate"/>
      </w:r>
      <w:r>
        <w:rPr>
          <w:rFonts w:hint="default" w:ascii="Times New Roman" w:hAnsi="Times New Roman" w:eastAsia="方正小标宋简体" w:cs="Times New Roman"/>
          <w:color w:val="auto"/>
          <w:kern w:val="2"/>
          <w:sz w:val="44"/>
          <w:szCs w:val="44"/>
          <w:highlight w:val="none"/>
          <w:lang w:val="en-US" w:eastAsia="zh-CN" w:bidi="ar-SA"/>
        </w:rPr>
        <w:t>完善基础设施建设布局，筑牢经济发展坚实根基</w:t>
      </w:r>
      <w:r>
        <w:rPr>
          <w:rFonts w:hint="default" w:ascii="Times New Roman" w:hAnsi="Times New Roman" w:eastAsia="方正小标宋简体" w:cs="Times New Roman"/>
          <w:color w:val="auto"/>
          <w:kern w:val="2"/>
          <w:sz w:val="44"/>
          <w:szCs w:val="44"/>
          <w:highlight w:val="none"/>
          <w:lang w:val="en-US" w:eastAsia="zh-CN" w:bidi="ar-SA"/>
        </w:rPr>
        <w:fldChar w:fldCharType="end"/>
      </w:r>
      <w:bookmarkEnd w:id="280"/>
      <w:bookmarkEnd w:id="281"/>
      <w:bookmarkEnd w:id="282"/>
      <w:bookmarkEnd w:id="283"/>
      <w:bookmarkEnd w:id="284"/>
    </w:p>
    <w:p w14:paraId="341FBDB0">
      <w:pPr>
        <w:bidi w:val="0"/>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color w:val="auto"/>
          <w:sz w:val="32"/>
          <w:szCs w:val="22"/>
          <w:highlight w:val="none"/>
        </w:rPr>
        <w:t>加大交通、能源、</w:t>
      </w:r>
      <w:r>
        <w:rPr>
          <w:rFonts w:hint="default" w:ascii="Times New Roman" w:hAnsi="Times New Roman" w:eastAsia="仿宋_GB2312" w:cs="Times New Roman"/>
          <w:color w:val="auto"/>
          <w:sz w:val="32"/>
          <w:szCs w:val="22"/>
          <w:highlight w:val="none"/>
          <w:lang w:val="en-US" w:eastAsia="zh-CN"/>
        </w:rPr>
        <w:t>水利</w:t>
      </w:r>
      <w:r>
        <w:rPr>
          <w:rFonts w:hint="default" w:ascii="Times New Roman" w:hAnsi="Times New Roman" w:eastAsia="仿宋_GB2312" w:cs="Times New Roman"/>
          <w:color w:val="auto"/>
          <w:sz w:val="32"/>
          <w:szCs w:val="22"/>
          <w:highlight w:val="none"/>
        </w:rPr>
        <w:t>和</w:t>
      </w:r>
      <w:r>
        <w:rPr>
          <w:rFonts w:hint="default" w:ascii="Times New Roman" w:hAnsi="Times New Roman" w:eastAsia="仿宋_GB2312" w:cs="Times New Roman"/>
          <w:color w:val="auto"/>
          <w:sz w:val="32"/>
          <w:szCs w:val="22"/>
          <w:highlight w:val="none"/>
          <w:lang w:val="en-US" w:eastAsia="zh-CN"/>
        </w:rPr>
        <w:t>新型</w:t>
      </w:r>
      <w:r>
        <w:rPr>
          <w:rFonts w:hint="default" w:ascii="Times New Roman" w:hAnsi="Times New Roman" w:eastAsia="仿宋_GB2312" w:cs="Times New Roman"/>
          <w:color w:val="auto"/>
          <w:sz w:val="32"/>
          <w:szCs w:val="22"/>
          <w:highlight w:val="none"/>
        </w:rPr>
        <w:t>基础设施建设</w:t>
      </w:r>
      <w:r>
        <w:rPr>
          <w:rFonts w:hint="default" w:ascii="Times New Roman" w:hAnsi="Times New Roman" w:eastAsia="仿宋_GB2312" w:cs="Times New Roman"/>
          <w:color w:val="auto"/>
          <w:sz w:val="32"/>
          <w:szCs w:val="22"/>
          <w:highlight w:val="none"/>
          <w:lang w:eastAsia="zh-CN"/>
        </w:rPr>
        <w:t>，加快补齐基础设施短板</w:t>
      </w:r>
      <w:r>
        <w:rPr>
          <w:rFonts w:hint="default" w:ascii="Times New Roman" w:hAnsi="Times New Roman" w:eastAsia="仿宋_GB2312" w:cs="Times New Roman"/>
          <w:color w:val="auto"/>
          <w:sz w:val="32"/>
          <w:szCs w:val="22"/>
          <w:highlight w:val="none"/>
          <w:lang w:val="en-US" w:eastAsia="zh-CN"/>
        </w:rPr>
        <w:t>，推进现代化基础设施体系建设，</w:t>
      </w:r>
      <w:r>
        <w:rPr>
          <w:rFonts w:hint="default" w:ascii="Times New Roman" w:hAnsi="Times New Roman" w:eastAsia="仿宋_GB2312" w:cs="Times New Roman"/>
          <w:color w:val="auto"/>
          <w:sz w:val="32"/>
          <w:szCs w:val="22"/>
          <w:highlight w:val="none"/>
          <w:lang w:eastAsia="zh-CN"/>
        </w:rPr>
        <w:t>全方位夯实</w:t>
      </w:r>
      <w:r>
        <w:rPr>
          <w:rFonts w:hint="default" w:ascii="Times New Roman" w:hAnsi="Times New Roman" w:eastAsia="仿宋_GB2312" w:cs="Times New Roman"/>
          <w:color w:val="auto"/>
          <w:sz w:val="32"/>
          <w:szCs w:val="22"/>
          <w:highlight w:val="none"/>
          <w:lang w:val="en-US" w:eastAsia="zh-CN"/>
        </w:rPr>
        <w:t>高质量</w:t>
      </w:r>
      <w:r>
        <w:rPr>
          <w:rFonts w:hint="default" w:ascii="Times New Roman" w:hAnsi="Times New Roman" w:eastAsia="仿宋_GB2312" w:cs="Times New Roman"/>
          <w:color w:val="auto"/>
          <w:sz w:val="32"/>
          <w:szCs w:val="22"/>
          <w:highlight w:val="none"/>
          <w:lang w:eastAsia="zh-CN"/>
        </w:rPr>
        <w:t>发展底盘。</w:t>
      </w:r>
    </w:p>
    <w:p w14:paraId="355AED93">
      <w:pPr>
        <w:keepNext/>
        <w:widowControl w:val="0"/>
        <w:numPr>
          <w:ilvl w:val="0"/>
          <w:numId w:val="1"/>
        </w:numPr>
        <w:bidi w:val="0"/>
        <w:snapToGrid w:val="0"/>
        <w:spacing w:before="100" w:beforeLines="100" w:after="100" w:afterLines="100" w:line="560" w:lineRule="exact"/>
        <w:ind w:left="0" w:leftChars="0" w:firstLine="0" w:firstLineChars="0"/>
        <w:jc w:val="center"/>
        <w:outlineLvl w:val="1"/>
        <w:rPr>
          <w:rFonts w:hint="default" w:ascii="Times New Roman" w:hAnsi="Times New Roman" w:eastAsia="黑体" w:cs="Times New Roman"/>
          <w:color w:val="auto"/>
          <w:kern w:val="2"/>
          <w:sz w:val="32"/>
          <w:szCs w:val="24"/>
          <w:highlight w:val="none"/>
          <w:lang w:val="en-US" w:eastAsia="zh-CN" w:bidi="ar-SA"/>
        </w:rPr>
      </w:pPr>
      <w:r>
        <w:rPr>
          <w:rFonts w:hint="default" w:ascii="Times New Roman" w:hAnsi="Times New Roman" w:eastAsia="黑体" w:cs="Times New Roman"/>
          <w:color w:val="auto"/>
          <w:kern w:val="2"/>
          <w:sz w:val="32"/>
          <w:szCs w:val="24"/>
          <w:highlight w:val="none"/>
          <w:lang w:val="en-US" w:eastAsia="zh-CN" w:bidi="ar-SA"/>
        </w:rPr>
        <w:t xml:space="preserve"> </w:t>
      </w:r>
      <w:bookmarkStart w:id="285" w:name="_Toc1721"/>
      <w:bookmarkStart w:id="286" w:name="_Toc5626"/>
      <w:bookmarkStart w:id="287" w:name="_Toc13596"/>
      <w:bookmarkStart w:id="288" w:name="_Toc5015"/>
      <w:bookmarkStart w:id="289" w:name="_Toc27516"/>
      <w:r>
        <w:rPr>
          <w:rFonts w:hint="default" w:ascii="Times New Roman" w:hAnsi="Times New Roman" w:eastAsia="黑体" w:cs="Times New Roman"/>
          <w:color w:val="auto"/>
          <w:kern w:val="2"/>
          <w:sz w:val="32"/>
          <w:szCs w:val="24"/>
          <w:highlight w:val="none"/>
          <w:lang w:val="en-US" w:eastAsia="zh-CN" w:bidi="ar-SA"/>
        </w:rPr>
        <w:t>构建综合交通运输体系</w:t>
      </w:r>
      <w:bookmarkEnd w:id="285"/>
      <w:bookmarkEnd w:id="286"/>
      <w:bookmarkEnd w:id="287"/>
      <w:bookmarkEnd w:id="288"/>
      <w:bookmarkEnd w:id="289"/>
    </w:p>
    <w:p w14:paraId="2DFE532F">
      <w:pPr>
        <w:keepNext/>
        <w:widowControl w:val="0"/>
        <w:numPr>
          <w:ilvl w:val="0"/>
          <w:numId w:val="22"/>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290" w:name="_Toc427"/>
      <w:bookmarkStart w:id="291" w:name="_Toc13036"/>
      <w:bookmarkStart w:id="292" w:name="_Toc7173"/>
      <w:bookmarkStart w:id="293" w:name="_Toc23599"/>
      <w:bookmarkStart w:id="294" w:name="_Toc30769"/>
      <w:r>
        <w:rPr>
          <w:rFonts w:hint="default" w:ascii="Times New Roman" w:hAnsi="Times New Roman" w:eastAsia="楷体_GB2312" w:cs="Times New Roman"/>
          <w:b/>
          <w:bCs w:val="0"/>
          <w:color w:val="auto"/>
          <w:kern w:val="2"/>
          <w:sz w:val="32"/>
          <w:szCs w:val="32"/>
          <w:highlight w:val="none"/>
          <w:lang w:val="en-US" w:eastAsia="zh-CN" w:bidi="ar-SA"/>
        </w:rPr>
        <w:t>强化对外交通网络建设</w:t>
      </w:r>
      <w:bookmarkEnd w:id="290"/>
      <w:bookmarkEnd w:id="291"/>
      <w:bookmarkEnd w:id="292"/>
      <w:bookmarkEnd w:id="293"/>
      <w:bookmarkEnd w:id="294"/>
    </w:p>
    <w:p w14:paraId="6D688CA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落实阿坝州通用机场建设要求，综合考虑产业发展、应急救援等需要，统筹推进理县通用机场“一站多点”建设。主动跟进成都至格尔木铁路（理县段）、成阿轻轨前期批复立项工作。提档升级国省干道，重点推进G317薛城隧道绕避工程、S450理小路毕棚沟隧道工程、G317沙坝至小丘地（狮子坪库区）改建工程、理县至黑水公路（含薛孟米段）等项目纳入省州规划，积极争取理红路、理茂路提升为省级道路，加快实施国道改线、扩建与修复。</w:t>
      </w:r>
    </w:p>
    <w:p w14:paraId="409B406B">
      <w:pPr>
        <w:keepNext/>
        <w:widowControl w:val="0"/>
        <w:numPr>
          <w:ilvl w:val="0"/>
          <w:numId w:val="22"/>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295" w:name="_Toc12925"/>
      <w:bookmarkStart w:id="296" w:name="_Toc20651"/>
      <w:bookmarkStart w:id="297" w:name="_Toc30066"/>
      <w:bookmarkStart w:id="298" w:name="_Toc27968"/>
      <w:bookmarkStart w:id="299" w:name="_Toc11456"/>
      <w:r>
        <w:rPr>
          <w:rFonts w:hint="default" w:ascii="Times New Roman" w:hAnsi="Times New Roman" w:eastAsia="楷体_GB2312" w:cs="Times New Roman"/>
          <w:b/>
          <w:bCs w:val="0"/>
          <w:color w:val="auto"/>
          <w:kern w:val="2"/>
          <w:sz w:val="32"/>
          <w:szCs w:val="32"/>
          <w:highlight w:val="none"/>
          <w:lang w:val="en-US" w:eastAsia="zh-CN" w:bidi="ar-SA"/>
        </w:rPr>
        <w:t>升级内部路网服务能级</w:t>
      </w:r>
      <w:bookmarkEnd w:id="295"/>
      <w:bookmarkEnd w:id="296"/>
      <w:bookmarkEnd w:id="297"/>
      <w:bookmarkEnd w:id="298"/>
      <w:bookmarkEnd w:id="299"/>
    </w:p>
    <w:p w14:paraId="1A648F7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color w:val="auto"/>
          <w:sz w:val="36"/>
          <w:szCs w:val="36"/>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推动交旅深度融合，以理小路交旅融合项目为试点，提升改造精品自驾旅游线路通行品质和服务效能，打造“快进慢游”自驾黄金走廊。围绕“和美乡村”建设，加快推进美丽乡村路建设，持续提升乡村产业路、旅游路道路等级，实现3A级以上景区、省级乡村旅游重点村镇全部通达双车道四级及以上公路。增强道路安全韧性，加强对县域内老旧道路进行整治修复，完成一批安保工程和病危桥改造，新建理县农村公路中心养护站、理小路养护中心、综合客运站等，配套充电桩、加氢、冷链、邮政快递、应急物资储备功能。加快建设国家区域性公路交通应急装备物资（四川阿坝）储备中心。</w:t>
      </w:r>
    </w:p>
    <w:p w14:paraId="4F809772">
      <w:pPr>
        <w:keepNext/>
        <w:widowControl w:val="0"/>
        <w:numPr>
          <w:ilvl w:val="0"/>
          <w:numId w:val="22"/>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300" w:name="_Toc2938"/>
      <w:bookmarkStart w:id="301" w:name="_Toc18096"/>
      <w:bookmarkStart w:id="302" w:name="_Toc1149"/>
      <w:bookmarkStart w:id="303" w:name="_Toc18771"/>
      <w:bookmarkStart w:id="304" w:name="_Toc2485"/>
      <w:r>
        <w:rPr>
          <w:rFonts w:hint="default" w:ascii="Times New Roman" w:hAnsi="Times New Roman" w:eastAsia="楷体_GB2312" w:cs="Times New Roman"/>
          <w:b/>
          <w:bCs w:val="0"/>
          <w:color w:val="auto"/>
          <w:kern w:val="2"/>
          <w:sz w:val="32"/>
          <w:szCs w:val="32"/>
          <w:highlight w:val="none"/>
          <w:lang w:val="en-US" w:eastAsia="zh-CN" w:bidi="ar-SA"/>
        </w:rPr>
        <w:t>积极发展绿色智慧交通</w:t>
      </w:r>
      <w:bookmarkEnd w:id="300"/>
      <w:bookmarkEnd w:id="301"/>
      <w:bookmarkEnd w:id="302"/>
      <w:bookmarkEnd w:id="303"/>
      <w:bookmarkEnd w:id="304"/>
    </w:p>
    <w:p w14:paraId="0FA72412">
      <w:pPr>
        <w:bidi w:val="0"/>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color w:val="auto"/>
          <w:sz w:val="32"/>
          <w:szCs w:val="22"/>
          <w:highlight w:val="none"/>
          <w:lang w:val="en-US" w:eastAsia="zh-CN"/>
        </w:rPr>
        <w:t>优化交通能源结构，全面推广新能源、清洁能源在城市公交、出租车、城乡客运等领域应用。汇聚气象、地质、车流、客流等数据，构建道路风险预警与运力调度一体化智慧交通平台。大力推行定制客运、网约车、景区直通车、接驳车、分时租赁等多元出行方式，实现“门到门、零换乘”一体化服务。以桃坪羌寨·甘堡藏寨、毕棚沟等景区为试点，开展基于移动互联网的智慧停车和充电设施引导、预约等增值服务，构建“预约—分流—接驳”智慧微循环。推进交通基础设施智能化养护管理，在重点高速、普通国省道路段推广数字化养护管理系统。</w:t>
      </w:r>
    </w:p>
    <w:p w14:paraId="58D6BED4">
      <w:pPr>
        <w:bidi w:val="0"/>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p>
    <w:p w14:paraId="5ED0DE66">
      <w:pPr>
        <w:bidi w:val="0"/>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40A94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00" w:type="pct"/>
            <w:shd w:val="clear" w:color="auto" w:fill="7F7F7F" w:themeFill="text1" w:themeFillTint="7F"/>
            <w:vAlign w:val="center"/>
          </w:tcPr>
          <w:p w14:paraId="22194A70">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center"/>
              <w:rPr>
                <w:rFonts w:hint="default" w:ascii="Times New Roman" w:hAnsi="Times New Roman" w:eastAsia="黑体" w:cs="Times New Roman"/>
                <w:color w:val="auto"/>
                <w:kern w:val="2"/>
                <w:sz w:val="30"/>
                <w:szCs w:val="22"/>
                <w:highlight w:val="none"/>
                <w:lang w:val="en-US" w:eastAsia="zh-CN"/>
              </w:rPr>
            </w:pPr>
            <w:r>
              <w:rPr>
                <w:rFonts w:hint="default" w:ascii="Times New Roman" w:hAnsi="Times New Roman" w:eastAsia="黑体" w:cs="Times New Roman"/>
                <w:b/>
                <w:bCs/>
                <w:color w:val="auto"/>
                <w:kern w:val="0"/>
                <w:sz w:val="28"/>
                <w:szCs w:val="28"/>
                <w:highlight w:val="none"/>
                <w:lang w:bidi="ar"/>
              </w:rPr>
              <w:t>专栏</w:t>
            </w:r>
            <w:r>
              <w:rPr>
                <w:rFonts w:hint="default" w:ascii="Times New Roman" w:hAnsi="Times New Roman" w:eastAsia="黑体" w:cs="Times New Roman"/>
                <w:b/>
                <w:bCs/>
                <w:color w:val="auto"/>
                <w:kern w:val="0"/>
                <w:sz w:val="28"/>
                <w:szCs w:val="28"/>
                <w:highlight w:val="none"/>
                <w:lang w:val="en-US" w:eastAsia="zh-CN" w:bidi="ar"/>
              </w:rPr>
              <w:t xml:space="preserve">11 </w:t>
            </w:r>
            <w:r>
              <w:rPr>
                <w:rFonts w:hint="default" w:ascii="Times New Roman" w:hAnsi="Times New Roman" w:eastAsia="黑体" w:cs="Times New Roman"/>
                <w:b/>
                <w:bCs/>
                <w:color w:val="auto"/>
                <w:kern w:val="0"/>
                <w:sz w:val="28"/>
                <w:szCs w:val="28"/>
                <w:highlight w:val="none"/>
                <w:lang w:bidi="ar"/>
              </w:rPr>
              <w:t xml:space="preserve"> </w:t>
            </w:r>
            <w:r>
              <w:rPr>
                <w:rFonts w:hint="default" w:ascii="Times New Roman" w:hAnsi="Times New Roman" w:eastAsia="黑体" w:cs="Times New Roman"/>
                <w:b/>
                <w:bCs/>
                <w:color w:val="auto"/>
                <w:kern w:val="0"/>
                <w:sz w:val="28"/>
                <w:szCs w:val="28"/>
                <w:highlight w:val="none"/>
                <w:lang w:val="en-US" w:eastAsia="zh-CN" w:bidi="ar"/>
              </w:rPr>
              <w:t>构建综合交通运输体系重点工程</w:t>
            </w:r>
          </w:p>
        </w:tc>
      </w:tr>
      <w:tr w14:paraId="25222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tcPr>
          <w:p w14:paraId="6F0C262F">
            <w:pPr>
              <w:keepNext w:val="0"/>
              <w:keepLines w:val="0"/>
              <w:pageBreakBefore w:val="0"/>
              <w:widowControl/>
              <w:numPr>
                <w:ilvl w:val="0"/>
                <w:numId w:val="23"/>
              </w:numPr>
              <w:kinsoku/>
              <w:wordWrap/>
              <w:overflowPunct/>
              <w:topLinePunct w:val="0"/>
              <w:autoSpaceDE/>
              <w:autoSpaceDN/>
              <w:bidi w:val="0"/>
              <w:adjustRightInd w:val="0"/>
              <w:snapToGrid w:val="0"/>
              <w:spacing w:line="440" w:lineRule="exact"/>
              <w:ind w:left="420" w:leftChars="0" w:hanging="420" w:firstLineChars="0"/>
              <w:jc w:val="left"/>
              <w:textAlignment w:val="auto"/>
              <w:rPr>
                <w:rFonts w:hint="default" w:ascii="Times New Roman" w:hAnsi="Times New Roman" w:eastAsia="仿宋_GB2312" w:cs="Times New Roman"/>
                <w:color w:val="auto"/>
                <w:kern w:val="2"/>
                <w:sz w:val="28"/>
                <w:szCs w:val="28"/>
                <w:highlight w:val="none"/>
                <w:lang w:eastAsia="zh-CN"/>
              </w:rPr>
            </w:pPr>
            <w:r>
              <w:rPr>
                <w:rFonts w:hint="default" w:ascii="Times New Roman" w:hAnsi="Times New Roman" w:eastAsia="仿宋_GB2312" w:cs="Times New Roman"/>
                <w:b/>
                <w:bCs/>
                <w:color w:val="auto"/>
                <w:kern w:val="2"/>
                <w:sz w:val="28"/>
                <w:szCs w:val="28"/>
                <w:highlight w:val="none"/>
                <w:lang w:val="en-US" w:eastAsia="zh-CN"/>
              </w:rPr>
              <w:t>通用机场：</w:t>
            </w:r>
            <w:r>
              <w:rPr>
                <w:rFonts w:hint="eastAsia" w:cs="Times New Roman"/>
                <w:color w:val="auto"/>
                <w:kern w:val="2"/>
                <w:sz w:val="28"/>
                <w:szCs w:val="28"/>
                <w:highlight w:val="none"/>
                <w:lang w:val="en-US" w:eastAsia="zh-CN"/>
              </w:rPr>
              <w:t>实施</w:t>
            </w:r>
            <w:r>
              <w:rPr>
                <w:rFonts w:hint="default" w:ascii="Times New Roman" w:hAnsi="Times New Roman" w:eastAsia="仿宋_GB2312" w:cs="Times New Roman"/>
                <w:color w:val="auto"/>
                <w:kern w:val="2"/>
                <w:sz w:val="28"/>
                <w:szCs w:val="28"/>
                <w:highlight w:val="none"/>
                <w:lang w:val="en-US" w:eastAsia="zh-CN"/>
              </w:rPr>
              <w:t>理县通用机场项目。</w:t>
            </w:r>
          </w:p>
          <w:p w14:paraId="2ED636F3">
            <w:pPr>
              <w:keepNext w:val="0"/>
              <w:keepLines w:val="0"/>
              <w:pageBreakBefore w:val="0"/>
              <w:widowControl/>
              <w:numPr>
                <w:ilvl w:val="0"/>
                <w:numId w:val="23"/>
              </w:numPr>
              <w:kinsoku/>
              <w:wordWrap/>
              <w:overflowPunct/>
              <w:topLinePunct w:val="0"/>
              <w:autoSpaceDE/>
              <w:autoSpaceDN/>
              <w:bidi w:val="0"/>
              <w:adjustRightInd w:val="0"/>
              <w:snapToGrid w:val="0"/>
              <w:spacing w:line="440" w:lineRule="exact"/>
              <w:ind w:left="420" w:leftChars="0" w:hanging="420" w:firstLineChars="0"/>
              <w:jc w:val="left"/>
              <w:textAlignment w:val="auto"/>
              <w:rPr>
                <w:rFonts w:hint="default" w:ascii="Times New Roman" w:hAnsi="Times New Roman" w:eastAsia="仿宋_GB2312" w:cs="Times New Roman"/>
                <w:color w:val="auto"/>
                <w:kern w:val="2"/>
                <w:sz w:val="28"/>
                <w:szCs w:val="28"/>
                <w:highlight w:val="none"/>
                <w:lang w:eastAsia="zh-CN"/>
              </w:rPr>
            </w:pPr>
            <w:r>
              <w:rPr>
                <w:rFonts w:hint="default" w:ascii="Times New Roman" w:hAnsi="Times New Roman" w:eastAsia="仿宋_GB2312" w:cs="Times New Roman"/>
                <w:b/>
                <w:bCs/>
                <w:color w:val="auto"/>
                <w:kern w:val="2"/>
                <w:sz w:val="28"/>
                <w:szCs w:val="28"/>
                <w:highlight w:val="none"/>
                <w:lang w:val="en-US" w:eastAsia="zh-CN"/>
              </w:rPr>
              <w:t>轨道交通</w:t>
            </w:r>
            <w:r>
              <w:rPr>
                <w:rFonts w:hint="default" w:ascii="Times New Roman" w:hAnsi="Times New Roman" w:eastAsia="仿宋_GB2312" w:cs="Times New Roman"/>
                <w:color w:val="auto"/>
                <w:kern w:val="2"/>
                <w:sz w:val="28"/>
                <w:szCs w:val="28"/>
                <w:highlight w:val="none"/>
                <w:lang w:val="en-US" w:eastAsia="zh-CN"/>
              </w:rPr>
              <w:t>：</w:t>
            </w:r>
            <w:r>
              <w:rPr>
                <w:rFonts w:hint="eastAsia" w:cs="Times New Roman"/>
                <w:color w:val="auto"/>
                <w:kern w:val="2"/>
                <w:sz w:val="28"/>
                <w:szCs w:val="28"/>
                <w:highlight w:val="none"/>
                <w:lang w:val="en-US" w:eastAsia="zh-CN"/>
              </w:rPr>
              <w:t>实施</w:t>
            </w:r>
            <w:r>
              <w:rPr>
                <w:rFonts w:hint="default" w:ascii="Times New Roman" w:hAnsi="Times New Roman" w:eastAsia="仿宋_GB2312" w:cs="Times New Roman"/>
                <w:color w:val="auto"/>
                <w:kern w:val="2"/>
                <w:sz w:val="28"/>
                <w:szCs w:val="28"/>
                <w:highlight w:val="none"/>
                <w:lang w:eastAsia="zh-CN"/>
              </w:rPr>
              <w:t>成格铁路</w:t>
            </w:r>
            <w:r>
              <w:rPr>
                <w:rFonts w:hint="eastAsia" w:cs="Times New Roman"/>
                <w:color w:val="auto"/>
                <w:kern w:val="2"/>
                <w:sz w:val="28"/>
                <w:szCs w:val="28"/>
                <w:highlight w:val="none"/>
                <w:lang w:val="en-US" w:eastAsia="zh-CN"/>
              </w:rPr>
              <w:t>理县段、理县至四姑娘山轨道交通工程</w:t>
            </w:r>
            <w:r>
              <w:rPr>
                <w:rFonts w:hint="default" w:ascii="Times New Roman" w:hAnsi="Times New Roman" w:eastAsia="仿宋_GB2312" w:cs="Times New Roman"/>
                <w:color w:val="auto"/>
                <w:kern w:val="2"/>
                <w:sz w:val="28"/>
                <w:szCs w:val="28"/>
                <w:highlight w:val="none"/>
                <w:lang w:eastAsia="zh-CN"/>
              </w:rPr>
              <w:t>。</w:t>
            </w:r>
          </w:p>
          <w:p w14:paraId="7905E243">
            <w:pPr>
              <w:keepNext w:val="0"/>
              <w:keepLines w:val="0"/>
              <w:pageBreakBefore w:val="0"/>
              <w:widowControl/>
              <w:numPr>
                <w:ilvl w:val="0"/>
                <w:numId w:val="23"/>
              </w:numPr>
              <w:kinsoku/>
              <w:wordWrap/>
              <w:overflowPunct/>
              <w:topLinePunct w:val="0"/>
              <w:autoSpaceDE/>
              <w:autoSpaceDN/>
              <w:bidi w:val="0"/>
              <w:adjustRightInd w:val="0"/>
              <w:snapToGrid w:val="0"/>
              <w:spacing w:line="440" w:lineRule="exact"/>
              <w:ind w:left="420" w:leftChars="0" w:hanging="420" w:firstLineChars="0"/>
              <w:jc w:val="left"/>
              <w:textAlignment w:val="auto"/>
              <w:rPr>
                <w:rFonts w:hint="default" w:ascii="Times New Roman" w:hAnsi="Times New Roman" w:eastAsia="仿宋_GB2312" w:cs="Times New Roman"/>
                <w:color w:val="auto"/>
                <w:kern w:val="2"/>
                <w:sz w:val="28"/>
                <w:szCs w:val="28"/>
                <w:highlight w:val="none"/>
                <w:lang w:eastAsia="zh-CN"/>
              </w:rPr>
            </w:pPr>
            <w:r>
              <w:rPr>
                <w:rFonts w:hint="default" w:ascii="Times New Roman" w:hAnsi="Times New Roman" w:eastAsia="仿宋_GB2312" w:cs="Times New Roman"/>
                <w:b/>
                <w:bCs/>
                <w:color w:val="auto"/>
                <w:kern w:val="2"/>
                <w:sz w:val="28"/>
                <w:szCs w:val="28"/>
                <w:highlight w:val="none"/>
                <w:lang w:val="en-US" w:eastAsia="zh-CN"/>
              </w:rPr>
              <w:t>国省干道</w:t>
            </w:r>
            <w:r>
              <w:rPr>
                <w:rFonts w:hint="default" w:ascii="Times New Roman" w:hAnsi="Times New Roman" w:eastAsia="仿宋_GB2312" w:cs="Times New Roman"/>
                <w:color w:val="auto"/>
                <w:kern w:val="2"/>
                <w:sz w:val="28"/>
                <w:szCs w:val="28"/>
                <w:highlight w:val="none"/>
                <w:lang w:val="en-US" w:eastAsia="zh-CN"/>
              </w:rPr>
              <w:t>：实施G317理县薛城隧道新建工程、G317薛城隧道绕避工程、S450理小路毕棚沟隧道工程、理县至黑水公路（含薛孟米段）建设工程、G317理县沙坝至小丘地段改建工程等</w:t>
            </w:r>
            <w:r>
              <w:rPr>
                <w:rFonts w:hint="eastAsia" w:cs="Times New Roman"/>
                <w:color w:val="auto"/>
                <w:kern w:val="2"/>
                <w:sz w:val="28"/>
                <w:szCs w:val="28"/>
                <w:highlight w:val="none"/>
                <w:lang w:val="en-US" w:eastAsia="zh-CN"/>
              </w:rPr>
              <w:t>项目</w:t>
            </w:r>
            <w:r>
              <w:rPr>
                <w:rFonts w:hint="default" w:ascii="Times New Roman" w:hAnsi="Times New Roman" w:eastAsia="仿宋_GB2312" w:cs="Times New Roman"/>
                <w:color w:val="auto"/>
                <w:kern w:val="2"/>
                <w:sz w:val="28"/>
                <w:szCs w:val="28"/>
                <w:highlight w:val="none"/>
                <w:lang w:val="en-US" w:eastAsia="zh-CN"/>
              </w:rPr>
              <w:t>。</w:t>
            </w:r>
          </w:p>
          <w:p w14:paraId="538DFF84">
            <w:pPr>
              <w:keepNext w:val="0"/>
              <w:keepLines w:val="0"/>
              <w:pageBreakBefore w:val="0"/>
              <w:widowControl/>
              <w:numPr>
                <w:ilvl w:val="0"/>
                <w:numId w:val="23"/>
              </w:numPr>
              <w:kinsoku/>
              <w:wordWrap/>
              <w:overflowPunct/>
              <w:topLinePunct w:val="0"/>
              <w:autoSpaceDE/>
              <w:autoSpaceDN/>
              <w:bidi w:val="0"/>
              <w:adjustRightInd w:val="0"/>
              <w:snapToGrid w:val="0"/>
              <w:spacing w:line="440" w:lineRule="exact"/>
              <w:ind w:left="420" w:leftChars="0" w:hanging="420" w:firstLineChars="0"/>
              <w:jc w:val="left"/>
              <w:textAlignment w:val="auto"/>
              <w:rPr>
                <w:rFonts w:hint="default" w:ascii="Times New Roman" w:hAnsi="Times New Roman" w:eastAsia="仿宋_GB2312" w:cs="Times New Roman"/>
                <w:color w:val="auto"/>
                <w:kern w:val="2"/>
                <w:sz w:val="28"/>
                <w:szCs w:val="28"/>
                <w:highlight w:val="none"/>
                <w:lang w:eastAsia="zh-CN"/>
              </w:rPr>
            </w:pPr>
            <w:r>
              <w:rPr>
                <w:rFonts w:hint="default" w:ascii="Times New Roman" w:hAnsi="Times New Roman" w:eastAsia="仿宋_GB2312" w:cs="Times New Roman"/>
                <w:b/>
                <w:bCs/>
                <w:color w:val="auto"/>
                <w:kern w:val="2"/>
                <w:sz w:val="28"/>
                <w:szCs w:val="28"/>
                <w:highlight w:val="none"/>
                <w:lang w:eastAsia="zh-CN"/>
              </w:rPr>
              <w:t>“</w:t>
            </w:r>
            <w:r>
              <w:rPr>
                <w:rFonts w:hint="default" w:ascii="Times New Roman" w:hAnsi="Times New Roman" w:eastAsia="仿宋_GB2312" w:cs="Times New Roman"/>
                <w:b/>
                <w:bCs/>
                <w:color w:val="auto"/>
                <w:kern w:val="2"/>
                <w:sz w:val="28"/>
                <w:szCs w:val="28"/>
                <w:highlight w:val="none"/>
                <w:lang w:val="en-US" w:eastAsia="zh-CN"/>
              </w:rPr>
              <w:t>和美乡村</w:t>
            </w:r>
            <w:r>
              <w:rPr>
                <w:rFonts w:hint="default" w:ascii="Times New Roman" w:hAnsi="Times New Roman" w:eastAsia="仿宋_GB2312" w:cs="Times New Roman"/>
                <w:b/>
                <w:bCs/>
                <w:color w:val="auto"/>
                <w:kern w:val="2"/>
                <w:sz w:val="28"/>
                <w:szCs w:val="28"/>
                <w:highlight w:val="none"/>
                <w:lang w:eastAsia="zh-CN"/>
              </w:rPr>
              <w:t>”</w:t>
            </w:r>
            <w:r>
              <w:rPr>
                <w:rFonts w:hint="default" w:ascii="Times New Roman" w:hAnsi="Times New Roman" w:eastAsia="仿宋_GB2312" w:cs="Times New Roman"/>
                <w:b/>
                <w:bCs/>
                <w:color w:val="auto"/>
                <w:kern w:val="2"/>
                <w:sz w:val="28"/>
                <w:szCs w:val="28"/>
                <w:highlight w:val="none"/>
                <w:lang w:val="en-US" w:eastAsia="zh-CN"/>
              </w:rPr>
              <w:t>道路</w:t>
            </w:r>
            <w:r>
              <w:rPr>
                <w:rFonts w:hint="default" w:ascii="Times New Roman" w:hAnsi="Times New Roman" w:eastAsia="仿宋_GB2312" w:cs="Times New Roman"/>
                <w:color w:val="auto"/>
                <w:kern w:val="2"/>
                <w:sz w:val="28"/>
                <w:szCs w:val="28"/>
                <w:highlight w:val="none"/>
                <w:lang w:val="en-US" w:eastAsia="zh-CN"/>
              </w:rPr>
              <w:t>：</w:t>
            </w:r>
            <w:r>
              <w:rPr>
                <w:rFonts w:hint="eastAsia" w:cs="Times New Roman"/>
                <w:color w:val="auto"/>
                <w:kern w:val="2"/>
                <w:sz w:val="28"/>
                <w:szCs w:val="28"/>
                <w:highlight w:val="none"/>
                <w:lang w:val="en-US" w:eastAsia="zh-CN"/>
              </w:rPr>
              <w:t>1.完工理县X014薛米路（薛城镇至下孟乡段）和X014薛米路（下孟乡至上孟乡段）美丽乡村路建设、理县杂谷脑镇谭家大岩产业路改造提升项目。2.</w:t>
            </w:r>
            <w:r>
              <w:rPr>
                <w:rFonts w:hint="default" w:ascii="Times New Roman" w:hAnsi="Times New Roman" w:eastAsia="仿宋_GB2312" w:cs="Times New Roman"/>
                <w:color w:val="auto"/>
                <w:kern w:val="2"/>
                <w:sz w:val="28"/>
                <w:szCs w:val="28"/>
                <w:highlight w:val="none"/>
                <w:lang w:val="en-US" w:eastAsia="zh-CN"/>
              </w:rPr>
              <w:t>实施理县Y027九水路（木卡村至九子屯村段）</w:t>
            </w:r>
            <w:r>
              <w:rPr>
                <w:rFonts w:hint="eastAsia" w:cs="Times New Roman"/>
                <w:color w:val="auto"/>
                <w:kern w:val="2"/>
                <w:sz w:val="28"/>
                <w:szCs w:val="28"/>
                <w:highlight w:val="none"/>
                <w:lang w:val="en-US" w:eastAsia="zh-CN"/>
              </w:rPr>
              <w:t>、Y025小岐路（小岐村至大岐村段）、理县Y026大马路（大岐村至马山村段）、Y001斯博果路（斯博果村至斯博果村段）、C008二古溪村路（二古溪村至二古溪段）、</w:t>
            </w:r>
            <w:r>
              <w:rPr>
                <w:rFonts w:hint="default" w:ascii="Times New Roman" w:hAnsi="Times New Roman" w:eastAsia="仿宋_GB2312" w:cs="Times New Roman"/>
                <w:color w:val="auto"/>
                <w:kern w:val="2"/>
                <w:sz w:val="28"/>
                <w:szCs w:val="28"/>
                <w:highlight w:val="none"/>
                <w:lang w:val="en-US" w:eastAsia="zh-CN"/>
              </w:rPr>
              <w:t>Y006古尔沟路（古尔沟村至古尔沟村段）、X019理茂路（薛城镇至石板棚段）、X016薛南路（薛城镇至南沟村段）、Y042院西路（通化乡至院子段）、Y046桃增路（桃坪镇至增头村段）等美丽乡村路建设</w:t>
            </w:r>
            <w:r>
              <w:rPr>
                <w:rFonts w:hint="eastAsia" w:cs="Times New Roman"/>
                <w:color w:val="auto"/>
                <w:kern w:val="2"/>
                <w:sz w:val="28"/>
                <w:szCs w:val="28"/>
                <w:highlight w:val="none"/>
                <w:lang w:val="en-US" w:eastAsia="zh-CN"/>
              </w:rPr>
              <w:t>以及</w:t>
            </w:r>
            <w:r>
              <w:rPr>
                <w:rFonts w:hint="default" w:ascii="Times New Roman" w:hAnsi="Times New Roman" w:eastAsia="仿宋_GB2312" w:cs="Times New Roman"/>
                <w:color w:val="auto"/>
                <w:kern w:val="2"/>
                <w:sz w:val="28"/>
                <w:szCs w:val="28"/>
                <w:highlight w:val="none"/>
                <w:lang w:val="en-US" w:eastAsia="zh-CN"/>
              </w:rPr>
              <w:t>理县三湘大道市政基础设施建设、X022米两路棚洞建设</w:t>
            </w:r>
            <w:r>
              <w:rPr>
                <w:rFonts w:hint="eastAsia" w:cs="Times New Roman"/>
                <w:color w:val="auto"/>
                <w:kern w:val="2"/>
                <w:sz w:val="28"/>
                <w:szCs w:val="28"/>
                <w:highlight w:val="none"/>
                <w:lang w:val="en-US" w:eastAsia="zh-CN"/>
              </w:rPr>
              <w:t>等项目。3.推进</w:t>
            </w:r>
            <w:r>
              <w:rPr>
                <w:rFonts w:hint="default" w:ascii="Times New Roman" w:hAnsi="Times New Roman" w:eastAsia="仿宋_GB2312" w:cs="Times New Roman"/>
                <w:color w:val="auto"/>
                <w:kern w:val="2"/>
                <w:sz w:val="28"/>
                <w:szCs w:val="28"/>
                <w:highlight w:val="none"/>
                <w:lang w:val="en-US" w:eastAsia="zh-CN"/>
              </w:rPr>
              <w:t>X018理红路（米亚罗镇至鹧鸪山段）、X021长八路（长河坝至八角碉段）、Y004二古溪纳山路（二古溪村至纳山段）、C018小沟村路（大沟村至小沟村段）、Y008朴头路（朴头村至朴头村段）、Y027八十脑路（甘堡乡至八什脑段）、C138熊耳村热格达一路（熊耳村至热格达段）、Y048大蒲溪路（蒲溪乡至蒲溪村段）、X015蒲溪路（蒲溪乡政府至休溪村段）、Y028三箭路（薛城镇至箭山村段）、Y033仔达路（下孟乡至仔达村段）、Y034班达路（嘉康村至班达组段）、Y032四门路（嘉康村至四门组段）、Y044通化路（通化村至通化后山段）等美丽乡村路建设项目</w:t>
            </w:r>
            <w:r>
              <w:rPr>
                <w:rFonts w:hint="eastAsia" w:cs="Times New Roman"/>
                <w:color w:val="auto"/>
                <w:kern w:val="2"/>
                <w:sz w:val="28"/>
                <w:szCs w:val="28"/>
                <w:highlight w:val="none"/>
                <w:lang w:val="en-US" w:eastAsia="zh-CN"/>
              </w:rPr>
              <w:t>等</w:t>
            </w:r>
            <w:r>
              <w:rPr>
                <w:rFonts w:hint="default" w:ascii="Times New Roman" w:hAnsi="Times New Roman" w:eastAsia="仿宋_GB2312" w:cs="Times New Roman"/>
                <w:color w:val="auto"/>
                <w:kern w:val="2"/>
                <w:sz w:val="28"/>
                <w:szCs w:val="28"/>
                <w:highlight w:val="none"/>
                <w:lang w:val="en-US" w:eastAsia="zh-CN"/>
              </w:rPr>
              <w:t>前期工作。</w:t>
            </w:r>
          </w:p>
          <w:p w14:paraId="4C5107EE">
            <w:pPr>
              <w:keepNext w:val="0"/>
              <w:keepLines w:val="0"/>
              <w:pageBreakBefore w:val="0"/>
              <w:widowControl/>
              <w:numPr>
                <w:ilvl w:val="0"/>
                <w:numId w:val="23"/>
              </w:numPr>
              <w:kinsoku/>
              <w:wordWrap/>
              <w:overflowPunct/>
              <w:topLinePunct w:val="0"/>
              <w:autoSpaceDE/>
              <w:autoSpaceDN/>
              <w:bidi w:val="0"/>
              <w:adjustRightInd w:val="0"/>
              <w:snapToGrid w:val="0"/>
              <w:spacing w:line="440" w:lineRule="exact"/>
              <w:ind w:left="420" w:leftChars="0" w:hanging="420" w:firstLineChars="0"/>
              <w:jc w:val="left"/>
              <w:textAlignment w:val="auto"/>
              <w:rPr>
                <w:rFonts w:hint="default" w:ascii="Times New Roman" w:hAnsi="Times New Roman" w:eastAsia="仿宋_GB2312" w:cs="Times New Roman"/>
                <w:color w:val="auto"/>
                <w:kern w:val="2"/>
                <w:sz w:val="28"/>
                <w:szCs w:val="28"/>
                <w:highlight w:val="none"/>
                <w:lang w:eastAsia="zh-CN"/>
              </w:rPr>
            </w:pPr>
            <w:r>
              <w:rPr>
                <w:rFonts w:hint="default" w:ascii="Times New Roman" w:hAnsi="Times New Roman" w:eastAsia="仿宋_GB2312" w:cs="Times New Roman"/>
                <w:b/>
                <w:bCs/>
                <w:color w:val="auto"/>
                <w:kern w:val="2"/>
                <w:sz w:val="28"/>
                <w:szCs w:val="28"/>
                <w:highlight w:val="none"/>
                <w:lang w:val="en-US" w:eastAsia="zh-CN"/>
              </w:rPr>
              <w:t>道路服务</w:t>
            </w:r>
            <w:r>
              <w:rPr>
                <w:rFonts w:hint="default" w:ascii="Times New Roman" w:hAnsi="Times New Roman" w:eastAsia="仿宋_GB2312" w:cs="Times New Roman"/>
                <w:color w:val="auto"/>
                <w:kern w:val="2"/>
                <w:sz w:val="28"/>
                <w:szCs w:val="28"/>
                <w:highlight w:val="none"/>
                <w:lang w:val="en-US" w:eastAsia="zh-CN"/>
              </w:rPr>
              <w:t>：</w:t>
            </w:r>
            <w:r>
              <w:rPr>
                <w:rFonts w:hint="eastAsia" w:cs="Times New Roman"/>
                <w:color w:val="auto"/>
                <w:kern w:val="2"/>
                <w:sz w:val="28"/>
                <w:szCs w:val="28"/>
                <w:highlight w:val="none"/>
                <w:lang w:val="en-US" w:eastAsia="zh-CN"/>
              </w:rPr>
              <w:t>1.</w:t>
            </w:r>
            <w:r>
              <w:rPr>
                <w:rFonts w:hint="default" w:ascii="Times New Roman" w:hAnsi="Times New Roman" w:eastAsia="仿宋_GB2312" w:cs="Times New Roman"/>
                <w:color w:val="auto"/>
                <w:kern w:val="2"/>
                <w:sz w:val="28"/>
                <w:szCs w:val="28"/>
                <w:highlight w:val="none"/>
                <w:lang w:val="en-US" w:eastAsia="zh-CN"/>
              </w:rPr>
              <w:t>实施理县</w:t>
            </w:r>
            <w:r>
              <w:rPr>
                <w:rFonts w:hint="eastAsia" w:cs="Times New Roman"/>
                <w:color w:val="auto"/>
                <w:kern w:val="2"/>
                <w:sz w:val="28"/>
                <w:szCs w:val="28"/>
                <w:highlight w:val="none"/>
                <w:lang w:val="en-US" w:eastAsia="zh-CN"/>
              </w:rPr>
              <w:t>其他</w:t>
            </w:r>
            <w:r>
              <w:rPr>
                <w:rFonts w:hint="default" w:ascii="Times New Roman" w:hAnsi="Times New Roman" w:eastAsia="仿宋_GB2312" w:cs="Times New Roman"/>
                <w:color w:val="auto"/>
                <w:kern w:val="2"/>
                <w:sz w:val="28"/>
                <w:szCs w:val="28"/>
                <w:highlight w:val="none"/>
                <w:lang w:val="en-US" w:eastAsia="zh-CN"/>
              </w:rPr>
              <w:t>农村公路整治项目</w:t>
            </w:r>
            <w:r>
              <w:rPr>
                <w:rFonts w:hint="eastAsia" w:cs="Times New Roman"/>
                <w:color w:val="auto"/>
                <w:kern w:val="2"/>
                <w:sz w:val="28"/>
                <w:szCs w:val="28"/>
                <w:highlight w:val="none"/>
                <w:lang w:val="en-US" w:eastAsia="zh-CN"/>
              </w:rPr>
              <w:t>、理县农村公路桥梁建设项目、理小路交旅融合项目、国道317阳光情人谷服务区建设项目。2.推进</w:t>
            </w:r>
            <w:r>
              <w:rPr>
                <w:rFonts w:hint="default" w:ascii="Times New Roman" w:hAnsi="Times New Roman" w:eastAsia="仿宋_GB2312" w:cs="Times New Roman"/>
                <w:color w:val="auto"/>
                <w:kern w:val="2"/>
                <w:sz w:val="28"/>
                <w:szCs w:val="28"/>
                <w:highlight w:val="none"/>
                <w:lang w:val="en-US" w:eastAsia="zh-CN"/>
              </w:rPr>
              <w:t>理县农村公路中心养护站</w:t>
            </w:r>
            <w:r>
              <w:rPr>
                <w:rFonts w:hint="eastAsia" w:cs="Times New Roman"/>
                <w:color w:val="auto"/>
                <w:kern w:val="2"/>
                <w:sz w:val="28"/>
                <w:szCs w:val="28"/>
                <w:highlight w:val="none"/>
                <w:lang w:val="en-US" w:eastAsia="zh-CN"/>
              </w:rPr>
              <w:t>、理小路养护中心、综合客运站、交巡中队、</w:t>
            </w:r>
            <w:r>
              <w:rPr>
                <w:rFonts w:hint="default" w:ascii="Times New Roman" w:hAnsi="Times New Roman" w:eastAsia="仿宋_GB2312" w:cs="Times New Roman"/>
                <w:color w:val="auto"/>
                <w:kern w:val="2"/>
                <w:sz w:val="28"/>
                <w:szCs w:val="28"/>
                <w:highlight w:val="none"/>
                <w:lang w:val="en-US" w:eastAsia="zh-CN"/>
              </w:rPr>
              <w:t>薛孟路养护站、米亚罗养护站、国营牧场养护站、下孟乡综合运输服务站等</w:t>
            </w:r>
            <w:r>
              <w:rPr>
                <w:rFonts w:hint="eastAsia" w:cs="Times New Roman"/>
                <w:color w:val="auto"/>
                <w:kern w:val="2"/>
                <w:sz w:val="28"/>
                <w:szCs w:val="28"/>
                <w:highlight w:val="none"/>
                <w:lang w:val="en-US" w:eastAsia="zh-CN"/>
              </w:rPr>
              <w:t>项目</w:t>
            </w:r>
            <w:r>
              <w:rPr>
                <w:rFonts w:hint="default" w:ascii="Times New Roman" w:hAnsi="Times New Roman" w:eastAsia="仿宋_GB2312" w:cs="Times New Roman"/>
                <w:color w:val="auto"/>
                <w:kern w:val="2"/>
                <w:sz w:val="28"/>
                <w:szCs w:val="28"/>
                <w:highlight w:val="none"/>
                <w:lang w:val="en-US" w:eastAsia="zh-CN"/>
              </w:rPr>
              <w:t>前期工作。</w:t>
            </w:r>
            <w:r>
              <w:rPr>
                <w:rFonts w:hint="eastAsia" w:cs="Times New Roman"/>
                <w:color w:val="auto"/>
                <w:kern w:val="2"/>
                <w:sz w:val="28"/>
                <w:szCs w:val="28"/>
                <w:highlight w:val="none"/>
                <w:lang w:val="en-US" w:eastAsia="zh-CN"/>
              </w:rPr>
              <w:t>3.推进理县县城市政桥梁建设（一、二期）以及理县米亚罗镇、朴头镇、薛城镇、桃坪镇、古尔沟镇市政桥梁建设等项目前期工作。</w:t>
            </w:r>
          </w:p>
          <w:p w14:paraId="15C9059A">
            <w:pPr>
              <w:keepNext w:val="0"/>
              <w:keepLines w:val="0"/>
              <w:pageBreakBefore w:val="0"/>
              <w:widowControl/>
              <w:numPr>
                <w:ilvl w:val="0"/>
                <w:numId w:val="23"/>
              </w:numPr>
              <w:kinsoku/>
              <w:wordWrap/>
              <w:overflowPunct/>
              <w:topLinePunct w:val="0"/>
              <w:autoSpaceDE/>
              <w:autoSpaceDN/>
              <w:bidi w:val="0"/>
              <w:adjustRightInd w:val="0"/>
              <w:snapToGrid w:val="0"/>
              <w:spacing w:line="440" w:lineRule="exact"/>
              <w:ind w:left="420" w:leftChars="0" w:hanging="420" w:firstLineChars="0"/>
              <w:jc w:val="left"/>
              <w:textAlignment w:val="auto"/>
              <w:rPr>
                <w:rFonts w:hint="default" w:ascii="Times New Roman" w:hAnsi="Times New Roman" w:eastAsia="仿宋_GB2312" w:cs="Times New Roman"/>
                <w:color w:val="auto"/>
                <w:kern w:val="2"/>
                <w:sz w:val="28"/>
                <w:szCs w:val="28"/>
                <w:highlight w:val="none"/>
                <w:lang w:eastAsia="zh-CN"/>
              </w:rPr>
            </w:pPr>
            <w:r>
              <w:rPr>
                <w:rFonts w:hint="default" w:ascii="Times New Roman" w:hAnsi="Times New Roman" w:eastAsia="仿宋_GB2312" w:cs="Times New Roman"/>
                <w:b/>
                <w:bCs/>
                <w:color w:val="auto"/>
                <w:kern w:val="2"/>
                <w:sz w:val="28"/>
                <w:szCs w:val="28"/>
                <w:highlight w:val="none"/>
                <w:lang w:val="en-US" w:eastAsia="zh-CN"/>
              </w:rPr>
              <w:t>绿色智慧交通</w:t>
            </w:r>
            <w:r>
              <w:rPr>
                <w:rFonts w:hint="default" w:ascii="Times New Roman" w:hAnsi="Times New Roman" w:eastAsia="仿宋_GB2312" w:cs="Times New Roman"/>
                <w:color w:val="auto"/>
                <w:kern w:val="2"/>
                <w:sz w:val="28"/>
                <w:szCs w:val="28"/>
                <w:highlight w:val="none"/>
                <w:lang w:val="en-US" w:eastAsia="zh-CN"/>
              </w:rPr>
              <w:t>：</w:t>
            </w:r>
            <w:r>
              <w:rPr>
                <w:rFonts w:hint="eastAsia" w:cs="Times New Roman"/>
                <w:color w:val="auto"/>
                <w:kern w:val="2"/>
                <w:sz w:val="28"/>
                <w:szCs w:val="28"/>
                <w:highlight w:val="none"/>
                <w:lang w:val="en-US" w:eastAsia="zh-CN"/>
              </w:rPr>
              <w:t>实施</w:t>
            </w:r>
            <w:r>
              <w:rPr>
                <w:rFonts w:hint="default" w:ascii="Times New Roman" w:hAnsi="Times New Roman" w:eastAsia="仿宋_GB2312" w:cs="Times New Roman"/>
                <w:color w:val="auto"/>
                <w:kern w:val="2"/>
                <w:sz w:val="28"/>
                <w:szCs w:val="28"/>
                <w:highlight w:val="none"/>
                <w:lang w:val="en-US" w:eastAsia="zh-CN"/>
              </w:rPr>
              <w:t>理县交通信息化平台建设</w:t>
            </w:r>
            <w:r>
              <w:rPr>
                <w:rFonts w:hint="eastAsia" w:cs="Times New Roman"/>
                <w:color w:val="auto"/>
                <w:kern w:val="2"/>
                <w:sz w:val="28"/>
                <w:szCs w:val="28"/>
                <w:highlight w:val="none"/>
                <w:lang w:val="en-US" w:eastAsia="zh-CN"/>
              </w:rPr>
              <w:t>项目</w:t>
            </w:r>
            <w:r>
              <w:rPr>
                <w:rFonts w:hint="default" w:ascii="Times New Roman" w:hAnsi="Times New Roman" w:eastAsia="仿宋_GB2312" w:cs="Times New Roman"/>
                <w:color w:val="auto"/>
                <w:kern w:val="2"/>
                <w:sz w:val="28"/>
                <w:szCs w:val="28"/>
                <w:highlight w:val="none"/>
                <w:lang w:val="en-US" w:eastAsia="zh-CN"/>
              </w:rPr>
              <w:t>。</w:t>
            </w:r>
          </w:p>
        </w:tc>
      </w:tr>
    </w:tbl>
    <w:p w14:paraId="2F52F19B">
      <w:pPr>
        <w:keepNext/>
        <w:widowControl w:val="0"/>
        <w:numPr>
          <w:ilvl w:val="0"/>
          <w:numId w:val="1"/>
        </w:numPr>
        <w:bidi w:val="0"/>
        <w:snapToGrid w:val="0"/>
        <w:spacing w:before="100" w:beforeLines="100" w:after="100" w:afterLines="100" w:line="560" w:lineRule="exact"/>
        <w:ind w:left="0" w:leftChars="0" w:firstLine="0" w:firstLineChars="0"/>
        <w:jc w:val="center"/>
        <w:outlineLvl w:val="1"/>
        <w:rPr>
          <w:rFonts w:hint="default" w:ascii="Times New Roman" w:hAnsi="Times New Roman" w:eastAsia="黑体" w:cs="Times New Roman"/>
          <w:color w:val="auto"/>
          <w:kern w:val="2"/>
          <w:sz w:val="32"/>
          <w:szCs w:val="24"/>
          <w:highlight w:val="none"/>
          <w:lang w:val="en-US" w:eastAsia="zh-CN" w:bidi="ar-SA"/>
        </w:rPr>
      </w:pPr>
      <w:r>
        <w:rPr>
          <w:rFonts w:hint="default" w:ascii="Times New Roman" w:hAnsi="Times New Roman" w:eastAsia="黑体" w:cs="Times New Roman"/>
          <w:color w:val="auto"/>
          <w:kern w:val="2"/>
          <w:sz w:val="32"/>
          <w:szCs w:val="24"/>
          <w:highlight w:val="none"/>
          <w:lang w:val="en-US" w:eastAsia="zh-CN" w:bidi="ar-SA"/>
        </w:rPr>
        <w:t xml:space="preserve"> </w:t>
      </w:r>
      <w:bookmarkStart w:id="305" w:name="_Toc17323"/>
      <w:bookmarkStart w:id="306" w:name="_Toc6629"/>
      <w:bookmarkStart w:id="307" w:name="_Toc3305"/>
      <w:bookmarkStart w:id="308" w:name="_Toc25424"/>
      <w:bookmarkStart w:id="309" w:name="_Toc24010"/>
      <w:r>
        <w:rPr>
          <w:rFonts w:hint="default" w:ascii="Times New Roman" w:hAnsi="Times New Roman" w:eastAsia="黑体" w:cs="Times New Roman"/>
          <w:color w:val="auto"/>
          <w:kern w:val="2"/>
          <w:sz w:val="32"/>
          <w:szCs w:val="24"/>
          <w:highlight w:val="none"/>
          <w:lang w:val="en-US" w:eastAsia="zh-CN" w:bidi="ar-SA"/>
        </w:rPr>
        <w:t>提升能源供给保障水平</w:t>
      </w:r>
      <w:bookmarkEnd w:id="305"/>
      <w:bookmarkEnd w:id="306"/>
      <w:bookmarkEnd w:id="307"/>
      <w:bookmarkEnd w:id="308"/>
      <w:bookmarkEnd w:id="309"/>
    </w:p>
    <w:p w14:paraId="741CEB37">
      <w:pPr>
        <w:keepNext/>
        <w:widowControl w:val="0"/>
        <w:numPr>
          <w:ilvl w:val="0"/>
          <w:numId w:val="24"/>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310" w:name="_Toc9636"/>
      <w:bookmarkStart w:id="311" w:name="_Toc18013"/>
      <w:bookmarkStart w:id="312" w:name="_Toc23515"/>
      <w:bookmarkStart w:id="313" w:name="_Toc10918"/>
      <w:bookmarkStart w:id="314" w:name="_Toc26905"/>
      <w:r>
        <w:rPr>
          <w:rFonts w:hint="default" w:ascii="Times New Roman" w:hAnsi="Times New Roman" w:eastAsia="楷体_GB2312" w:cs="Times New Roman"/>
          <w:b/>
          <w:bCs w:val="0"/>
          <w:color w:val="auto"/>
          <w:kern w:val="2"/>
          <w:sz w:val="32"/>
          <w:szCs w:val="32"/>
          <w:highlight w:val="none"/>
          <w:lang w:val="en-US" w:eastAsia="zh-CN" w:bidi="ar-SA"/>
        </w:rPr>
        <w:t>增强城乡电力稳供能力</w:t>
      </w:r>
      <w:bookmarkEnd w:id="310"/>
      <w:bookmarkEnd w:id="311"/>
      <w:bookmarkEnd w:id="312"/>
      <w:bookmarkEnd w:id="313"/>
      <w:bookmarkEnd w:id="314"/>
    </w:p>
    <w:p w14:paraId="1228A292">
      <w:pPr>
        <w:bidi w:val="0"/>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color w:val="auto"/>
          <w:sz w:val="32"/>
          <w:szCs w:val="22"/>
          <w:highlight w:val="none"/>
          <w:lang w:val="en-US" w:eastAsia="zh-CN"/>
        </w:rPr>
        <w:t>前瞻布局电力外送通道，积极争取纳入省、州能源电力专项规划。密切跟进阿坝北1000千伏特高压工程项目，全力做好保障工作。加快推进四川阿坝理县低压线路提升改造项目、理县朴头镇理小路输电线路建设项目，构建100kV—35kV—10kV多级协同骨干电网，</w:t>
      </w:r>
      <w:r>
        <w:rPr>
          <w:rFonts w:hint="default" w:ascii="Times New Roman" w:hAnsi="Times New Roman" w:eastAsia="仿宋_GB2312" w:cs="Times New Roman"/>
          <w:color w:val="auto"/>
          <w:sz w:val="32"/>
          <w:szCs w:val="32"/>
          <w:highlight w:val="none"/>
          <w:lang w:val="en-US" w:eastAsia="zh-CN" w:bidi="ar"/>
        </w:rPr>
        <w:t>进一步巩固输电网环网结构，</w:t>
      </w:r>
      <w:r>
        <w:rPr>
          <w:rFonts w:hint="default" w:ascii="Times New Roman" w:hAnsi="Times New Roman" w:eastAsia="仿宋_GB2312" w:cs="Times New Roman"/>
          <w:color w:val="auto"/>
          <w:sz w:val="32"/>
          <w:szCs w:val="22"/>
          <w:highlight w:val="none"/>
          <w:lang w:val="en-US" w:eastAsia="zh-CN"/>
        </w:rPr>
        <w:t>增强全域电力承载与资源优化配置能力。实施智慧电网升级改造，</w:t>
      </w:r>
      <w:r>
        <w:rPr>
          <w:rFonts w:hint="default" w:ascii="Times New Roman" w:hAnsi="Times New Roman" w:eastAsia="仿宋_GB2312" w:cs="Times New Roman"/>
          <w:color w:val="auto"/>
          <w:sz w:val="32"/>
          <w:szCs w:val="32"/>
          <w:highlight w:val="none"/>
          <w:lang w:val="en-US" w:eastAsia="zh-CN" w:bidi="ar"/>
        </w:rPr>
        <w:t>全面建设用电信息采集系统</w:t>
      </w:r>
      <w:r>
        <w:rPr>
          <w:rFonts w:hint="default" w:ascii="Times New Roman" w:hAnsi="Times New Roman" w:eastAsia="仿宋_GB2312" w:cs="Times New Roman"/>
          <w:color w:val="auto"/>
          <w:sz w:val="32"/>
          <w:szCs w:val="22"/>
          <w:highlight w:val="none"/>
          <w:lang w:val="en-US" w:eastAsia="zh-CN"/>
        </w:rPr>
        <w:t>，加快实现配电自动化全覆盖。有序实施农村电网巩固提升专项行动，系统更新山区老旧电力设备，梯次推进农村电网智能化改造，全面增强线路安全与供电可靠性。</w:t>
      </w:r>
    </w:p>
    <w:p w14:paraId="44C14573">
      <w:pPr>
        <w:keepNext/>
        <w:widowControl w:val="0"/>
        <w:numPr>
          <w:ilvl w:val="0"/>
          <w:numId w:val="24"/>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315" w:name="_Toc294"/>
      <w:bookmarkStart w:id="316" w:name="_Toc28975"/>
      <w:bookmarkStart w:id="317" w:name="_Toc25085"/>
      <w:bookmarkStart w:id="318" w:name="_Toc9152"/>
      <w:bookmarkStart w:id="319" w:name="_Toc20679"/>
      <w:r>
        <w:rPr>
          <w:rFonts w:hint="default" w:ascii="Times New Roman" w:hAnsi="Times New Roman" w:eastAsia="楷体_GB2312" w:cs="Times New Roman"/>
          <w:b/>
          <w:bCs w:val="0"/>
          <w:color w:val="auto"/>
          <w:kern w:val="2"/>
          <w:sz w:val="32"/>
          <w:szCs w:val="32"/>
          <w:highlight w:val="none"/>
          <w:lang w:val="en-US" w:eastAsia="zh-CN" w:bidi="ar-SA"/>
        </w:rPr>
        <w:t>构建多元能源供应体系</w:t>
      </w:r>
      <w:bookmarkEnd w:id="315"/>
      <w:bookmarkEnd w:id="316"/>
      <w:bookmarkEnd w:id="317"/>
      <w:bookmarkEnd w:id="318"/>
      <w:bookmarkEnd w:id="319"/>
    </w:p>
    <w:p w14:paraId="1E2D64E6">
      <w:pPr>
        <w:bidi w:val="0"/>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color w:val="auto"/>
          <w:sz w:val="32"/>
          <w:szCs w:val="22"/>
          <w:highlight w:val="none"/>
          <w:lang w:val="en-US" w:eastAsia="zh-CN"/>
        </w:rPr>
        <w:t>积极开发利用清洁能源，持续推进理县1#地块凉水井光伏项目建设，加快理县风力发电建设项目、理县千乡万村驭风行动项目落地实施。统筹谋划空气储能建设项目，促进清洁能源就地消纳。加强燃气供应保障，推进理县乡镇集中供暖建设项目县城及周边地区城镇燃气设施建设，实现城区及周边天然气入户。加快推进理县乡镇集中供暖建设项目建设，积极探索高海拔寒冷地带集中供暖新模式，逐步构建“县城集中清洁热源+乡镇分布式可再生热源+农村分户式清洁炉具”的三级梯度供暖体系。持续推进县城、重点乡镇、景区、高速服务区充电桩全面覆盖，加快推进加油站、加氢站、加气站建设。</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675E3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00" w:type="pct"/>
            <w:shd w:val="clear" w:color="auto" w:fill="7F7F7F" w:themeFill="text1" w:themeFillTint="7F"/>
          </w:tcPr>
          <w:p w14:paraId="7CBF16BA">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center"/>
              <w:rPr>
                <w:rFonts w:hint="default" w:ascii="Times New Roman" w:hAnsi="Times New Roman" w:eastAsia="黑体" w:cs="Times New Roman"/>
                <w:color w:val="auto"/>
                <w:kern w:val="2"/>
                <w:sz w:val="30"/>
                <w:szCs w:val="22"/>
                <w:highlight w:val="none"/>
                <w:lang w:val="en-US" w:eastAsia="zh-CN"/>
              </w:rPr>
            </w:pPr>
            <w:r>
              <w:rPr>
                <w:rFonts w:hint="default" w:ascii="Times New Roman" w:hAnsi="Times New Roman" w:eastAsia="黑体" w:cs="Times New Roman"/>
                <w:b/>
                <w:bCs/>
                <w:color w:val="auto"/>
                <w:kern w:val="0"/>
                <w:sz w:val="28"/>
                <w:szCs w:val="28"/>
                <w:highlight w:val="none"/>
                <w:lang w:bidi="ar"/>
              </w:rPr>
              <w:t>专栏</w:t>
            </w:r>
            <w:r>
              <w:rPr>
                <w:rFonts w:hint="default" w:ascii="Times New Roman" w:hAnsi="Times New Roman" w:eastAsia="黑体" w:cs="Times New Roman"/>
                <w:b/>
                <w:bCs/>
                <w:color w:val="auto"/>
                <w:kern w:val="0"/>
                <w:sz w:val="28"/>
                <w:szCs w:val="28"/>
                <w:highlight w:val="none"/>
                <w:lang w:val="en-US" w:eastAsia="zh-CN" w:bidi="ar"/>
              </w:rPr>
              <w:t xml:space="preserve">12 </w:t>
            </w:r>
            <w:r>
              <w:rPr>
                <w:rFonts w:hint="default" w:ascii="Times New Roman" w:hAnsi="Times New Roman" w:eastAsia="黑体" w:cs="Times New Roman"/>
                <w:b/>
                <w:bCs/>
                <w:color w:val="auto"/>
                <w:kern w:val="0"/>
                <w:sz w:val="28"/>
                <w:szCs w:val="28"/>
                <w:highlight w:val="none"/>
                <w:lang w:bidi="ar"/>
              </w:rPr>
              <w:t xml:space="preserve"> </w:t>
            </w:r>
            <w:r>
              <w:rPr>
                <w:rFonts w:hint="default" w:ascii="Times New Roman" w:hAnsi="Times New Roman" w:eastAsia="黑体" w:cs="Times New Roman"/>
                <w:b/>
                <w:bCs/>
                <w:color w:val="auto"/>
                <w:kern w:val="0"/>
                <w:sz w:val="28"/>
                <w:szCs w:val="28"/>
                <w:highlight w:val="none"/>
                <w:lang w:val="en-US" w:eastAsia="zh-CN" w:bidi="ar"/>
              </w:rPr>
              <w:t>提升能源供给保障水平重点工程</w:t>
            </w:r>
          </w:p>
        </w:tc>
      </w:tr>
      <w:tr w14:paraId="26746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tcPr>
          <w:p w14:paraId="4A7AA512">
            <w:pPr>
              <w:keepNext w:val="0"/>
              <w:keepLines w:val="0"/>
              <w:pageBreakBefore w:val="0"/>
              <w:widowControl/>
              <w:numPr>
                <w:ilvl w:val="0"/>
                <w:numId w:val="13"/>
              </w:numPr>
              <w:kinsoku/>
              <w:wordWrap/>
              <w:overflowPunct/>
              <w:topLinePunct w:val="0"/>
              <w:autoSpaceDE/>
              <w:autoSpaceDN/>
              <w:bidi w:val="0"/>
              <w:adjustRightInd w:val="0"/>
              <w:snapToGrid w:val="0"/>
              <w:spacing w:line="440" w:lineRule="exact"/>
              <w:ind w:left="420" w:leftChars="0" w:hanging="420" w:firstLineChars="0"/>
              <w:jc w:val="left"/>
              <w:textAlignment w:val="auto"/>
              <w:rPr>
                <w:rFonts w:hint="default" w:ascii="Times New Roman" w:hAnsi="Times New Roman" w:eastAsia="仿宋_GB2312" w:cs="Times New Roman"/>
                <w:color w:val="auto"/>
                <w:kern w:val="2"/>
                <w:sz w:val="28"/>
                <w:szCs w:val="28"/>
                <w:highlight w:val="none"/>
                <w:lang w:eastAsia="zh-CN"/>
              </w:rPr>
            </w:pPr>
            <w:r>
              <w:rPr>
                <w:rFonts w:hint="default" w:ascii="Times New Roman" w:hAnsi="Times New Roman" w:eastAsia="仿宋_GB2312" w:cs="Times New Roman"/>
                <w:b/>
                <w:bCs/>
                <w:color w:val="auto"/>
                <w:kern w:val="2"/>
                <w:sz w:val="28"/>
                <w:szCs w:val="28"/>
                <w:highlight w:val="none"/>
                <w:lang w:val="en-US" w:eastAsia="zh-CN"/>
              </w:rPr>
              <w:t>增强城乡电力稳供能力</w:t>
            </w:r>
            <w:r>
              <w:rPr>
                <w:rFonts w:hint="default" w:ascii="Times New Roman" w:hAnsi="Times New Roman" w:eastAsia="仿宋_GB2312" w:cs="Times New Roman"/>
                <w:color w:val="auto"/>
                <w:kern w:val="2"/>
                <w:sz w:val="28"/>
                <w:szCs w:val="28"/>
                <w:highlight w:val="none"/>
                <w:lang w:val="en-US" w:eastAsia="zh-CN"/>
              </w:rPr>
              <w:t>：</w:t>
            </w:r>
            <w:r>
              <w:rPr>
                <w:rFonts w:hint="eastAsia" w:cs="Times New Roman"/>
                <w:color w:val="auto"/>
                <w:kern w:val="2"/>
                <w:sz w:val="28"/>
                <w:szCs w:val="28"/>
                <w:highlight w:val="none"/>
                <w:lang w:val="en-US" w:eastAsia="zh-CN"/>
              </w:rPr>
              <w:t>1.完工阿坝北1000千伏特高压工程。2.</w:t>
            </w:r>
            <w:r>
              <w:rPr>
                <w:rFonts w:hint="default" w:ascii="Times New Roman" w:hAnsi="Times New Roman" w:eastAsia="仿宋_GB2312" w:cs="Times New Roman"/>
                <w:color w:val="auto"/>
                <w:kern w:val="2"/>
                <w:sz w:val="28"/>
                <w:szCs w:val="28"/>
                <w:highlight w:val="none"/>
                <w:lang w:val="en-US" w:eastAsia="zh-CN"/>
              </w:rPr>
              <w:t>实施阿坝红原500千伏输变电工程理县段项目</w:t>
            </w:r>
            <w:r>
              <w:rPr>
                <w:rFonts w:hint="eastAsia" w:cs="Times New Roman"/>
                <w:color w:val="auto"/>
                <w:kern w:val="2"/>
                <w:sz w:val="28"/>
                <w:szCs w:val="28"/>
                <w:highlight w:val="none"/>
                <w:lang w:val="en-US" w:eastAsia="zh-CN"/>
              </w:rPr>
              <w:t>、</w:t>
            </w:r>
            <w:r>
              <w:rPr>
                <w:rFonts w:hint="default" w:ascii="Times New Roman" w:hAnsi="Times New Roman" w:eastAsia="仿宋_GB2312" w:cs="Times New Roman"/>
                <w:color w:val="auto"/>
                <w:kern w:val="2"/>
                <w:sz w:val="28"/>
                <w:szCs w:val="28"/>
                <w:highlight w:val="none"/>
                <w:lang w:val="en-US" w:eastAsia="zh-CN"/>
              </w:rPr>
              <w:t>四川阿坝理县低压线路提升改造项目、理县米亚罗镇环境质量提升建设项目</w:t>
            </w:r>
            <w:r>
              <w:rPr>
                <w:rFonts w:hint="eastAsia" w:cs="Times New Roman"/>
                <w:color w:val="auto"/>
                <w:kern w:val="2"/>
                <w:sz w:val="28"/>
                <w:szCs w:val="28"/>
                <w:highlight w:val="none"/>
                <w:lang w:val="en-US" w:eastAsia="zh-CN"/>
              </w:rPr>
              <w:t>。3.</w:t>
            </w:r>
            <w:r>
              <w:rPr>
                <w:rFonts w:hint="default" w:ascii="Times New Roman" w:hAnsi="Times New Roman" w:eastAsia="仿宋_GB2312" w:cs="Times New Roman"/>
                <w:color w:val="auto"/>
                <w:kern w:val="2"/>
                <w:sz w:val="28"/>
                <w:szCs w:val="28"/>
                <w:highlight w:val="none"/>
                <w:lang w:val="en-US" w:eastAsia="zh-CN"/>
              </w:rPr>
              <w:t>推进理县朴头镇理小路输电线路建设项目前期工作。</w:t>
            </w:r>
          </w:p>
          <w:p w14:paraId="4D81FA55">
            <w:pPr>
              <w:keepNext w:val="0"/>
              <w:keepLines w:val="0"/>
              <w:pageBreakBefore w:val="0"/>
              <w:widowControl/>
              <w:numPr>
                <w:ilvl w:val="0"/>
                <w:numId w:val="23"/>
              </w:numPr>
              <w:kinsoku/>
              <w:wordWrap/>
              <w:overflowPunct/>
              <w:topLinePunct w:val="0"/>
              <w:autoSpaceDE/>
              <w:autoSpaceDN/>
              <w:bidi w:val="0"/>
              <w:adjustRightInd w:val="0"/>
              <w:snapToGrid w:val="0"/>
              <w:spacing w:line="440" w:lineRule="exact"/>
              <w:ind w:left="420" w:leftChars="0" w:hanging="420" w:firstLineChars="0"/>
              <w:jc w:val="left"/>
              <w:textAlignment w:val="auto"/>
              <w:rPr>
                <w:rFonts w:hint="default" w:ascii="Times New Roman" w:hAnsi="Times New Roman" w:eastAsia="仿宋_GB2312" w:cs="Times New Roman"/>
                <w:color w:val="auto"/>
                <w:kern w:val="2"/>
                <w:sz w:val="28"/>
                <w:szCs w:val="28"/>
                <w:highlight w:val="none"/>
                <w:lang w:eastAsia="zh-CN"/>
              </w:rPr>
            </w:pPr>
            <w:r>
              <w:rPr>
                <w:rFonts w:hint="default" w:ascii="Times New Roman" w:hAnsi="Times New Roman" w:eastAsia="仿宋_GB2312" w:cs="Times New Roman"/>
                <w:b/>
                <w:bCs/>
                <w:color w:val="auto"/>
                <w:kern w:val="2"/>
                <w:sz w:val="28"/>
                <w:szCs w:val="28"/>
                <w:highlight w:val="none"/>
                <w:lang w:val="en-US" w:eastAsia="zh-CN"/>
              </w:rPr>
              <w:t>完善多元化能源供应体系重点工程</w:t>
            </w:r>
            <w:r>
              <w:rPr>
                <w:rFonts w:hint="default" w:ascii="Times New Roman" w:hAnsi="Times New Roman" w:eastAsia="仿宋_GB2312" w:cs="Times New Roman"/>
                <w:color w:val="auto"/>
                <w:kern w:val="2"/>
                <w:sz w:val="28"/>
                <w:szCs w:val="28"/>
                <w:highlight w:val="none"/>
                <w:lang w:val="en-US" w:eastAsia="zh-CN"/>
              </w:rPr>
              <w:t>：</w:t>
            </w:r>
            <w:r>
              <w:rPr>
                <w:rFonts w:hint="eastAsia" w:cs="Times New Roman"/>
                <w:color w:val="auto"/>
                <w:kern w:val="2"/>
                <w:sz w:val="28"/>
                <w:szCs w:val="28"/>
                <w:highlight w:val="none"/>
                <w:lang w:val="en-US" w:eastAsia="zh-CN"/>
              </w:rPr>
              <w:t>1.</w:t>
            </w:r>
            <w:r>
              <w:rPr>
                <w:rFonts w:hint="default" w:ascii="Times New Roman" w:hAnsi="Times New Roman" w:eastAsia="仿宋_GB2312" w:cs="Times New Roman"/>
                <w:color w:val="auto"/>
                <w:kern w:val="2"/>
                <w:sz w:val="28"/>
                <w:szCs w:val="28"/>
                <w:highlight w:val="none"/>
                <w:lang w:val="en-US" w:eastAsia="zh-CN"/>
              </w:rPr>
              <w:t>实施</w:t>
            </w:r>
            <w:r>
              <w:rPr>
                <w:rFonts w:hint="default" w:ascii="Times New Roman" w:hAnsi="Times New Roman" w:eastAsia="仿宋_GB2312" w:cs="Times New Roman"/>
                <w:b w:val="0"/>
                <w:bCs w:val="0"/>
                <w:color w:val="auto"/>
                <w:kern w:val="2"/>
                <w:sz w:val="28"/>
                <w:szCs w:val="28"/>
                <w:highlight w:val="none"/>
                <w:lang w:val="en-US" w:eastAsia="zh-CN"/>
              </w:rPr>
              <w:t>理县加氢、加气站建设项目、理县服务区LNG加气站新建项目（对站）、理县金牛加油站有限责任公司改扩建LNG加气站、吉柯村大车驿站综合能源服务建设项目</w:t>
            </w:r>
            <w:r>
              <w:rPr>
                <w:rFonts w:hint="eastAsia" w:cs="Times New Roman"/>
                <w:b w:val="0"/>
                <w:bCs w:val="0"/>
                <w:color w:val="auto"/>
                <w:kern w:val="2"/>
                <w:sz w:val="28"/>
                <w:szCs w:val="28"/>
                <w:highlight w:val="none"/>
                <w:lang w:val="en-US" w:eastAsia="zh-CN"/>
              </w:rPr>
              <w:t>、</w:t>
            </w:r>
            <w:r>
              <w:rPr>
                <w:rFonts w:hint="default" w:ascii="Times New Roman" w:hAnsi="Times New Roman" w:eastAsia="仿宋_GB2312" w:cs="Times New Roman"/>
                <w:color w:val="auto"/>
                <w:kern w:val="2"/>
                <w:sz w:val="28"/>
                <w:szCs w:val="28"/>
                <w:highlight w:val="none"/>
                <w:lang w:val="en-US" w:eastAsia="zh-CN"/>
              </w:rPr>
              <w:t>理县新能源汽车充电桩建设项目</w:t>
            </w:r>
            <w:r>
              <w:rPr>
                <w:rFonts w:hint="eastAsia" w:cs="Times New Roman"/>
                <w:color w:val="auto"/>
                <w:kern w:val="2"/>
                <w:sz w:val="28"/>
                <w:szCs w:val="28"/>
                <w:highlight w:val="none"/>
                <w:lang w:val="en-US" w:eastAsia="zh-CN"/>
              </w:rPr>
              <w:t>、理县LPG三级供应站建设项目。2.开展理县新能源汽车充电桩建设项目（二期）、理县古尔沟集中供暖工程等</w:t>
            </w:r>
            <w:r>
              <w:rPr>
                <w:rFonts w:hint="eastAsia" w:cs="Times New Roman"/>
                <w:b w:val="0"/>
                <w:bCs w:val="0"/>
                <w:color w:val="auto"/>
                <w:kern w:val="2"/>
                <w:sz w:val="28"/>
                <w:szCs w:val="28"/>
                <w:highlight w:val="none"/>
                <w:lang w:val="en-US" w:eastAsia="zh-CN"/>
              </w:rPr>
              <w:t>论证</w:t>
            </w:r>
            <w:r>
              <w:rPr>
                <w:rFonts w:hint="default" w:ascii="Times New Roman" w:hAnsi="Times New Roman" w:eastAsia="仿宋_GB2312" w:cs="Times New Roman"/>
                <w:color w:val="auto"/>
                <w:kern w:val="2"/>
                <w:sz w:val="28"/>
                <w:szCs w:val="28"/>
                <w:highlight w:val="none"/>
                <w:lang w:val="en-US" w:eastAsia="zh-CN"/>
              </w:rPr>
              <w:t>工作</w:t>
            </w:r>
            <w:r>
              <w:rPr>
                <w:rFonts w:hint="default" w:ascii="Times New Roman" w:hAnsi="Times New Roman" w:eastAsia="仿宋_GB2312" w:cs="Times New Roman"/>
                <w:b w:val="0"/>
                <w:bCs w:val="0"/>
                <w:color w:val="auto"/>
                <w:kern w:val="2"/>
                <w:sz w:val="28"/>
                <w:szCs w:val="28"/>
                <w:highlight w:val="none"/>
                <w:lang w:val="en-US" w:eastAsia="zh-CN"/>
              </w:rPr>
              <w:t>。</w:t>
            </w:r>
          </w:p>
        </w:tc>
      </w:tr>
    </w:tbl>
    <w:p w14:paraId="0816289C">
      <w:pPr>
        <w:keepNext/>
        <w:widowControl w:val="0"/>
        <w:numPr>
          <w:ilvl w:val="0"/>
          <w:numId w:val="1"/>
        </w:numPr>
        <w:bidi w:val="0"/>
        <w:snapToGrid w:val="0"/>
        <w:spacing w:before="100" w:beforeLines="100" w:after="100" w:afterLines="100" w:line="560" w:lineRule="exact"/>
        <w:ind w:left="0" w:leftChars="0" w:firstLine="0" w:firstLineChars="0"/>
        <w:jc w:val="center"/>
        <w:outlineLvl w:val="1"/>
        <w:rPr>
          <w:rFonts w:hint="default" w:ascii="Times New Roman" w:hAnsi="Times New Roman" w:eastAsia="黑体" w:cs="Times New Roman"/>
          <w:color w:val="auto"/>
          <w:kern w:val="2"/>
          <w:sz w:val="32"/>
          <w:szCs w:val="24"/>
          <w:highlight w:val="none"/>
          <w:lang w:val="en-US" w:eastAsia="zh-CN" w:bidi="ar-SA"/>
        </w:rPr>
      </w:pPr>
      <w:r>
        <w:rPr>
          <w:rFonts w:hint="default" w:ascii="Times New Roman" w:hAnsi="Times New Roman" w:eastAsia="黑体" w:cs="Times New Roman"/>
          <w:color w:val="auto"/>
          <w:kern w:val="2"/>
          <w:sz w:val="32"/>
          <w:szCs w:val="24"/>
          <w:highlight w:val="none"/>
          <w:lang w:val="en-US" w:eastAsia="zh-CN" w:bidi="ar-SA"/>
        </w:rPr>
        <w:t xml:space="preserve"> </w:t>
      </w:r>
      <w:bookmarkStart w:id="320" w:name="_Toc18302"/>
      <w:bookmarkStart w:id="321" w:name="_Toc16507"/>
      <w:bookmarkStart w:id="322" w:name="_Toc553"/>
      <w:bookmarkStart w:id="323" w:name="_Toc29347"/>
      <w:bookmarkStart w:id="324" w:name="_Toc28949"/>
      <w:r>
        <w:rPr>
          <w:rFonts w:hint="default" w:ascii="Times New Roman" w:hAnsi="Times New Roman" w:eastAsia="黑体" w:cs="Times New Roman"/>
          <w:color w:val="auto"/>
          <w:kern w:val="2"/>
          <w:sz w:val="32"/>
          <w:szCs w:val="24"/>
          <w:highlight w:val="none"/>
          <w:lang w:val="en-US" w:eastAsia="zh-CN" w:bidi="ar-SA"/>
        </w:rPr>
        <w:fldChar w:fldCharType="begin"/>
      </w:r>
      <w:r>
        <w:rPr>
          <w:rFonts w:hint="default" w:ascii="Times New Roman" w:hAnsi="Times New Roman" w:eastAsia="黑体" w:cs="Times New Roman"/>
          <w:color w:val="auto"/>
          <w:kern w:val="2"/>
          <w:sz w:val="32"/>
          <w:szCs w:val="24"/>
          <w:highlight w:val="none"/>
          <w:lang w:val="en-US" w:eastAsia="zh-CN" w:bidi="ar-SA"/>
        </w:rPr>
        <w:instrText xml:space="preserve"> HYPERLINK \l _Toc223 </w:instrText>
      </w:r>
      <w:r>
        <w:rPr>
          <w:rFonts w:hint="default" w:ascii="Times New Roman" w:hAnsi="Times New Roman" w:eastAsia="黑体" w:cs="Times New Roman"/>
          <w:color w:val="auto"/>
          <w:kern w:val="2"/>
          <w:sz w:val="32"/>
          <w:szCs w:val="24"/>
          <w:highlight w:val="none"/>
          <w:lang w:val="en-US" w:eastAsia="zh-CN" w:bidi="ar-SA"/>
        </w:rPr>
        <w:fldChar w:fldCharType="separate"/>
      </w:r>
      <w:r>
        <w:rPr>
          <w:rFonts w:hint="default" w:ascii="Times New Roman" w:hAnsi="Times New Roman" w:eastAsia="黑体" w:cs="Times New Roman"/>
          <w:color w:val="auto"/>
          <w:kern w:val="2"/>
          <w:sz w:val="32"/>
          <w:szCs w:val="24"/>
          <w:highlight w:val="none"/>
          <w:lang w:val="en-US" w:eastAsia="zh-CN" w:bidi="ar-SA"/>
        </w:rPr>
        <w:t>完善水利基础设施建设</w:t>
      </w:r>
      <w:r>
        <w:rPr>
          <w:rFonts w:hint="default" w:ascii="Times New Roman" w:hAnsi="Times New Roman" w:eastAsia="黑体" w:cs="Times New Roman"/>
          <w:color w:val="auto"/>
          <w:kern w:val="2"/>
          <w:sz w:val="32"/>
          <w:szCs w:val="24"/>
          <w:highlight w:val="none"/>
          <w:lang w:val="en-US" w:eastAsia="zh-CN" w:bidi="ar-SA"/>
        </w:rPr>
        <w:fldChar w:fldCharType="end"/>
      </w:r>
      <w:bookmarkEnd w:id="320"/>
      <w:bookmarkEnd w:id="321"/>
      <w:bookmarkEnd w:id="322"/>
      <w:bookmarkEnd w:id="323"/>
      <w:bookmarkEnd w:id="324"/>
    </w:p>
    <w:p w14:paraId="3471D970">
      <w:pPr>
        <w:keepNext/>
        <w:widowControl w:val="0"/>
        <w:numPr>
          <w:ilvl w:val="0"/>
          <w:numId w:val="25"/>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325" w:name="_Toc10129"/>
      <w:bookmarkStart w:id="326" w:name="_Toc28423"/>
      <w:bookmarkStart w:id="327" w:name="_Toc21437"/>
      <w:bookmarkStart w:id="328" w:name="_Toc12597"/>
      <w:bookmarkStart w:id="329" w:name="_Toc12042"/>
      <w:r>
        <w:rPr>
          <w:rFonts w:hint="default" w:ascii="Times New Roman" w:hAnsi="Times New Roman" w:eastAsia="楷体_GB2312" w:cs="Times New Roman"/>
          <w:b/>
          <w:bCs w:val="0"/>
          <w:color w:val="auto"/>
          <w:kern w:val="2"/>
          <w:sz w:val="32"/>
          <w:szCs w:val="32"/>
          <w:highlight w:val="none"/>
          <w:lang w:val="en-US" w:eastAsia="zh-CN" w:bidi="ar-SA"/>
        </w:rPr>
        <w:t>推进农田水利工程建设</w:t>
      </w:r>
      <w:bookmarkEnd w:id="325"/>
      <w:bookmarkEnd w:id="326"/>
      <w:bookmarkEnd w:id="327"/>
      <w:bookmarkEnd w:id="328"/>
      <w:bookmarkEnd w:id="329"/>
    </w:p>
    <w:p w14:paraId="0368F216">
      <w:pPr>
        <w:bidi w:val="0"/>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color w:val="auto"/>
          <w:sz w:val="32"/>
          <w:szCs w:val="22"/>
          <w:highlight w:val="none"/>
          <w:lang w:val="en-US" w:eastAsia="zh-CN"/>
        </w:rPr>
        <w:t>持续实施米桃工程及渠系配套工程，完善田间灌排设施，加强与骨干灌排工程的衔接配套，提高输配水效率，解决农田灌溉“最后一公里”。因地制宜推广高效节水灌溉技术，配套管道输水灌溉、喷灌和微灌等设施，支持建设必要的灌溉计量设施，提升农业灌溉用水效率。建立“县级统管、乡镇协同、村级参与”长效机制，推行“村级水管员+农民用水合作组织”自建、自管、自用。</w:t>
      </w:r>
    </w:p>
    <w:p w14:paraId="539049DC">
      <w:pPr>
        <w:keepNext/>
        <w:widowControl w:val="0"/>
        <w:numPr>
          <w:ilvl w:val="0"/>
          <w:numId w:val="25"/>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330" w:name="_Toc14271"/>
      <w:bookmarkStart w:id="331" w:name="_Toc29254"/>
      <w:bookmarkStart w:id="332" w:name="_Toc6519"/>
      <w:bookmarkStart w:id="333" w:name="_Toc19599"/>
      <w:bookmarkStart w:id="334" w:name="_Toc19287"/>
      <w:r>
        <w:rPr>
          <w:rFonts w:hint="default" w:ascii="Times New Roman" w:hAnsi="Times New Roman" w:eastAsia="楷体_GB2312" w:cs="Times New Roman"/>
          <w:b/>
          <w:bCs w:val="0"/>
          <w:color w:val="auto"/>
          <w:kern w:val="2"/>
          <w:sz w:val="32"/>
          <w:szCs w:val="32"/>
          <w:highlight w:val="none"/>
          <w:lang w:val="en-US" w:eastAsia="zh-CN" w:bidi="ar-SA"/>
        </w:rPr>
        <w:t>筑牢城乡防洪安全屏障</w:t>
      </w:r>
      <w:bookmarkEnd w:id="330"/>
      <w:bookmarkEnd w:id="331"/>
      <w:bookmarkEnd w:id="332"/>
      <w:bookmarkEnd w:id="333"/>
      <w:bookmarkEnd w:id="334"/>
    </w:p>
    <w:p w14:paraId="5422FA7B">
      <w:pPr>
        <w:bidi w:val="0"/>
        <w:spacing w:line="576" w:lineRule="exact"/>
        <w:ind w:firstLine="640"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color w:val="auto"/>
          <w:sz w:val="32"/>
          <w:szCs w:val="22"/>
          <w:highlight w:val="none"/>
          <w:lang w:val="en-US" w:eastAsia="zh-CN"/>
        </w:rPr>
        <w:t>加固干支流堤防护岸，实施薛城小沟、古尔沟大沟等14条山洪沟防洪治理、河道治理以及小流域水土流失综合治理工程。</w:t>
      </w:r>
      <w:r>
        <w:rPr>
          <w:rFonts w:hint="default" w:ascii="Times New Roman" w:hAnsi="Times New Roman" w:eastAsia="仿宋_GB2312" w:cs="Times New Roman"/>
          <w:color w:val="auto"/>
          <w:sz w:val="32"/>
          <w:szCs w:val="32"/>
          <w:highlight w:val="none"/>
          <w:lang w:val="en-US" w:eastAsia="zh-CN"/>
        </w:rPr>
        <w:t>完善山洪灾害非工程措施，实施危险区动态和分级管理，健全山洪灾害监测预警工作规程，优化监测预警站网布局，持续开展群测群防体系建设，全面提升山洪灾害防御能力。以“数字化场景、智慧化模拟、精准化决策”为路径，推动数字孪生流域建设，构建具有预报预警预演预案功能的智慧水利体系。</w:t>
      </w:r>
      <w:r>
        <w:rPr>
          <w:rFonts w:hint="default" w:ascii="Times New Roman" w:hAnsi="Times New Roman" w:eastAsia="仿宋_GB2312" w:cs="Times New Roman"/>
          <w:color w:val="auto"/>
          <w:sz w:val="32"/>
          <w:szCs w:val="22"/>
          <w:highlight w:val="none"/>
          <w:lang w:val="en-US" w:eastAsia="zh-CN"/>
        </w:rPr>
        <w:t>科学编制2026-2030年</w:t>
      </w:r>
      <w:r>
        <w:rPr>
          <w:rFonts w:hint="eastAsia" w:cs="Times New Roman"/>
          <w:color w:val="auto"/>
          <w:sz w:val="32"/>
          <w:szCs w:val="22"/>
          <w:highlight w:val="none"/>
          <w:lang w:val="en-US" w:eastAsia="zh-CN"/>
        </w:rPr>
        <w:t>河道</w:t>
      </w:r>
      <w:r>
        <w:rPr>
          <w:rFonts w:hint="default" w:ascii="Times New Roman" w:hAnsi="Times New Roman" w:eastAsia="仿宋_GB2312" w:cs="Times New Roman"/>
          <w:color w:val="auto"/>
          <w:sz w:val="32"/>
          <w:szCs w:val="22"/>
          <w:highlight w:val="none"/>
          <w:lang w:val="en-US" w:eastAsia="zh-CN"/>
        </w:rPr>
        <w:t>采砂规划，打造“水清、岸绿、河畅、景美、人和”的健康幸福河湖。</w:t>
      </w:r>
    </w:p>
    <w:p w14:paraId="238DD292">
      <w:pPr>
        <w:keepNext/>
        <w:widowControl w:val="0"/>
        <w:numPr>
          <w:ilvl w:val="0"/>
          <w:numId w:val="25"/>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335" w:name="_Toc9045"/>
      <w:bookmarkStart w:id="336" w:name="_Toc915"/>
      <w:bookmarkStart w:id="337" w:name="_Toc15180"/>
      <w:bookmarkStart w:id="338" w:name="_Toc21068"/>
      <w:bookmarkStart w:id="339" w:name="_Toc8440"/>
      <w:r>
        <w:rPr>
          <w:rFonts w:hint="default" w:ascii="Times New Roman" w:hAnsi="Times New Roman" w:eastAsia="楷体_GB2312" w:cs="Times New Roman"/>
          <w:b/>
          <w:bCs w:val="0"/>
          <w:color w:val="auto"/>
          <w:kern w:val="2"/>
          <w:sz w:val="32"/>
          <w:szCs w:val="32"/>
          <w:highlight w:val="none"/>
          <w:lang w:val="en-US" w:eastAsia="zh-CN" w:bidi="ar-SA"/>
        </w:rPr>
        <w:t>提高城乡供水保障能力</w:t>
      </w:r>
      <w:bookmarkEnd w:id="335"/>
      <w:bookmarkEnd w:id="336"/>
      <w:bookmarkEnd w:id="337"/>
      <w:bookmarkEnd w:id="338"/>
      <w:bookmarkEnd w:id="339"/>
    </w:p>
    <w:p w14:paraId="059EDBB9">
      <w:pPr>
        <w:spacing w:line="560" w:lineRule="exact"/>
        <w:ind w:firstLine="640" w:firstLineChars="200"/>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以农村供水高质量发展为契机，</w:t>
      </w:r>
      <w:r>
        <w:rPr>
          <w:rFonts w:hint="default" w:ascii="Times New Roman" w:hAnsi="Times New Roman" w:eastAsia="仿宋_GB2312" w:cs="Times New Roman"/>
          <w:color w:val="auto"/>
          <w:sz w:val="32"/>
          <w:szCs w:val="32"/>
          <w:highlight w:val="none"/>
          <w:lang w:val="en-US" w:eastAsia="zh-CN"/>
        </w:rPr>
        <w:t>加快推进中心城区胆扎木沟、打色尔沟自来水厂建设，有序开展米亚罗镇、古尔沟镇、朴头镇、桃坪镇、下孟乡等乡镇自来水厂改扩建，同步实施甘堡乡、下孟乡、蒲溪乡集中供水站建设，持续增强城乡供水保障能力。同步实施城乡供水管网一体化敷设，高标准延伸主干管网，扩大高标准供水覆盖范围，加快形成“水源同源、管网同环、水质同标、服务同质”的城乡一体化供水新格局。</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249B4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shd w:val="clear" w:color="auto" w:fill="7F7F7F" w:themeFill="text1" w:themeFillTint="7F"/>
          </w:tcPr>
          <w:p w14:paraId="13914ECE">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center"/>
              <w:rPr>
                <w:rFonts w:hint="default" w:ascii="Times New Roman" w:hAnsi="Times New Roman" w:eastAsia="黑体" w:cs="Times New Roman"/>
                <w:b/>
                <w:bCs/>
                <w:color w:val="auto"/>
                <w:kern w:val="0"/>
                <w:sz w:val="28"/>
                <w:szCs w:val="28"/>
                <w:highlight w:val="none"/>
                <w:lang w:val="en-US" w:eastAsia="zh-CN" w:bidi="ar"/>
              </w:rPr>
            </w:pPr>
            <w:r>
              <w:rPr>
                <w:rFonts w:hint="default" w:ascii="Times New Roman" w:hAnsi="Times New Roman" w:eastAsia="黑体" w:cs="Times New Roman"/>
                <w:b/>
                <w:bCs/>
                <w:color w:val="auto"/>
                <w:kern w:val="0"/>
                <w:sz w:val="28"/>
                <w:szCs w:val="28"/>
                <w:highlight w:val="none"/>
                <w:lang w:bidi="ar"/>
              </w:rPr>
              <w:t>专栏</w:t>
            </w:r>
            <w:r>
              <w:rPr>
                <w:rFonts w:hint="default" w:ascii="Times New Roman" w:hAnsi="Times New Roman" w:eastAsia="黑体" w:cs="Times New Roman"/>
                <w:b/>
                <w:bCs/>
                <w:color w:val="auto"/>
                <w:kern w:val="0"/>
                <w:sz w:val="28"/>
                <w:szCs w:val="28"/>
                <w:highlight w:val="none"/>
                <w:lang w:val="en-US" w:eastAsia="zh-CN" w:bidi="ar"/>
              </w:rPr>
              <w:t xml:space="preserve">13 </w:t>
            </w:r>
            <w:r>
              <w:rPr>
                <w:rFonts w:hint="default" w:ascii="Times New Roman" w:hAnsi="Times New Roman" w:eastAsia="黑体" w:cs="Times New Roman"/>
                <w:b/>
                <w:bCs/>
                <w:color w:val="auto"/>
                <w:kern w:val="0"/>
                <w:sz w:val="28"/>
                <w:szCs w:val="28"/>
                <w:highlight w:val="none"/>
                <w:lang w:bidi="ar"/>
              </w:rPr>
              <w:t xml:space="preserve"> </w:t>
            </w:r>
            <w:r>
              <w:rPr>
                <w:rFonts w:hint="default" w:ascii="Times New Roman" w:hAnsi="Times New Roman" w:eastAsia="黑体" w:cs="Times New Roman"/>
                <w:b/>
                <w:bCs/>
                <w:color w:val="auto"/>
                <w:kern w:val="0"/>
                <w:sz w:val="28"/>
                <w:szCs w:val="28"/>
                <w:highlight w:val="none"/>
                <w:lang w:val="en-US" w:eastAsia="zh-CN" w:bidi="ar"/>
              </w:rPr>
              <w:t>完善水利基础设施建设重点工程</w:t>
            </w:r>
          </w:p>
        </w:tc>
      </w:tr>
      <w:tr w14:paraId="6BE74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tcPr>
          <w:p w14:paraId="50AF34F3">
            <w:pPr>
              <w:keepNext w:val="0"/>
              <w:keepLines w:val="0"/>
              <w:pageBreakBefore w:val="0"/>
              <w:widowControl/>
              <w:numPr>
                <w:ilvl w:val="0"/>
                <w:numId w:val="23"/>
              </w:numPr>
              <w:kinsoku/>
              <w:wordWrap/>
              <w:overflowPunct/>
              <w:topLinePunct w:val="0"/>
              <w:autoSpaceDE/>
              <w:autoSpaceDN/>
              <w:bidi w:val="0"/>
              <w:adjustRightInd w:val="0"/>
              <w:snapToGrid w:val="0"/>
              <w:spacing w:line="440" w:lineRule="exact"/>
              <w:ind w:left="420" w:leftChars="0" w:hanging="420" w:firstLineChars="0"/>
              <w:jc w:val="left"/>
              <w:textAlignment w:val="auto"/>
              <w:rPr>
                <w:rFonts w:hint="default" w:ascii="Times New Roman" w:hAnsi="Times New Roman" w:eastAsia="仿宋_GB2312" w:cs="Times New Roman"/>
                <w:color w:val="auto"/>
                <w:kern w:val="2"/>
                <w:sz w:val="28"/>
                <w:szCs w:val="28"/>
                <w:highlight w:val="none"/>
                <w:lang w:val="en-US" w:eastAsia="zh-CN"/>
              </w:rPr>
            </w:pPr>
            <w:r>
              <w:rPr>
                <w:rFonts w:hint="default" w:ascii="Times New Roman" w:hAnsi="Times New Roman" w:eastAsia="仿宋_GB2312" w:cs="Times New Roman"/>
                <w:b/>
                <w:bCs/>
                <w:color w:val="auto"/>
                <w:kern w:val="2"/>
                <w:sz w:val="28"/>
                <w:szCs w:val="28"/>
                <w:highlight w:val="none"/>
                <w:lang w:val="en-US" w:eastAsia="zh-CN"/>
              </w:rPr>
              <w:t>农田水利</w:t>
            </w:r>
            <w:r>
              <w:rPr>
                <w:rFonts w:hint="default" w:ascii="Times New Roman" w:hAnsi="Times New Roman" w:eastAsia="仿宋_GB2312" w:cs="Times New Roman"/>
                <w:color w:val="auto"/>
                <w:kern w:val="2"/>
                <w:sz w:val="28"/>
                <w:szCs w:val="28"/>
                <w:highlight w:val="none"/>
                <w:lang w:val="en-US" w:eastAsia="zh-CN"/>
              </w:rPr>
              <w:t>：</w:t>
            </w:r>
            <w:r>
              <w:rPr>
                <w:rFonts w:hint="eastAsia" w:cs="Times New Roman"/>
                <w:color w:val="auto"/>
                <w:kern w:val="2"/>
                <w:sz w:val="28"/>
                <w:szCs w:val="28"/>
                <w:highlight w:val="none"/>
                <w:lang w:val="en-US" w:eastAsia="zh-CN"/>
              </w:rPr>
              <w:t>1.</w:t>
            </w:r>
            <w:r>
              <w:rPr>
                <w:rFonts w:hint="default" w:ascii="Times New Roman" w:hAnsi="Times New Roman" w:eastAsia="仿宋_GB2312" w:cs="Times New Roman"/>
                <w:color w:val="auto"/>
                <w:kern w:val="2"/>
                <w:sz w:val="28"/>
                <w:szCs w:val="28"/>
                <w:highlight w:val="none"/>
                <w:lang w:val="en-US" w:eastAsia="zh-CN"/>
              </w:rPr>
              <w:t>推进理县米桃水利工程及渠系配套工程</w:t>
            </w:r>
            <w:r>
              <w:rPr>
                <w:rFonts w:hint="eastAsia" w:cs="Times New Roman"/>
                <w:color w:val="auto"/>
                <w:kern w:val="2"/>
                <w:sz w:val="28"/>
                <w:szCs w:val="28"/>
                <w:highlight w:val="none"/>
                <w:lang w:val="en-US" w:eastAsia="zh-CN"/>
              </w:rPr>
              <w:t>前期工作。2.开展</w:t>
            </w:r>
            <w:r>
              <w:rPr>
                <w:rFonts w:hint="default" w:ascii="Times New Roman" w:hAnsi="Times New Roman" w:eastAsia="仿宋_GB2312" w:cs="Times New Roman"/>
                <w:color w:val="auto"/>
                <w:kern w:val="2"/>
                <w:sz w:val="28"/>
                <w:szCs w:val="28"/>
                <w:highlight w:val="none"/>
                <w:lang w:val="en-US" w:eastAsia="zh-CN"/>
              </w:rPr>
              <w:t>理县农田水利巩固提升、理县孟屯河幸福河湖建设</w:t>
            </w:r>
            <w:r>
              <w:rPr>
                <w:rFonts w:hint="eastAsia" w:cs="Times New Roman"/>
                <w:color w:val="auto"/>
                <w:kern w:val="2"/>
                <w:sz w:val="28"/>
                <w:szCs w:val="28"/>
                <w:highlight w:val="none"/>
                <w:lang w:val="en-US" w:eastAsia="zh-CN"/>
              </w:rPr>
              <w:t>、理县中央和省级大中型水库移民后期扶持资金、孟屯沟水库、理县桃坪镇旱山村“五小水利”工程等项目论证</w:t>
            </w:r>
            <w:r>
              <w:rPr>
                <w:rFonts w:hint="default" w:ascii="Times New Roman" w:hAnsi="Times New Roman" w:eastAsia="仿宋_GB2312" w:cs="Times New Roman"/>
                <w:color w:val="auto"/>
                <w:kern w:val="2"/>
                <w:sz w:val="28"/>
                <w:szCs w:val="28"/>
                <w:highlight w:val="none"/>
                <w:lang w:val="en-US" w:eastAsia="zh-CN"/>
              </w:rPr>
              <w:t>工作。</w:t>
            </w:r>
          </w:p>
          <w:p w14:paraId="6A667A50">
            <w:pPr>
              <w:keepNext w:val="0"/>
              <w:keepLines w:val="0"/>
              <w:pageBreakBefore w:val="0"/>
              <w:widowControl/>
              <w:numPr>
                <w:ilvl w:val="0"/>
                <w:numId w:val="23"/>
              </w:numPr>
              <w:kinsoku/>
              <w:wordWrap/>
              <w:overflowPunct/>
              <w:topLinePunct w:val="0"/>
              <w:autoSpaceDE/>
              <w:autoSpaceDN/>
              <w:bidi w:val="0"/>
              <w:adjustRightInd w:val="0"/>
              <w:snapToGrid w:val="0"/>
              <w:spacing w:line="440" w:lineRule="exact"/>
              <w:ind w:left="420" w:leftChars="0" w:hanging="420" w:firstLineChars="0"/>
              <w:jc w:val="left"/>
              <w:textAlignment w:val="auto"/>
              <w:rPr>
                <w:rFonts w:hint="default" w:ascii="Times New Roman" w:hAnsi="Times New Roman" w:eastAsia="仿宋_GB2312" w:cs="Times New Roman"/>
                <w:color w:val="auto"/>
                <w:kern w:val="2"/>
                <w:sz w:val="28"/>
                <w:szCs w:val="28"/>
                <w:highlight w:val="none"/>
                <w:lang w:eastAsia="zh-CN"/>
              </w:rPr>
            </w:pPr>
            <w:r>
              <w:rPr>
                <w:rFonts w:hint="default" w:ascii="Times New Roman" w:hAnsi="Times New Roman" w:eastAsia="仿宋_GB2312" w:cs="Times New Roman"/>
                <w:b/>
                <w:bCs/>
                <w:color w:val="auto"/>
                <w:kern w:val="2"/>
                <w:sz w:val="28"/>
                <w:szCs w:val="28"/>
                <w:highlight w:val="none"/>
                <w:lang w:val="en-US" w:eastAsia="zh-CN"/>
              </w:rPr>
              <w:t>城乡防洪</w:t>
            </w:r>
            <w:r>
              <w:rPr>
                <w:rFonts w:hint="default" w:ascii="Times New Roman" w:hAnsi="Times New Roman" w:eastAsia="仿宋_GB2312" w:cs="Times New Roman"/>
                <w:color w:val="auto"/>
                <w:kern w:val="2"/>
                <w:sz w:val="28"/>
                <w:szCs w:val="28"/>
                <w:highlight w:val="none"/>
                <w:lang w:val="en-US" w:eastAsia="zh-CN"/>
              </w:rPr>
              <w:t>：</w:t>
            </w:r>
            <w:r>
              <w:rPr>
                <w:rFonts w:hint="eastAsia" w:cs="Times New Roman"/>
                <w:color w:val="auto"/>
                <w:kern w:val="2"/>
                <w:sz w:val="28"/>
                <w:szCs w:val="28"/>
                <w:highlight w:val="none"/>
                <w:lang w:val="en-US" w:eastAsia="zh-CN"/>
              </w:rPr>
              <w:t>1.实施山洪灾害监测预警非工程措施建设项目、理县蒲溪乡雨污水排水管网建设项目。2.</w:t>
            </w:r>
            <w:r>
              <w:rPr>
                <w:rFonts w:hint="default" w:ascii="Times New Roman" w:hAnsi="Times New Roman" w:eastAsia="仿宋_GB2312" w:cs="Times New Roman"/>
                <w:color w:val="auto"/>
                <w:kern w:val="2"/>
                <w:sz w:val="28"/>
                <w:szCs w:val="28"/>
                <w:highlight w:val="none"/>
                <w:lang w:val="en-US" w:eastAsia="zh-CN"/>
              </w:rPr>
              <w:t>推进孟屯沟防洪治理工程</w:t>
            </w:r>
            <w:r>
              <w:rPr>
                <w:rFonts w:hint="eastAsia" w:cs="Times New Roman"/>
                <w:color w:val="auto"/>
                <w:kern w:val="2"/>
                <w:sz w:val="28"/>
                <w:szCs w:val="28"/>
                <w:highlight w:val="none"/>
                <w:lang w:val="en-US" w:eastAsia="zh-CN"/>
              </w:rPr>
              <w:t>前期工作。3.开展</w:t>
            </w:r>
            <w:r>
              <w:rPr>
                <w:rFonts w:hint="default" w:ascii="Times New Roman" w:hAnsi="Times New Roman" w:eastAsia="仿宋_GB2312" w:cs="Times New Roman"/>
                <w:color w:val="auto"/>
                <w:kern w:val="2"/>
                <w:sz w:val="28"/>
                <w:szCs w:val="28"/>
                <w:highlight w:val="none"/>
                <w:lang w:val="en-US" w:eastAsia="zh-CN"/>
              </w:rPr>
              <w:t>阿坝州理县朴头镇一颗印沟、朴头镇日脚沟（日足沟）</w:t>
            </w:r>
            <w:r>
              <w:rPr>
                <w:rFonts w:hint="eastAsia" w:cs="Times New Roman"/>
                <w:color w:val="auto"/>
                <w:kern w:val="2"/>
                <w:sz w:val="28"/>
                <w:szCs w:val="28"/>
                <w:highlight w:val="none"/>
                <w:lang w:val="en-US" w:eastAsia="zh-CN"/>
              </w:rPr>
              <w:t>、米亚罗镇十八拐沟、</w:t>
            </w:r>
            <w:r>
              <w:rPr>
                <w:rFonts w:hint="default" w:ascii="Times New Roman" w:hAnsi="Times New Roman" w:eastAsia="仿宋_GB2312" w:cs="Times New Roman"/>
                <w:color w:val="auto"/>
                <w:kern w:val="2"/>
                <w:sz w:val="28"/>
                <w:szCs w:val="28"/>
                <w:highlight w:val="none"/>
                <w:lang w:val="en-US" w:eastAsia="zh-CN"/>
              </w:rPr>
              <w:t>防洪治理工程、古尔沟镇小沟</w:t>
            </w:r>
            <w:r>
              <w:rPr>
                <w:rFonts w:hint="eastAsia" w:cs="Times New Roman"/>
                <w:color w:val="auto"/>
                <w:kern w:val="2"/>
                <w:sz w:val="28"/>
                <w:szCs w:val="28"/>
                <w:highlight w:val="none"/>
                <w:lang w:val="en-US" w:eastAsia="zh-CN"/>
              </w:rPr>
              <w:t>、米亚罗镇猛古村、甘堡乡日落沟、古尔沟镇木城沟、蒲溪乡蒲溪沟、通化乡三岔沟二期、磨子沟杂谷脑镇打色尔沟、上孟乡老洼寨沟</w:t>
            </w:r>
            <w:r>
              <w:rPr>
                <w:rFonts w:hint="default" w:ascii="Times New Roman" w:hAnsi="Times New Roman" w:eastAsia="仿宋_GB2312" w:cs="Times New Roman"/>
                <w:color w:val="auto"/>
                <w:kern w:val="2"/>
                <w:sz w:val="28"/>
                <w:szCs w:val="28"/>
                <w:highlight w:val="none"/>
                <w:lang w:val="en-US" w:eastAsia="zh-CN"/>
              </w:rPr>
              <w:t>河道治理工程</w:t>
            </w:r>
            <w:r>
              <w:rPr>
                <w:rFonts w:hint="eastAsia" w:cs="Times New Roman"/>
                <w:color w:val="auto"/>
                <w:kern w:val="2"/>
                <w:sz w:val="28"/>
                <w:szCs w:val="28"/>
                <w:highlight w:val="none"/>
                <w:lang w:val="en-US" w:eastAsia="zh-CN"/>
              </w:rPr>
              <w:t>以及理县中小流域防洪应急监测系统建设、理县米亚罗镇猛古村黄土梁至大板召段防洪治理工程、理县米亚罗沟米亚罗村中游段、米亚罗村支沟沟口段、山瑚沟沟口段防洪治理工程、杂谷脑河阿坝州理县防洪治理工程、古尔沟镇堤防建设、米亚罗镇护堤固基修复建设、古尔沟镇堤防建设、米亚罗镇护堤固基修复建设、理县薛城镇小沟河道治理工程、杂谷脑镇胆扎木沟流域治理、杂谷脑镇维关沟沟流域治理、杂谷脑镇打色尔沟流域治理、理县蒲溪乡河道治理、通化乡甘溪沟小流域水土流失综合治理工程、朴头镇梭罗沟小流域水土流失综合治理工程、桃坪镇古城沟小流域水土流失综合治理工程、理县水毁修复</w:t>
            </w:r>
            <w:r>
              <w:rPr>
                <w:rFonts w:hint="default" w:ascii="Times New Roman" w:hAnsi="Times New Roman" w:eastAsia="仿宋_GB2312" w:cs="Times New Roman"/>
                <w:color w:val="auto"/>
                <w:kern w:val="2"/>
                <w:sz w:val="28"/>
                <w:szCs w:val="28"/>
                <w:highlight w:val="none"/>
                <w:lang w:val="en-US" w:eastAsia="zh-CN"/>
              </w:rPr>
              <w:t>等</w:t>
            </w:r>
            <w:r>
              <w:rPr>
                <w:rFonts w:hint="eastAsia" w:cs="Times New Roman"/>
                <w:color w:val="auto"/>
                <w:kern w:val="2"/>
                <w:sz w:val="28"/>
                <w:szCs w:val="28"/>
                <w:highlight w:val="none"/>
                <w:lang w:val="en-US" w:eastAsia="zh-CN"/>
              </w:rPr>
              <w:t>项目论证</w:t>
            </w:r>
            <w:r>
              <w:rPr>
                <w:rFonts w:hint="default" w:ascii="Times New Roman" w:hAnsi="Times New Roman" w:eastAsia="仿宋_GB2312" w:cs="Times New Roman"/>
                <w:color w:val="auto"/>
                <w:kern w:val="2"/>
                <w:sz w:val="28"/>
                <w:szCs w:val="28"/>
                <w:highlight w:val="none"/>
                <w:lang w:val="en-US" w:eastAsia="zh-CN"/>
              </w:rPr>
              <w:t>工作。</w:t>
            </w:r>
          </w:p>
          <w:p w14:paraId="744677B7">
            <w:pPr>
              <w:keepNext w:val="0"/>
              <w:keepLines w:val="0"/>
              <w:pageBreakBefore w:val="0"/>
              <w:widowControl/>
              <w:numPr>
                <w:ilvl w:val="0"/>
                <w:numId w:val="23"/>
              </w:numPr>
              <w:kinsoku/>
              <w:wordWrap/>
              <w:overflowPunct/>
              <w:topLinePunct w:val="0"/>
              <w:autoSpaceDE/>
              <w:autoSpaceDN/>
              <w:bidi w:val="0"/>
              <w:adjustRightInd w:val="0"/>
              <w:snapToGrid w:val="0"/>
              <w:spacing w:line="440" w:lineRule="exact"/>
              <w:ind w:left="420" w:leftChars="0" w:hanging="420" w:firstLineChars="0"/>
              <w:jc w:val="left"/>
              <w:textAlignment w:val="auto"/>
              <w:rPr>
                <w:rFonts w:hint="default" w:ascii="Times New Roman" w:hAnsi="Times New Roman" w:eastAsia="仿宋_GB2312" w:cs="Times New Roman"/>
                <w:color w:val="auto"/>
                <w:kern w:val="2"/>
                <w:sz w:val="28"/>
                <w:szCs w:val="28"/>
                <w:highlight w:val="none"/>
                <w:lang w:eastAsia="zh-CN"/>
              </w:rPr>
            </w:pPr>
            <w:r>
              <w:rPr>
                <w:rFonts w:hint="default" w:ascii="Times New Roman" w:hAnsi="Times New Roman" w:eastAsia="仿宋_GB2312" w:cs="Times New Roman"/>
                <w:b/>
                <w:bCs/>
                <w:color w:val="auto"/>
                <w:kern w:val="2"/>
                <w:sz w:val="28"/>
                <w:szCs w:val="28"/>
                <w:highlight w:val="none"/>
                <w:lang w:val="en-US" w:eastAsia="zh-CN"/>
              </w:rPr>
              <w:t>城乡供水</w:t>
            </w:r>
            <w:r>
              <w:rPr>
                <w:rFonts w:hint="default" w:ascii="Times New Roman" w:hAnsi="Times New Roman" w:eastAsia="仿宋_GB2312" w:cs="Times New Roman"/>
                <w:color w:val="auto"/>
                <w:kern w:val="2"/>
                <w:sz w:val="28"/>
                <w:szCs w:val="28"/>
                <w:highlight w:val="none"/>
                <w:lang w:val="en-US" w:eastAsia="zh-CN"/>
              </w:rPr>
              <w:t>：</w:t>
            </w:r>
            <w:r>
              <w:rPr>
                <w:rFonts w:hint="eastAsia" w:cs="Times New Roman"/>
                <w:color w:val="auto"/>
                <w:kern w:val="2"/>
                <w:sz w:val="28"/>
                <w:szCs w:val="28"/>
                <w:highlight w:val="none"/>
                <w:lang w:val="en-US" w:eastAsia="zh-CN"/>
              </w:rPr>
              <w:t>1.完工理县下孟乡、甘堡乡供水站工程。</w:t>
            </w:r>
            <w:r>
              <w:rPr>
                <w:rFonts w:hint="default" w:ascii="Times New Roman" w:hAnsi="Times New Roman" w:eastAsia="仿宋_GB2312" w:cs="Times New Roman"/>
                <w:color w:val="auto"/>
                <w:kern w:val="2"/>
                <w:sz w:val="28"/>
                <w:szCs w:val="28"/>
                <w:highlight w:val="none"/>
                <w:lang w:val="en-US" w:eastAsia="zh-CN"/>
              </w:rPr>
              <w:t>实施农村饮水安全项目</w:t>
            </w:r>
            <w:r>
              <w:rPr>
                <w:rFonts w:hint="eastAsia" w:cs="Times New Roman"/>
                <w:color w:val="auto"/>
                <w:kern w:val="2"/>
                <w:sz w:val="28"/>
                <w:szCs w:val="28"/>
                <w:highlight w:val="none"/>
                <w:lang w:val="en-US" w:eastAsia="zh-CN"/>
              </w:rPr>
              <w:t>。2.开展</w:t>
            </w:r>
            <w:r>
              <w:rPr>
                <w:rFonts w:hint="default" w:ascii="Times New Roman" w:hAnsi="Times New Roman" w:eastAsia="仿宋_GB2312" w:cs="Times New Roman"/>
                <w:color w:val="auto"/>
                <w:kern w:val="2"/>
                <w:sz w:val="28"/>
                <w:szCs w:val="28"/>
                <w:highlight w:val="none"/>
                <w:lang w:val="en-US" w:eastAsia="zh-CN"/>
              </w:rPr>
              <w:t>理县农村安全饮水巩固提升、农村安全饮水维修养护等</w:t>
            </w:r>
            <w:r>
              <w:rPr>
                <w:rFonts w:hint="eastAsia" w:cs="Times New Roman"/>
                <w:color w:val="auto"/>
                <w:kern w:val="2"/>
                <w:sz w:val="28"/>
                <w:szCs w:val="28"/>
                <w:highlight w:val="none"/>
                <w:lang w:val="en-US" w:eastAsia="zh-CN"/>
              </w:rPr>
              <w:t>项目论证</w:t>
            </w:r>
            <w:r>
              <w:rPr>
                <w:rFonts w:hint="default" w:ascii="Times New Roman" w:hAnsi="Times New Roman" w:eastAsia="仿宋_GB2312" w:cs="Times New Roman"/>
                <w:color w:val="auto"/>
                <w:kern w:val="2"/>
                <w:sz w:val="28"/>
                <w:szCs w:val="28"/>
                <w:highlight w:val="none"/>
                <w:lang w:val="en-US" w:eastAsia="zh-CN"/>
              </w:rPr>
              <w:t>工作</w:t>
            </w:r>
            <w:r>
              <w:rPr>
                <w:rFonts w:hint="default" w:ascii="Times New Roman" w:hAnsi="Times New Roman" w:eastAsia="仿宋_GB2312" w:cs="Times New Roman"/>
                <w:color w:val="auto"/>
                <w:kern w:val="2"/>
                <w:sz w:val="28"/>
                <w:szCs w:val="28"/>
                <w:highlight w:val="none"/>
                <w:lang w:eastAsia="zh-CN"/>
              </w:rPr>
              <w:t>。</w:t>
            </w:r>
          </w:p>
          <w:p w14:paraId="0FDE93E0">
            <w:pPr>
              <w:keepNext w:val="0"/>
              <w:keepLines w:val="0"/>
              <w:pageBreakBefore w:val="0"/>
              <w:widowControl/>
              <w:numPr>
                <w:ilvl w:val="0"/>
                <w:numId w:val="23"/>
              </w:numPr>
              <w:kinsoku/>
              <w:wordWrap/>
              <w:overflowPunct/>
              <w:topLinePunct w:val="0"/>
              <w:autoSpaceDE/>
              <w:autoSpaceDN/>
              <w:bidi w:val="0"/>
              <w:adjustRightInd w:val="0"/>
              <w:snapToGrid w:val="0"/>
              <w:spacing w:line="440" w:lineRule="exact"/>
              <w:ind w:left="420" w:leftChars="0" w:hanging="420" w:firstLineChars="0"/>
              <w:jc w:val="left"/>
              <w:textAlignment w:val="auto"/>
              <w:rPr>
                <w:rFonts w:hint="default" w:ascii="Times New Roman" w:hAnsi="Times New Roman" w:eastAsia="仿宋_GB2312" w:cs="Times New Roman"/>
                <w:color w:val="auto"/>
                <w:kern w:val="2"/>
                <w:sz w:val="28"/>
                <w:szCs w:val="28"/>
                <w:highlight w:val="none"/>
                <w:lang w:eastAsia="zh-CN"/>
              </w:rPr>
            </w:pPr>
            <w:r>
              <w:rPr>
                <w:rFonts w:hint="default" w:ascii="Times New Roman" w:hAnsi="Times New Roman" w:eastAsia="仿宋_GB2312" w:cs="Times New Roman"/>
                <w:b/>
                <w:bCs/>
                <w:color w:val="auto"/>
                <w:kern w:val="2"/>
                <w:sz w:val="28"/>
                <w:szCs w:val="28"/>
                <w:highlight w:val="none"/>
                <w:lang w:val="en-US" w:eastAsia="zh-CN"/>
              </w:rPr>
              <w:t>智慧水利</w:t>
            </w:r>
            <w:r>
              <w:rPr>
                <w:rFonts w:hint="default" w:ascii="Times New Roman" w:hAnsi="Times New Roman" w:eastAsia="仿宋_GB2312" w:cs="Times New Roman"/>
                <w:color w:val="auto"/>
                <w:kern w:val="2"/>
                <w:sz w:val="28"/>
                <w:szCs w:val="28"/>
                <w:highlight w:val="none"/>
                <w:lang w:val="en-US" w:eastAsia="zh-CN"/>
              </w:rPr>
              <w:t>：</w:t>
            </w:r>
            <w:r>
              <w:rPr>
                <w:rFonts w:hint="eastAsia" w:cs="Times New Roman"/>
                <w:color w:val="auto"/>
                <w:kern w:val="2"/>
                <w:sz w:val="28"/>
                <w:szCs w:val="28"/>
                <w:highlight w:val="none"/>
                <w:lang w:val="en-US" w:eastAsia="zh-CN"/>
              </w:rPr>
              <w:t>开展</w:t>
            </w:r>
            <w:r>
              <w:rPr>
                <w:rFonts w:hint="default" w:ascii="Times New Roman" w:hAnsi="Times New Roman" w:eastAsia="仿宋_GB2312" w:cs="Times New Roman"/>
                <w:color w:val="auto"/>
                <w:kern w:val="2"/>
                <w:sz w:val="28"/>
                <w:szCs w:val="28"/>
                <w:highlight w:val="none"/>
                <w:lang w:val="en-US" w:eastAsia="zh-CN"/>
              </w:rPr>
              <w:t>理县智慧水利平台建设项目</w:t>
            </w:r>
            <w:r>
              <w:rPr>
                <w:rFonts w:hint="eastAsia" w:cs="Times New Roman"/>
                <w:color w:val="auto"/>
                <w:kern w:val="2"/>
                <w:sz w:val="28"/>
                <w:szCs w:val="28"/>
                <w:highlight w:val="none"/>
                <w:lang w:val="en-US" w:eastAsia="zh-CN"/>
              </w:rPr>
              <w:t>论证工作</w:t>
            </w:r>
            <w:r>
              <w:rPr>
                <w:rFonts w:hint="default" w:ascii="Times New Roman" w:hAnsi="Times New Roman" w:eastAsia="仿宋_GB2312" w:cs="Times New Roman"/>
                <w:color w:val="auto"/>
                <w:kern w:val="2"/>
                <w:sz w:val="28"/>
                <w:szCs w:val="28"/>
                <w:highlight w:val="none"/>
                <w:lang w:val="en-US" w:eastAsia="zh-CN"/>
              </w:rPr>
              <w:t>。</w:t>
            </w:r>
          </w:p>
        </w:tc>
      </w:tr>
    </w:tbl>
    <w:p w14:paraId="439ECF42">
      <w:pPr>
        <w:keepNext/>
        <w:widowControl w:val="0"/>
        <w:numPr>
          <w:ilvl w:val="0"/>
          <w:numId w:val="1"/>
        </w:numPr>
        <w:bidi w:val="0"/>
        <w:snapToGrid w:val="0"/>
        <w:spacing w:before="100" w:beforeLines="100" w:after="100" w:afterLines="100" w:line="560" w:lineRule="exact"/>
        <w:ind w:left="0" w:leftChars="0" w:firstLine="0" w:firstLineChars="0"/>
        <w:jc w:val="center"/>
        <w:outlineLvl w:val="1"/>
        <w:rPr>
          <w:rFonts w:hint="default" w:ascii="Times New Roman" w:hAnsi="Times New Roman" w:eastAsia="黑体" w:cs="Times New Roman"/>
          <w:color w:val="auto"/>
          <w:kern w:val="2"/>
          <w:sz w:val="32"/>
          <w:szCs w:val="24"/>
          <w:highlight w:val="none"/>
          <w:lang w:val="en-US" w:eastAsia="zh-CN" w:bidi="ar-SA"/>
        </w:rPr>
      </w:pPr>
      <w:r>
        <w:rPr>
          <w:rFonts w:hint="default" w:ascii="Times New Roman" w:hAnsi="Times New Roman" w:eastAsia="黑体" w:cs="Times New Roman"/>
          <w:color w:val="auto"/>
          <w:kern w:val="2"/>
          <w:sz w:val="32"/>
          <w:szCs w:val="24"/>
          <w:highlight w:val="none"/>
          <w:lang w:val="en-US" w:eastAsia="zh-CN" w:bidi="ar-SA"/>
        </w:rPr>
        <w:t xml:space="preserve"> </w:t>
      </w:r>
      <w:bookmarkStart w:id="340" w:name="_Toc30328"/>
      <w:bookmarkStart w:id="341" w:name="_Toc9734"/>
      <w:bookmarkStart w:id="342" w:name="_Toc14533"/>
      <w:bookmarkStart w:id="343" w:name="_Toc20771"/>
      <w:bookmarkStart w:id="344" w:name="_Toc5878"/>
      <w:r>
        <w:rPr>
          <w:rFonts w:hint="default" w:ascii="Times New Roman" w:hAnsi="Times New Roman" w:eastAsia="黑体" w:cs="Times New Roman"/>
          <w:color w:val="auto"/>
          <w:kern w:val="2"/>
          <w:sz w:val="32"/>
          <w:szCs w:val="24"/>
          <w:highlight w:val="none"/>
          <w:lang w:val="en-US" w:eastAsia="zh-CN" w:bidi="ar-SA"/>
        </w:rPr>
        <w:fldChar w:fldCharType="begin"/>
      </w:r>
      <w:r>
        <w:rPr>
          <w:rFonts w:hint="default" w:ascii="Times New Roman" w:hAnsi="Times New Roman" w:eastAsia="黑体" w:cs="Times New Roman"/>
          <w:color w:val="auto"/>
          <w:kern w:val="2"/>
          <w:sz w:val="32"/>
          <w:szCs w:val="24"/>
          <w:highlight w:val="none"/>
          <w:lang w:val="en-US" w:eastAsia="zh-CN" w:bidi="ar-SA"/>
        </w:rPr>
        <w:instrText xml:space="preserve"> HYPERLINK \l _Toc223 </w:instrText>
      </w:r>
      <w:r>
        <w:rPr>
          <w:rFonts w:hint="default" w:ascii="Times New Roman" w:hAnsi="Times New Roman" w:eastAsia="黑体" w:cs="Times New Roman"/>
          <w:color w:val="auto"/>
          <w:kern w:val="2"/>
          <w:sz w:val="32"/>
          <w:szCs w:val="24"/>
          <w:highlight w:val="none"/>
          <w:lang w:val="en-US" w:eastAsia="zh-CN" w:bidi="ar-SA"/>
        </w:rPr>
        <w:fldChar w:fldCharType="separate"/>
      </w:r>
      <w:r>
        <w:rPr>
          <w:rFonts w:hint="default" w:ascii="Times New Roman" w:hAnsi="Times New Roman" w:eastAsia="黑体" w:cs="Times New Roman"/>
          <w:color w:val="auto"/>
          <w:kern w:val="2"/>
          <w:sz w:val="32"/>
          <w:szCs w:val="24"/>
          <w:highlight w:val="none"/>
          <w:lang w:val="en-US" w:eastAsia="zh-CN" w:bidi="ar-SA"/>
        </w:rPr>
        <w:fldChar w:fldCharType="begin"/>
      </w:r>
      <w:r>
        <w:rPr>
          <w:rFonts w:hint="default" w:ascii="Times New Roman" w:hAnsi="Times New Roman" w:eastAsia="黑体" w:cs="Times New Roman"/>
          <w:color w:val="auto"/>
          <w:kern w:val="2"/>
          <w:sz w:val="32"/>
          <w:szCs w:val="24"/>
          <w:highlight w:val="none"/>
          <w:lang w:val="en-US" w:eastAsia="zh-CN" w:bidi="ar-SA"/>
        </w:rPr>
        <w:instrText xml:space="preserve"> HYPERLINK \l _Toc1391 </w:instrText>
      </w:r>
      <w:r>
        <w:rPr>
          <w:rFonts w:hint="default" w:ascii="Times New Roman" w:hAnsi="Times New Roman" w:eastAsia="黑体" w:cs="Times New Roman"/>
          <w:color w:val="auto"/>
          <w:kern w:val="2"/>
          <w:sz w:val="32"/>
          <w:szCs w:val="24"/>
          <w:highlight w:val="none"/>
          <w:lang w:val="en-US" w:eastAsia="zh-CN" w:bidi="ar-SA"/>
        </w:rPr>
        <w:fldChar w:fldCharType="separate"/>
      </w:r>
      <w:r>
        <w:rPr>
          <w:rFonts w:hint="default" w:ascii="Times New Roman" w:hAnsi="Times New Roman" w:eastAsia="黑体" w:cs="Times New Roman"/>
          <w:color w:val="auto"/>
          <w:kern w:val="2"/>
          <w:sz w:val="32"/>
          <w:szCs w:val="24"/>
          <w:highlight w:val="none"/>
          <w:lang w:val="en-US" w:eastAsia="zh-CN" w:bidi="ar-SA"/>
        </w:rPr>
        <w:t>构建智慧服务体系网络</w:t>
      </w:r>
      <w:r>
        <w:rPr>
          <w:rFonts w:hint="default" w:ascii="Times New Roman" w:hAnsi="Times New Roman" w:eastAsia="黑体" w:cs="Times New Roman"/>
          <w:color w:val="auto"/>
          <w:kern w:val="2"/>
          <w:sz w:val="32"/>
          <w:szCs w:val="24"/>
          <w:highlight w:val="none"/>
          <w:lang w:val="en-US" w:eastAsia="zh-CN" w:bidi="ar-SA"/>
        </w:rPr>
        <w:fldChar w:fldCharType="end"/>
      </w:r>
      <w:r>
        <w:rPr>
          <w:rFonts w:hint="default" w:ascii="Times New Roman" w:hAnsi="Times New Roman" w:eastAsia="黑体" w:cs="Times New Roman"/>
          <w:color w:val="auto"/>
          <w:kern w:val="2"/>
          <w:sz w:val="32"/>
          <w:szCs w:val="24"/>
          <w:highlight w:val="none"/>
          <w:lang w:val="en-US" w:eastAsia="zh-CN" w:bidi="ar-SA"/>
        </w:rPr>
        <w:fldChar w:fldCharType="end"/>
      </w:r>
      <w:bookmarkEnd w:id="340"/>
      <w:bookmarkEnd w:id="341"/>
      <w:bookmarkEnd w:id="342"/>
      <w:bookmarkEnd w:id="343"/>
      <w:bookmarkEnd w:id="344"/>
    </w:p>
    <w:p w14:paraId="2716CEB6">
      <w:pPr>
        <w:keepNext/>
        <w:widowControl w:val="0"/>
        <w:numPr>
          <w:ilvl w:val="0"/>
          <w:numId w:val="26"/>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345" w:name="_Toc2357"/>
      <w:bookmarkStart w:id="346" w:name="_Toc12"/>
      <w:bookmarkStart w:id="347" w:name="_Toc4033"/>
      <w:bookmarkStart w:id="348" w:name="_Toc26167"/>
      <w:bookmarkStart w:id="349" w:name="_Toc12531"/>
      <w:r>
        <w:rPr>
          <w:rFonts w:hint="default" w:ascii="Times New Roman" w:hAnsi="Times New Roman" w:eastAsia="楷体_GB2312" w:cs="Times New Roman"/>
          <w:b/>
          <w:bCs w:val="0"/>
          <w:color w:val="auto"/>
          <w:kern w:val="2"/>
          <w:sz w:val="32"/>
          <w:szCs w:val="32"/>
          <w:highlight w:val="none"/>
          <w:lang w:val="en-US" w:eastAsia="zh-CN" w:bidi="ar-SA"/>
        </w:rPr>
        <w:t>加快新一代网络基础设施建设</w:t>
      </w:r>
      <w:bookmarkEnd w:id="345"/>
      <w:bookmarkEnd w:id="346"/>
      <w:bookmarkEnd w:id="347"/>
      <w:bookmarkEnd w:id="348"/>
      <w:bookmarkEnd w:id="349"/>
    </w:p>
    <w:p w14:paraId="6D9D485C">
      <w:pPr>
        <w:spacing w:line="560" w:lineRule="exact"/>
        <w:ind w:firstLine="640" w:firstLineChars="200"/>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加快布局新一代信息基础设施，积极推行“微基站+智慧杆塔”“5G+第六代无线网络（Wi-Fi 6）”等新型网络部署方式，实现5G商用部署和规模化应用。开展“满格天府”专项行动，实施5G移动网络千兆和光纤宽带网络千兆提升工程，推动旅游景区、国省干道、产业园区、重点乡镇光纤网、移动通信网、无线局域网全覆盖。纵深推进固网接入“百千万工程”，提档升级光纤网络部署，提高千兆网络覆盖范围。加快推进跨行业信息通信基础设施合作建设，加强智能停车场、智能仓储、综合管廊等新型物联网集成载体建设，构建泛在、高速、智能的新一代信息基础设施体系。</w:t>
      </w:r>
    </w:p>
    <w:p w14:paraId="1C0785A9">
      <w:pPr>
        <w:keepNext/>
        <w:widowControl w:val="0"/>
        <w:numPr>
          <w:ilvl w:val="0"/>
          <w:numId w:val="26"/>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350" w:name="_Toc17097"/>
      <w:bookmarkStart w:id="351" w:name="_Toc24508"/>
      <w:bookmarkStart w:id="352" w:name="_Toc9086"/>
      <w:bookmarkStart w:id="353" w:name="_Toc26224"/>
      <w:bookmarkStart w:id="354" w:name="_Toc25861"/>
      <w:r>
        <w:rPr>
          <w:rFonts w:hint="default" w:ascii="Times New Roman" w:hAnsi="Times New Roman" w:eastAsia="楷体_GB2312" w:cs="Times New Roman"/>
          <w:b/>
          <w:bCs w:val="0"/>
          <w:color w:val="auto"/>
          <w:kern w:val="2"/>
          <w:sz w:val="32"/>
          <w:szCs w:val="32"/>
          <w:highlight w:val="none"/>
          <w:lang w:val="en-US" w:eastAsia="zh-CN" w:bidi="ar-SA"/>
        </w:rPr>
        <w:t>推进“城市大脑”全域赋能</w:t>
      </w:r>
      <w:bookmarkEnd w:id="350"/>
      <w:bookmarkEnd w:id="351"/>
      <w:bookmarkEnd w:id="352"/>
      <w:bookmarkEnd w:id="353"/>
      <w:bookmarkEnd w:id="354"/>
    </w:p>
    <w:p w14:paraId="0EF92991">
      <w:pPr>
        <w:spacing w:line="560" w:lineRule="exact"/>
        <w:ind w:firstLine="640" w:firstLineChars="200"/>
        <w:jc w:val="left"/>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全力搭建智慧理县平台，推动智慧旅游、智慧交通、智慧物流、智慧城管、智慧医疗、智慧教育和智慧政务等网络服务平台深度融合。实施城市基础设施数字化改造，推动电网、供水、供气、供排水、污水处理等市政基础设施智能化改造，建设智慧管廊综合运营系统。推动网上政务服务向基层延伸，充分利用社会平台拓展办事渠道，促进智慧政务设施高效应用。积极开展5G应用场景试点，面向智能制造、智慧文旅、智慧应急等重点领域，打造一批“5G+工业互联网”“5G+4K/8K云直播”“5G+无人机巡检”等标杆场景。</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37459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shd w:val="clear" w:color="auto" w:fill="7F7F7F" w:themeFill="text1" w:themeFillTint="7F"/>
          </w:tcPr>
          <w:p w14:paraId="7CC4EBC3">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center"/>
              <w:rPr>
                <w:rFonts w:hint="default" w:ascii="Times New Roman" w:hAnsi="Times New Roman" w:eastAsia="黑体" w:cs="Times New Roman"/>
                <w:b/>
                <w:bCs/>
                <w:color w:val="auto"/>
                <w:kern w:val="0"/>
                <w:sz w:val="28"/>
                <w:szCs w:val="28"/>
                <w:highlight w:val="none"/>
                <w:lang w:val="en-US" w:eastAsia="zh-CN" w:bidi="ar"/>
              </w:rPr>
            </w:pPr>
            <w:r>
              <w:rPr>
                <w:rFonts w:hint="default" w:ascii="Times New Roman" w:hAnsi="Times New Roman" w:eastAsia="黑体" w:cs="Times New Roman"/>
                <w:b/>
                <w:bCs/>
                <w:color w:val="auto"/>
                <w:kern w:val="0"/>
                <w:sz w:val="28"/>
                <w:szCs w:val="28"/>
                <w:highlight w:val="none"/>
                <w:lang w:bidi="ar"/>
              </w:rPr>
              <w:t>专栏</w:t>
            </w:r>
            <w:r>
              <w:rPr>
                <w:rFonts w:hint="default" w:ascii="Times New Roman" w:hAnsi="Times New Roman" w:eastAsia="黑体" w:cs="Times New Roman"/>
                <w:b/>
                <w:bCs/>
                <w:color w:val="auto"/>
                <w:kern w:val="0"/>
                <w:sz w:val="28"/>
                <w:szCs w:val="28"/>
                <w:highlight w:val="none"/>
                <w:lang w:val="en-US" w:eastAsia="zh-CN" w:bidi="ar"/>
              </w:rPr>
              <w:t xml:space="preserve">14 </w:t>
            </w:r>
            <w:r>
              <w:rPr>
                <w:rFonts w:hint="default" w:ascii="Times New Roman" w:hAnsi="Times New Roman" w:eastAsia="黑体" w:cs="Times New Roman"/>
                <w:b/>
                <w:bCs/>
                <w:color w:val="auto"/>
                <w:kern w:val="0"/>
                <w:sz w:val="28"/>
                <w:szCs w:val="28"/>
                <w:highlight w:val="none"/>
                <w:lang w:bidi="ar"/>
              </w:rPr>
              <w:t xml:space="preserve"> </w:t>
            </w:r>
            <w:r>
              <w:rPr>
                <w:rFonts w:hint="default" w:ascii="Times New Roman" w:hAnsi="Times New Roman" w:eastAsia="黑体" w:cs="Times New Roman"/>
                <w:b/>
                <w:bCs/>
                <w:color w:val="auto"/>
                <w:kern w:val="0"/>
                <w:sz w:val="28"/>
                <w:szCs w:val="28"/>
                <w:highlight w:val="none"/>
                <w:lang w:val="en-US" w:eastAsia="zh-CN" w:bidi="ar"/>
              </w:rPr>
              <w:t>构建智慧服务体系网络重点工程</w:t>
            </w:r>
          </w:p>
        </w:tc>
      </w:tr>
      <w:tr w14:paraId="01390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tcPr>
          <w:p w14:paraId="2E4BC742">
            <w:pPr>
              <w:keepNext w:val="0"/>
              <w:keepLines w:val="0"/>
              <w:pageBreakBefore w:val="0"/>
              <w:widowControl/>
              <w:numPr>
                <w:ilvl w:val="0"/>
                <w:numId w:val="23"/>
              </w:numPr>
              <w:kinsoku/>
              <w:wordWrap/>
              <w:overflowPunct/>
              <w:topLinePunct w:val="0"/>
              <w:autoSpaceDE/>
              <w:autoSpaceDN/>
              <w:bidi w:val="0"/>
              <w:adjustRightInd w:val="0"/>
              <w:snapToGrid w:val="0"/>
              <w:spacing w:line="440" w:lineRule="exact"/>
              <w:ind w:left="420" w:leftChars="0" w:hanging="420" w:firstLineChars="0"/>
              <w:jc w:val="left"/>
              <w:textAlignment w:val="auto"/>
              <w:rPr>
                <w:rFonts w:hint="default" w:ascii="Times New Roman" w:hAnsi="Times New Roman" w:eastAsia="仿宋_GB2312" w:cs="Times New Roman"/>
                <w:color w:val="auto"/>
                <w:kern w:val="2"/>
                <w:sz w:val="28"/>
                <w:szCs w:val="28"/>
                <w:highlight w:val="none"/>
                <w:lang w:eastAsia="zh-CN"/>
              </w:rPr>
            </w:pPr>
            <w:r>
              <w:rPr>
                <w:rFonts w:hint="default" w:ascii="Times New Roman" w:hAnsi="Times New Roman" w:eastAsia="仿宋_GB2312" w:cs="Times New Roman"/>
                <w:b/>
                <w:bCs/>
                <w:color w:val="auto"/>
                <w:kern w:val="2"/>
                <w:sz w:val="28"/>
                <w:szCs w:val="28"/>
                <w:highlight w:val="none"/>
                <w:lang w:val="en-US" w:eastAsia="zh-CN"/>
              </w:rPr>
              <w:t>新一代网络基础设施建设</w:t>
            </w:r>
            <w:r>
              <w:rPr>
                <w:rFonts w:hint="default" w:ascii="Times New Roman" w:hAnsi="Times New Roman" w:eastAsia="仿宋_GB2312" w:cs="Times New Roman"/>
                <w:color w:val="auto"/>
                <w:kern w:val="2"/>
                <w:sz w:val="28"/>
                <w:szCs w:val="28"/>
                <w:highlight w:val="none"/>
                <w:lang w:val="en-US" w:eastAsia="zh-CN"/>
              </w:rPr>
              <w:t>：开展理县智慧广播电视双向网络有线无线卫星高清数字电视协同覆盖项目</w:t>
            </w:r>
            <w:r>
              <w:rPr>
                <w:rFonts w:hint="eastAsia" w:cs="Times New Roman"/>
                <w:color w:val="auto"/>
                <w:kern w:val="2"/>
                <w:sz w:val="28"/>
                <w:szCs w:val="28"/>
                <w:highlight w:val="none"/>
                <w:lang w:val="en-US" w:eastAsia="zh-CN"/>
              </w:rPr>
              <w:t>论证</w:t>
            </w:r>
            <w:r>
              <w:rPr>
                <w:rFonts w:hint="default" w:ascii="Times New Roman" w:hAnsi="Times New Roman" w:eastAsia="仿宋_GB2312" w:cs="Times New Roman"/>
                <w:color w:val="auto"/>
                <w:kern w:val="2"/>
                <w:sz w:val="28"/>
                <w:szCs w:val="28"/>
                <w:highlight w:val="none"/>
                <w:lang w:val="en-US" w:eastAsia="zh-CN"/>
              </w:rPr>
              <w:t>工作。</w:t>
            </w:r>
          </w:p>
          <w:p w14:paraId="5873099E">
            <w:pPr>
              <w:keepNext w:val="0"/>
              <w:keepLines w:val="0"/>
              <w:pageBreakBefore w:val="0"/>
              <w:widowControl/>
              <w:numPr>
                <w:ilvl w:val="0"/>
                <w:numId w:val="23"/>
              </w:numPr>
              <w:kinsoku/>
              <w:wordWrap/>
              <w:overflowPunct/>
              <w:topLinePunct w:val="0"/>
              <w:autoSpaceDE/>
              <w:autoSpaceDN/>
              <w:bidi w:val="0"/>
              <w:adjustRightInd w:val="0"/>
              <w:snapToGrid w:val="0"/>
              <w:spacing w:line="440" w:lineRule="exact"/>
              <w:ind w:left="420" w:leftChars="0" w:hanging="420" w:firstLineChars="0"/>
              <w:jc w:val="left"/>
              <w:textAlignment w:val="auto"/>
              <w:rPr>
                <w:rFonts w:hint="default" w:ascii="Times New Roman" w:hAnsi="Times New Roman" w:eastAsia="仿宋_GB2312" w:cs="Times New Roman"/>
                <w:color w:val="auto"/>
                <w:kern w:val="2"/>
                <w:sz w:val="28"/>
                <w:szCs w:val="28"/>
                <w:highlight w:val="none"/>
                <w:lang w:eastAsia="zh-CN"/>
              </w:rPr>
            </w:pPr>
            <w:r>
              <w:rPr>
                <w:rFonts w:hint="default" w:ascii="Times New Roman" w:hAnsi="Times New Roman" w:eastAsia="仿宋_GB2312" w:cs="Times New Roman"/>
                <w:b/>
                <w:bCs/>
                <w:color w:val="auto"/>
                <w:kern w:val="2"/>
                <w:sz w:val="28"/>
                <w:szCs w:val="28"/>
                <w:highlight w:val="none"/>
                <w:lang w:val="en-US" w:eastAsia="zh-CN"/>
              </w:rPr>
              <w:t>“智慧”理县建设</w:t>
            </w:r>
            <w:r>
              <w:rPr>
                <w:rFonts w:hint="default" w:ascii="Times New Roman" w:hAnsi="Times New Roman" w:eastAsia="仿宋_GB2312" w:cs="Times New Roman"/>
                <w:color w:val="auto"/>
                <w:kern w:val="2"/>
                <w:sz w:val="28"/>
                <w:szCs w:val="28"/>
                <w:highlight w:val="none"/>
                <w:lang w:val="en-US" w:eastAsia="zh-CN"/>
              </w:rPr>
              <w:t>：开展理县公安天网二期升级改造</w:t>
            </w:r>
            <w:r>
              <w:rPr>
                <w:rFonts w:hint="eastAsia" w:cs="Times New Roman"/>
                <w:color w:val="auto"/>
                <w:kern w:val="2"/>
                <w:sz w:val="28"/>
                <w:szCs w:val="28"/>
                <w:highlight w:val="none"/>
                <w:lang w:val="en-US" w:eastAsia="zh-CN"/>
              </w:rPr>
              <w:t>、智慧天网视频安全交互平台、智慧公安情指行一体化合成作战平台建设、多彩理县APP融合服务提升大数据中心以及</w:t>
            </w:r>
            <w:r>
              <w:rPr>
                <w:rFonts w:hint="default" w:ascii="Times New Roman" w:hAnsi="Times New Roman" w:eastAsia="仿宋_GB2312" w:cs="Times New Roman"/>
                <w:color w:val="auto"/>
                <w:kern w:val="2"/>
                <w:sz w:val="28"/>
                <w:szCs w:val="28"/>
                <w:highlight w:val="none"/>
                <w:lang w:val="en-US" w:eastAsia="zh-CN"/>
              </w:rPr>
              <w:t>雪亮一</w:t>
            </w:r>
            <w:r>
              <w:rPr>
                <w:rFonts w:hint="eastAsia" w:cs="Times New Roman"/>
                <w:color w:val="auto"/>
                <w:kern w:val="2"/>
                <w:sz w:val="28"/>
                <w:szCs w:val="28"/>
                <w:highlight w:val="none"/>
                <w:lang w:val="en-US" w:eastAsia="zh-CN"/>
              </w:rPr>
              <w:t>、二</w:t>
            </w:r>
            <w:r>
              <w:rPr>
                <w:rFonts w:hint="default" w:ascii="Times New Roman" w:hAnsi="Times New Roman" w:eastAsia="仿宋_GB2312" w:cs="Times New Roman"/>
                <w:color w:val="auto"/>
                <w:kern w:val="2"/>
                <w:sz w:val="28"/>
                <w:szCs w:val="28"/>
                <w:highlight w:val="none"/>
                <w:lang w:val="en-US" w:eastAsia="zh-CN"/>
              </w:rPr>
              <w:t>期升级改造</w:t>
            </w:r>
            <w:r>
              <w:rPr>
                <w:rFonts w:hint="eastAsia" w:cs="Times New Roman"/>
                <w:color w:val="auto"/>
                <w:kern w:val="2"/>
                <w:sz w:val="28"/>
                <w:szCs w:val="28"/>
                <w:highlight w:val="none"/>
                <w:lang w:val="en-US" w:eastAsia="zh-CN"/>
              </w:rPr>
              <w:t>、理县新型智慧城市建设、理县智慧赋能精细管城建设等项目论证</w:t>
            </w:r>
            <w:r>
              <w:rPr>
                <w:rFonts w:hint="default" w:ascii="Times New Roman" w:hAnsi="Times New Roman" w:eastAsia="仿宋_GB2312" w:cs="Times New Roman"/>
                <w:color w:val="auto"/>
                <w:kern w:val="2"/>
                <w:sz w:val="28"/>
                <w:szCs w:val="28"/>
                <w:highlight w:val="none"/>
                <w:lang w:val="en-US" w:eastAsia="zh-CN"/>
              </w:rPr>
              <w:t>工作。</w:t>
            </w:r>
          </w:p>
        </w:tc>
      </w:tr>
    </w:tbl>
    <w:p w14:paraId="14FADE33">
      <w:pPr>
        <w:jc w:val="left"/>
        <w:rPr>
          <w:rFonts w:hint="default" w:ascii="Times New Roman" w:hAnsi="Times New Roman" w:eastAsia="方正小标宋简体" w:cs="Times New Roman"/>
          <w:color w:val="auto"/>
          <w:sz w:val="44"/>
          <w:szCs w:val="44"/>
          <w:highlight w:val="none"/>
          <w:lang w:val="en-US" w:eastAsia="zh-CN"/>
        </w:rPr>
        <w:sectPr>
          <w:pgSz w:w="11906" w:h="16838"/>
          <w:pgMar w:top="2098" w:right="1474" w:bottom="1984" w:left="1587" w:header="851" w:footer="992" w:gutter="0"/>
          <w:pgNumType w:fmt="numberInDash"/>
          <w:cols w:space="0" w:num="1"/>
          <w:rtlGutter w:val="0"/>
          <w:docGrid w:type="lines" w:linePitch="439" w:charSpace="0"/>
        </w:sectPr>
      </w:pPr>
      <w:r>
        <w:rPr>
          <w:rFonts w:hint="default" w:ascii="Times New Roman" w:hAnsi="Times New Roman" w:eastAsia="方正小标宋简体" w:cs="Times New Roman"/>
          <w:color w:val="auto"/>
          <w:sz w:val="32"/>
          <w:szCs w:val="22"/>
          <w:highlight w:val="none"/>
          <w:lang w:val="en-US" w:eastAsia="zh-CN"/>
        </w:rPr>
        <w:t xml:space="preserve">  </w:t>
      </w:r>
    </w:p>
    <w:p w14:paraId="3F527FCF">
      <w:pPr>
        <w:keepNext w:val="0"/>
        <w:keepLines w:val="0"/>
        <w:pageBreakBefore w:val="0"/>
        <w:widowControl w:val="0"/>
        <w:numPr>
          <w:ilvl w:val="0"/>
          <w:numId w:val="3"/>
        </w:numPr>
        <w:kinsoku/>
        <w:wordWrap/>
        <w:overflowPunct/>
        <w:topLinePunct w:val="0"/>
        <w:autoSpaceDE/>
        <w:autoSpaceDN/>
        <w:bidi w:val="0"/>
        <w:adjustRightInd/>
        <w:snapToGrid w:val="0"/>
        <w:spacing w:before="313" w:beforeLines="100" w:after="313" w:afterLines="100" w:line="560" w:lineRule="exact"/>
        <w:ind w:left="0" w:leftChars="0" w:firstLine="0" w:firstLineChars="0"/>
        <w:jc w:val="center"/>
        <w:textAlignment w:val="auto"/>
        <w:outlineLvl w:val="0"/>
        <w:rPr>
          <w:rFonts w:hint="default" w:ascii="Times New Roman" w:hAnsi="Times New Roman" w:eastAsia="方正小标宋简体" w:cs="Times New Roman"/>
          <w:color w:val="auto"/>
          <w:kern w:val="2"/>
          <w:sz w:val="36"/>
          <w:szCs w:val="36"/>
          <w:highlight w:val="none"/>
          <w:lang w:val="en-US" w:eastAsia="zh-CN" w:bidi="ar-SA"/>
        </w:rPr>
      </w:pPr>
      <w:r>
        <w:rPr>
          <w:rFonts w:hint="default" w:ascii="Times New Roman" w:hAnsi="Times New Roman" w:eastAsia="方正小标宋简体" w:cs="Times New Roman"/>
          <w:color w:val="auto"/>
          <w:kern w:val="2"/>
          <w:sz w:val="36"/>
          <w:szCs w:val="36"/>
          <w:highlight w:val="none"/>
          <w:lang w:val="en-US" w:eastAsia="zh-CN" w:bidi="ar-SA"/>
        </w:rPr>
        <w:t xml:space="preserve"> </w:t>
      </w:r>
      <w:bookmarkStart w:id="355" w:name="_Toc8773"/>
      <w:bookmarkStart w:id="356" w:name="_Toc8374"/>
      <w:bookmarkStart w:id="357" w:name="_Toc10183"/>
      <w:bookmarkStart w:id="358" w:name="_Toc24761"/>
      <w:r>
        <w:rPr>
          <w:rFonts w:hint="default" w:ascii="Times New Roman" w:hAnsi="Times New Roman" w:eastAsia="方正小标宋简体" w:cs="Times New Roman"/>
          <w:color w:val="auto"/>
          <w:kern w:val="2"/>
          <w:sz w:val="44"/>
          <w:szCs w:val="44"/>
          <w:highlight w:val="none"/>
          <w:lang w:val="en-US" w:eastAsia="zh-CN" w:bidi="ar-SA"/>
        </w:rPr>
        <w:t>拓展对外开放多元格局，助力全域资源合作共赢</w:t>
      </w:r>
      <w:bookmarkEnd w:id="355"/>
      <w:bookmarkEnd w:id="356"/>
      <w:bookmarkEnd w:id="357"/>
      <w:bookmarkEnd w:id="358"/>
    </w:p>
    <w:p w14:paraId="1F8AC9C5">
      <w:pPr>
        <w:bidi w:val="0"/>
        <w:spacing w:line="560" w:lineRule="exact"/>
        <w:ind w:firstLine="640" w:firstLineChars="200"/>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深化国企、财税等重点领域改革，全面融入成渝地区双城经济圈，深化对口支援帮扶东西部协作，推动汶理茂和理小一体化发展，实施更大范围、更宽领域、更深层次对外开放，推动开放型经济高质量发展。</w:t>
      </w:r>
    </w:p>
    <w:p w14:paraId="35C748CE">
      <w:pPr>
        <w:keepNext/>
        <w:widowControl w:val="0"/>
        <w:numPr>
          <w:ilvl w:val="0"/>
          <w:numId w:val="1"/>
        </w:numPr>
        <w:bidi w:val="0"/>
        <w:snapToGrid w:val="0"/>
        <w:spacing w:before="100" w:beforeLines="100" w:after="100" w:afterLines="100" w:line="560" w:lineRule="exact"/>
        <w:ind w:left="0" w:leftChars="0" w:firstLine="0" w:firstLineChars="0"/>
        <w:jc w:val="center"/>
        <w:outlineLvl w:val="1"/>
        <w:rPr>
          <w:rFonts w:hint="default" w:ascii="Times New Roman" w:hAnsi="Times New Roman" w:eastAsia="黑体" w:cs="Times New Roman"/>
          <w:color w:val="auto"/>
          <w:kern w:val="2"/>
          <w:sz w:val="32"/>
          <w:szCs w:val="24"/>
          <w:highlight w:val="none"/>
          <w:lang w:val="en-US" w:eastAsia="zh-CN" w:bidi="ar-SA"/>
        </w:rPr>
      </w:pPr>
      <w:bookmarkStart w:id="359" w:name="_Toc11919"/>
      <w:bookmarkStart w:id="360" w:name="_Toc32177"/>
      <w:r>
        <w:rPr>
          <w:rFonts w:hint="default" w:ascii="Times New Roman" w:hAnsi="Times New Roman" w:eastAsia="黑体" w:cs="Times New Roman"/>
          <w:color w:val="auto"/>
          <w:kern w:val="2"/>
          <w:sz w:val="32"/>
          <w:szCs w:val="24"/>
          <w:highlight w:val="none"/>
          <w:lang w:val="en-US" w:eastAsia="zh-CN" w:bidi="ar-SA"/>
        </w:rPr>
        <w:t xml:space="preserve"> </w:t>
      </w:r>
      <w:bookmarkStart w:id="361" w:name="_Toc14815"/>
      <w:bookmarkStart w:id="362" w:name="_Toc11204"/>
      <w:r>
        <w:rPr>
          <w:rFonts w:hint="default" w:ascii="Times New Roman" w:hAnsi="Times New Roman" w:eastAsia="黑体" w:cs="Times New Roman"/>
          <w:color w:val="auto"/>
          <w:kern w:val="2"/>
          <w:sz w:val="32"/>
          <w:szCs w:val="24"/>
          <w:highlight w:val="none"/>
          <w:lang w:val="en-US" w:eastAsia="zh-CN" w:bidi="ar-SA"/>
        </w:rPr>
        <w:fldChar w:fldCharType="begin"/>
      </w:r>
      <w:r>
        <w:rPr>
          <w:rFonts w:hint="default" w:ascii="Times New Roman" w:hAnsi="Times New Roman" w:eastAsia="黑体" w:cs="Times New Roman"/>
          <w:color w:val="auto"/>
          <w:kern w:val="2"/>
          <w:sz w:val="32"/>
          <w:szCs w:val="24"/>
          <w:highlight w:val="none"/>
          <w:lang w:val="en-US" w:eastAsia="zh-CN" w:bidi="ar-SA"/>
        </w:rPr>
        <w:instrText xml:space="preserve"> HYPERLINK \l _Toc223 </w:instrText>
      </w:r>
      <w:r>
        <w:rPr>
          <w:rFonts w:hint="default" w:ascii="Times New Roman" w:hAnsi="Times New Roman" w:eastAsia="黑体" w:cs="Times New Roman"/>
          <w:color w:val="auto"/>
          <w:kern w:val="2"/>
          <w:sz w:val="32"/>
          <w:szCs w:val="24"/>
          <w:highlight w:val="none"/>
          <w:lang w:val="en-US" w:eastAsia="zh-CN" w:bidi="ar-SA"/>
        </w:rPr>
        <w:fldChar w:fldCharType="separate"/>
      </w:r>
      <w:r>
        <w:rPr>
          <w:rFonts w:hint="default" w:ascii="Times New Roman" w:hAnsi="Times New Roman" w:eastAsia="黑体" w:cs="Times New Roman"/>
          <w:color w:val="auto"/>
          <w:kern w:val="2"/>
          <w:sz w:val="32"/>
          <w:szCs w:val="24"/>
          <w:highlight w:val="none"/>
          <w:lang w:val="en-US" w:eastAsia="zh-CN" w:bidi="ar-SA"/>
        </w:rPr>
        <w:fldChar w:fldCharType="begin"/>
      </w:r>
      <w:r>
        <w:rPr>
          <w:rFonts w:hint="default" w:ascii="Times New Roman" w:hAnsi="Times New Roman" w:eastAsia="黑体" w:cs="Times New Roman"/>
          <w:color w:val="auto"/>
          <w:kern w:val="2"/>
          <w:sz w:val="32"/>
          <w:szCs w:val="24"/>
          <w:highlight w:val="none"/>
          <w:lang w:val="en-US" w:eastAsia="zh-CN" w:bidi="ar-SA"/>
        </w:rPr>
        <w:instrText xml:space="preserve"> HYPERLINK \l _Toc1391 </w:instrText>
      </w:r>
      <w:r>
        <w:rPr>
          <w:rFonts w:hint="default" w:ascii="Times New Roman" w:hAnsi="Times New Roman" w:eastAsia="黑体" w:cs="Times New Roman"/>
          <w:color w:val="auto"/>
          <w:kern w:val="2"/>
          <w:sz w:val="32"/>
          <w:szCs w:val="24"/>
          <w:highlight w:val="none"/>
          <w:lang w:val="en-US" w:eastAsia="zh-CN" w:bidi="ar-SA"/>
        </w:rPr>
        <w:fldChar w:fldCharType="separate"/>
      </w:r>
      <w:r>
        <w:rPr>
          <w:rFonts w:hint="default" w:ascii="Times New Roman" w:hAnsi="Times New Roman" w:eastAsia="黑体" w:cs="Times New Roman"/>
          <w:color w:val="auto"/>
          <w:kern w:val="2"/>
          <w:sz w:val="32"/>
          <w:szCs w:val="24"/>
          <w:highlight w:val="none"/>
          <w:lang w:val="en-US" w:eastAsia="zh-CN" w:bidi="ar-SA"/>
        </w:rPr>
        <w:t>聚焦重点领域深化改革</w:t>
      </w:r>
      <w:r>
        <w:rPr>
          <w:rFonts w:hint="default" w:ascii="Times New Roman" w:hAnsi="Times New Roman" w:eastAsia="黑体" w:cs="Times New Roman"/>
          <w:color w:val="auto"/>
          <w:kern w:val="2"/>
          <w:sz w:val="32"/>
          <w:szCs w:val="24"/>
          <w:highlight w:val="none"/>
          <w:lang w:val="en-US" w:eastAsia="zh-CN" w:bidi="ar-SA"/>
        </w:rPr>
        <w:fldChar w:fldCharType="end"/>
      </w:r>
      <w:r>
        <w:rPr>
          <w:rFonts w:hint="default" w:ascii="Times New Roman" w:hAnsi="Times New Roman" w:eastAsia="黑体" w:cs="Times New Roman"/>
          <w:color w:val="auto"/>
          <w:kern w:val="2"/>
          <w:sz w:val="32"/>
          <w:szCs w:val="24"/>
          <w:highlight w:val="none"/>
          <w:lang w:val="en-US" w:eastAsia="zh-CN" w:bidi="ar-SA"/>
        </w:rPr>
        <w:fldChar w:fldCharType="end"/>
      </w:r>
      <w:bookmarkEnd w:id="359"/>
      <w:bookmarkEnd w:id="360"/>
      <w:bookmarkEnd w:id="361"/>
      <w:bookmarkEnd w:id="362"/>
    </w:p>
    <w:p w14:paraId="0306CC6E">
      <w:pPr>
        <w:keepNext/>
        <w:widowControl w:val="0"/>
        <w:numPr>
          <w:ilvl w:val="0"/>
          <w:numId w:val="27"/>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363" w:name="_Toc12021"/>
      <w:bookmarkStart w:id="364" w:name="_Toc7602"/>
      <w:bookmarkStart w:id="365" w:name="_Toc10284"/>
      <w:bookmarkStart w:id="366" w:name="_Toc16572"/>
      <w:r>
        <w:rPr>
          <w:rFonts w:hint="default" w:ascii="Times New Roman" w:hAnsi="Times New Roman" w:eastAsia="楷体_GB2312" w:cs="Times New Roman"/>
          <w:b/>
          <w:bCs w:val="0"/>
          <w:color w:val="auto"/>
          <w:kern w:val="2"/>
          <w:sz w:val="32"/>
          <w:szCs w:val="32"/>
          <w:highlight w:val="none"/>
          <w:lang w:val="en-US" w:eastAsia="zh-CN" w:bidi="ar-SA"/>
        </w:rPr>
        <w:t>持续深化国资国企改革</w:t>
      </w:r>
      <w:bookmarkEnd w:id="363"/>
      <w:bookmarkEnd w:id="364"/>
      <w:bookmarkEnd w:id="365"/>
      <w:bookmarkEnd w:id="366"/>
    </w:p>
    <w:p w14:paraId="6AC4FC0D">
      <w:pPr>
        <w:bidi w:val="0"/>
        <w:spacing w:line="560" w:lineRule="exact"/>
        <w:ind w:left="0" w:leftChars="0" w:firstLine="640"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color w:val="auto"/>
          <w:sz w:val="32"/>
          <w:szCs w:val="32"/>
          <w:highlight w:val="none"/>
          <w:lang w:val="en-US" w:eastAsia="zh-CN"/>
        </w:rPr>
        <w:t>推进国有经济布局优化和结构调整，推动国有资本和国有企业做强做优做大，推动重点领域国有企业战略性重组和专业化整合。推动国有资本向关系国民经济命脉、民生的重要行业和关键领域集中。进一步明晰不同类型国有企业功能定位，完善主责主业管理，提升核心竞争力。深化国有资本投资、运营公司改革，推动国有企业建立健全有效制衡的现代企业治理体系、高度市场化和灵活高效的现代企业经营机制、激励和约束并重的现代企业管理机制。强化国资监管，完善国有资本经营预算和绩效评价制度，深化效率导向的国资经营评价制度改革，确保国有资产保值增值。积极培育和发展混合所有制经济，吸引更多资本参与国有企业改革，以市场化方式切实激发国有企业发展活力和内生动力。</w:t>
      </w:r>
    </w:p>
    <w:p w14:paraId="6C72EE29">
      <w:pPr>
        <w:keepNext/>
        <w:widowControl w:val="0"/>
        <w:numPr>
          <w:ilvl w:val="0"/>
          <w:numId w:val="27"/>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367" w:name="_Toc3737"/>
      <w:bookmarkStart w:id="368" w:name="_Toc2750"/>
      <w:bookmarkStart w:id="369" w:name="_Toc25769"/>
      <w:bookmarkStart w:id="370" w:name="_Toc24620"/>
      <w:r>
        <w:rPr>
          <w:rFonts w:hint="default" w:ascii="Times New Roman" w:hAnsi="Times New Roman" w:eastAsia="楷体_GB2312" w:cs="Times New Roman"/>
          <w:b/>
          <w:bCs w:val="0"/>
          <w:color w:val="auto"/>
          <w:kern w:val="2"/>
          <w:sz w:val="32"/>
          <w:szCs w:val="32"/>
          <w:highlight w:val="none"/>
          <w:lang w:val="en-US" w:eastAsia="zh-CN" w:bidi="ar-SA"/>
        </w:rPr>
        <w:t>建立现代财税金融体制</w:t>
      </w:r>
      <w:bookmarkEnd w:id="367"/>
      <w:bookmarkEnd w:id="368"/>
      <w:bookmarkEnd w:id="369"/>
      <w:bookmarkEnd w:id="370"/>
    </w:p>
    <w:p w14:paraId="1BB74094">
      <w:pPr>
        <w:widowControl w:val="0"/>
        <w:spacing w:line="560" w:lineRule="exact"/>
        <w:ind w:firstLine="640" w:firstLineChars="200"/>
        <w:jc w:val="both"/>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主动配合落实新一轮财税体制改革部署，加强财政资源统筹，强化财政中期管理，增强重大战略任务和基本民生财力保障。健全预算管理制度，全面推进预算绩效管理，严格预算控制，深化零基预算改革，完善预算公开和监督制度，提高预算管理统一性、规范性。深化区域金融改革，健全国有金融管理体制，加快普惠金融体系建设，完善财政金融互动政策体系，推动金融有效支持实体经济发展。加强风险防控，持续巩固金融风险化解成果，健全防范化解地方债务风险长效机制。</w:t>
      </w:r>
    </w:p>
    <w:p w14:paraId="1D651632">
      <w:pPr>
        <w:keepNext/>
        <w:widowControl w:val="0"/>
        <w:numPr>
          <w:ilvl w:val="0"/>
          <w:numId w:val="27"/>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371" w:name="_Toc26294"/>
      <w:bookmarkStart w:id="372" w:name="_Toc7959"/>
      <w:bookmarkStart w:id="373" w:name="_Toc4120"/>
      <w:bookmarkStart w:id="374" w:name="_Toc10966"/>
      <w:r>
        <w:rPr>
          <w:rFonts w:hint="default" w:ascii="Times New Roman" w:hAnsi="Times New Roman" w:eastAsia="楷体_GB2312" w:cs="Times New Roman"/>
          <w:b/>
          <w:bCs w:val="0"/>
          <w:color w:val="auto"/>
          <w:kern w:val="2"/>
          <w:sz w:val="32"/>
          <w:szCs w:val="32"/>
          <w:highlight w:val="none"/>
          <w:lang w:val="en-US" w:eastAsia="zh-CN" w:bidi="ar-SA"/>
        </w:rPr>
        <w:t>推进景区管理体制改革</w:t>
      </w:r>
      <w:bookmarkEnd w:id="371"/>
      <w:bookmarkEnd w:id="372"/>
      <w:bookmarkEnd w:id="373"/>
      <w:bookmarkEnd w:id="374"/>
    </w:p>
    <w:p w14:paraId="0808DC5C">
      <w:pPr>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color w:val="auto"/>
          <w:sz w:val="32"/>
          <w:szCs w:val="22"/>
          <w:highlight w:val="none"/>
          <w:lang w:eastAsia="zh-CN"/>
        </w:rPr>
        <w:t>以景区所有权、管理权、经营权“三权分置”为突破口，探索“管委会+公司”的管理体制，加快建立更加精简高效的管理体制、更加灵活实用的开发运营机制。</w:t>
      </w:r>
      <w:r>
        <w:rPr>
          <w:rFonts w:hint="default" w:ascii="Times New Roman" w:hAnsi="Times New Roman" w:eastAsia="仿宋_GB2312" w:cs="Times New Roman"/>
          <w:color w:val="auto"/>
          <w:sz w:val="32"/>
          <w:szCs w:val="22"/>
          <w:highlight w:val="none"/>
          <w:lang w:val="en-US" w:eastAsia="zh-CN"/>
        </w:rPr>
        <w:t>深化经营机制改革，加快市场化转型，鼓励组建专业运营公司或通过政府购买服务、委托外包方式选择专业化机构参与开发、建设、招商和运营，实现专业化管理。开展岗位聘用制改革，探索建立运营绩效评估机制，将考评结果与绩效评定、干部选拔任免及预算管理等内容进行挂钩。支持打包国有景区周边的土地、房屋等优质资产注入企业，支持国有旅游龙头企业以资产划转、重组整合、兼并收购等方式持续做强做优。鼓励多种投资主体参与景区开发，支持旅游骨干企业以委托经营、特许经营、租赁经营、混合所有制等方式参与国有景区体制机制改革。</w:t>
      </w:r>
    </w:p>
    <w:p w14:paraId="33B2E4C5">
      <w:pPr>
        <w:keepNext/>
        <w:widowControl w:val="0"/>
        <w:numPr>
          <w:ilvl w:val="0"/>
          <w:numId w:val="1"/>
        </w:numPr>
        <w:bidi w:val="0"/>
        <w:snapToGrid w:val="0"/>
        <w:spacing w:before="100" w:beforeLines="100" w:after="100" w:afterLines="100" w:line="560" w:lineRule="exact"/>
        <w:ind w:left="0" w:leftChars="0" w:firstLine="0" w:firstLineChars="0"/>
        <w:jc w:val="center"/>
        <w:outlineLvl w:val="1"/>
        <w:rPr>
          <w:rFonts w:hint="default" w:ascii="Times New Roman" w:hAnsi="Times New Roman" w:eastAsia="黑体" w:cs="Times New Roman"/>
          <w:color w:val="auto"/>
          <w:kern w:val="2"/>
          <w:sz w:val="32"/>
          <w:szCs w:val="24"/>
          <w:highlight w:val="none"/>
          <w:lang w:val="en-US" w:eastAsia="zh-CN" w:bidi="ar-SA"/>
        </w:rPr>
      </w:pPr>
      <w:bookmarkStart w:id="375" w:name="_Toc27971"/>
      <w:bookmarkStart w:id="376" w:name="_Toc16278"/>
      <w:r>
        <w:rPr>
          <w:rFonts w:hint="default" w:ascii="Times New Roman" w:hAnsi="Times New Roman" w:eastAsia="黑体" w:cs="Times New Roman"/>
          <w:color w:val="auto"/>
          <w:kern w:val="2"/>
          <w:sz w:val="32"/>
          <w:szCs w:val="24"/>
          <w:highlight w:val="none"/>
          <w:lang w:val="en-US" w:eastAsia="zh-CN" w:bidi="ar-SA"/>
        </w:rPr>
        <w:t xml:space="preserve"> </w:t>
      </w:r>
      <w:bookmarkStart w:id="377" w:name="_Toc29474"/>
      <w:bookmarkStart w:id="378" w:name="_Toc7704"/>
      <w:r>
        <w:rPr>
          <w:rFonts w:hint="default" w:ascii="Times New Roman" w:hAnsi="Times New Roman" w:eastAsia="黑体" w:cs="Times New Roman"/>
          <w:color w:val="auto"/>
          <w:kern w:val="2"/>
          <w:sz w:val="32"/>
          <w:szCs w:val="24"/>
          <w:highlight w:val="none"/>
          <w:lang w:val="en-US" w:eastAsia="zh-CN" w:bidi="ar-SA"/>
        </w:rPr>
        <w:fldChar w:fldCharType="begin"/>
      </w:r>
      <w:r>
        <w:rPr>
          <w:rFonts w:hint="default" w:ascii="Times New Roman" w:hAnsi="Times New Roman" w:eastAsia="黑体" w:cs="Times New Roman"/>
          <w:color w:val="auto"/>
          <w:kern w:val="2"/>
          <w:sz w:val="32"/>
          <w:szCs w:val="24"/>
          <w:highlight w:val="none"/>
          <w:lang w:val="en-US" w:eastAsia="zh-CN" w:bidi="ar-SA"/>
        </w:rPr>
        <w:instrText xml:space="preserve"> HYPERLINK \l _Toc223 </w:instrText>
      </w:r>
      <w:r>
        <w:rPr>
          <w:rFonts w:hint="default" w:ascii="Times New Roman" w:hAnsi="Times New Roman" w:eastAsia="黑体" w:cs="Times New Roman"/>
          <w:color w:val="auto"/>
          <w:kern w:val="2"/>
          <w:sz w:val="32"/>
          <w:szCs w:val="24"/>
          <w:highlight w:val="none"/>
          <w:lang w:val="en-US" w:eastAsia="zh-CN" w:bidi="ar-SA"/>
        </w:rPr>
        <w:fldChar w:fldCharType="separate"/>
      </w:r>
      <w:r>
        <w:rPr>
          <w:rFonts w:hint="default" w:ascii="Times New Roman" w:hAnsi="Times New Roman" w:eastAsia="黑体" w:cs="Times New Roman"/>
          <w:color w:val="auto"/>
          <w:kern w:val="2"/>
          <w:sz w:val="32"/>
          <w:szCs w:val="24"/>
          <w:highlight w:val="none"/>
          <w:lang w:val="en-US" w:eastAsia="zh-CN" w:bidi="ar-SA"/>
        </w:rPr>
        <w:fldChar w:fldCharType="begin"/>
      </w:r>
      <w:r>
        <w:rPr>
          <w:rFonts w:hint="default" w:ascii="Times New Roman" w:hAnsi="Times New Roman" w:eastAsia="黑体" w:cs="Times New Roman"/>
          <w:color w:val="auto"/>
          <w:kern w:val="2"/>
          <w:sz w:val="32"/>
          <w:szCs w:val="24"/>
          <w:highlight w:val="none"/>
          <w:lang w:val="en-US" w:eastAsia="zh-CN" w:bidi="ar-SA"/>
        </w:rPr>
        <w:instrText xml:space="preserve"> HYPERLINK \l _Toc1391 </w:instrText>
      </w:r>
      <w:r>
        <w:rPr>
          <w:rFonts w:hint="default" w:ascii="Times New Roman" w:hAnsi="Times New Roman" w:eastAsia="黑体" w:cs="Times New Roman"/>
          <w:color w:val="auto"/>
          <w:kern w:val="2"/>
          <w:sz w:val="32"/>
          <w:szCs w:val="24"/>
          <w:highlight w:val="none"/>
          <w:lang w:val="en-US" w:eastAsia="zh-CN" w:bidi="ar-SA"/>
        </w:rPr>
        <w:fldChar w:fldCharType="separate"/>
      </w:r>
      <w:r>
        <w:rPr>
          <w:rFonts w:hint="default" w:ascii="Times New Roman" w:hAnsi="Times New Roman" w:eastAsia="黑体" w:cs="Times New Roman"/>
          <w:color w:val="auto"/>
          <w:kern w:val="2"/>
          <w:sz w:val="32"/>
          <w:szCs w:val="24"/>
          <w:highlight w:val="none"/>
          <w:lang w:val="en-US" w:eastAsia="zh-CN" w:bidi="ar-SA"/>
        </w:rPr>
        <w:t>聚力区域协作合作共赢</w:t>
      </w:r>
      <w:r>
        <w:rPr>
          <w:rFonts w:hint="default" w:ascii="Times New Roman" w:hAnsi="Times New Roman" w:eastAsia="黑体" w:cs="Times New Roman"/>
          <w:color w:val="auto"/>
          <w:kern w:val="2"/>
          <w:sz w:val="32"/>
          <w:szCs w:val="24"/>
          <w:highlight w:val="none"/>
          <w:lang w:val="en-US" w:eastAsia="zh-CN" w:bidi="ar-SA"/>
        </w:rPr>
        <w:fldChar w:fldCharType="end"/>
      </w:r>
      <w:r>
        <w:rPr>
          <w:rFonts w:hint="default" w:ascii="Times New Roman" w:hAnsi="Times New Roman" w:eastAsia="黑体" w:cs="Times New Roman"/>
          <w:color w:val="auto"/>
          <w:kern w:val="2"/>
          <w:sz w:val="32"/>
          <w:szCs w:val="24"/>
          <w:highlight w:val="none"/>
          <w:lang w:val="en-US" w:eastAsia="zh-CN" w:bidi="ar-SA"/>
        </w:rPr>
        <w:fldChar w:fldCharType="end"/>
      </w:r>
      <w:bookmarkEnd w:id="375"/>
      <w:bookmarkEnd w:id="376"/>
      <w:bookmarkEnd w:id="377"/>
      <w:bookmarkEnd w:id="378"/>
    </w:p>
    <w:p w14:paraId="77BD777D">
      <w:pPr>
        <w:keepNext/>
        <w:widowControl w:val="0"/>
        <w:numPr>
          <w:ilvl w:val="0"/>
          <w:numId w:val="28"/>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379" w:name="_Toc14390"/>
      <w:bookmarkStart w:id="380" w:name="_Toc25324"/>
      <w:bookmarkStart w:id="381" w:name="_Toc30645"/>
      <w:bookmarkStart w:id="382" w:name="_Toc5481"/>
      <w:r>
        <w:rPr>
          <w:rFonts w:hint="default" w:ascii="Times New Roman" w:hAnsi="Times New Roman" w:eastAsia="楷体_GB2312" w:cs="Times New Roman"/>
          <w:b/>
          <w:bCs w:val="0"/>
          <w:color w:val="auto"/>
          <w:kern w:val="2"/>
          <w:sz w:val="32"/>
          <w:szCs w:val="32"/>
          <w:highlight w:val="none"/>
          <w:lang w:val="en-US" w:eastAsia="zh-CN" w:bidi="ar-SA"/>
        </w:rPr>
        <w:t>全面融入成渝地区双城经济圈</w:t>
      </w:r>
      <w:bookmarkEnd w:id="379"/>
      <w:bookmarkEnd w:id="380"/>
      <w:bookmarkEnd w:id="381"/>
      <w:bookmarkEnd w:id="382"/>
    </w:p>
    <w:p w14:paraId="6EA9EB55">
      <w:pPr>
        <w:bidi w:val="0"/>
        <w:spacing w:line="560" w:lineRule="exact"/>
        <w:ind w:firstLine="640" w:firstLineChars="200"/>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依托成都、重庆核心城市引领带动作用，积极推进与成都、重庆、遂宁、德阳、绵阳等城市区域协同发展，加强文旅、商贸、文化艺术等方面合作。融入巴蜀文化旅游走廊建设，强化与重庆、成都文旅资源整合，联合开展文化旅游项目推广营销，共同打造以生态康养、研学旅行、休闲度假为核心的成渝—理县联程旅游线路。以商贸为纽带强化特色农产品供应链建设，与重庆、成都的大型商超和农产品批发市场建立直供渠道，深化食品加工产业合作，构建高效农产品产销通道。促进藏羌文化传承与区域互动，加强群众文化交流，联合举办文化展演、非遗体验等活动，共建文化交流平台，共同参与文化遗产保护与研究，携手推动文化创意产业发展，开发更具市场竞争力的文创产品。</w:t>
      </w:r>
    </w:p>
    <w:p w14:paraId="017913F5">
      <w:pPr>
        <w:keepNext/>
        <w:widowControl w:val="0"/>
        <w:numPr>
          <w:ilvl w:val="0"/>
          <w:numId w:val="28"/>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383" w:name="_Toc7832"/>
      <w:bookmarkStart w:id="384" w:name="_Toc27325"/>
      <w:bookmarkStart w:id="385" w:name="_Toc1990"/>
      <w:bookmarkStart w:id="386" w:name="_Toc15932"/>
      <w:r>
        <w:rPr>
          <w:rFonts w:hint="default" w:ascii="Times New Roman" w:hAnsi="Times New Roman" w:eastAsia="楷体_GB2312" w:cs="Times New Roman"/>
          <w:b/>
          <w:bCs w:val="0"/>
          <w:color w:val="auto"/>
          <w:kern w:val="2"/>
          <w:sz w:val="32"/>
          <w:szCs w:val="32"/>
          <w:highlight w:val="none"/>
          <w:lang w:val="en-US" w:eastAsia="zh-CN" w:bidi="ar-SA"/>
        </w:rPr>
        <w:t>深化对口支援帮扶东西部协作</w:t>
      </w:r>
      <w:bookmarkEnd w:id="383"/>
      <w:bookmarkEnd w:id="384"/>
      <w:bookmarkEnd w:id="385"/>
      <w:bookmarkEnd w:id="386"/>
    </w:p>
    <w:p w14:paraId="615F789D">
      <w:pPr>
        <w:bidi w:val="0"/>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color w:val="auto"/>
          <w:sz w:val="32"/>
          <w:szCs w:val="32"/>
          <w:highlight w:val="none"/>
          <w:lang w:val="en-US" w:eastAsia="zh-CN"/>
        </w:rPr>
        <w:t>深化乐理、遂理等全方位对接联系，用好东西部协作和对口支援、结对帮扶等平台，加强产业发展、转移就业、人才培养等领域合作。积极承接东部产业转移，加强联合宣传推介，</w:t>
      </w:r>
      <w:r>
        <w:rPr>
          <w:rFonts w:hint="default" w:ascii="Times New Roman" w:hAnsi="Times New Roman" w:eastAsia="仿宋_GB2312" w:cs="Times New Roman"/>
          <w:color w:val="auto"/>
          <w:sz w:val="32"/>
          <w:szCs w:val="22"/>
          <w:highlight w:val="none"/>
        </w:rPr>
        <w:t>引导更多重大企业到理县、到“飞地园区”投资兴业</w:t>
      </w:r>
      <w:r>
        <w:rPr>
          <w:rFonts w:hint="default" w:ascii="Times New Roman" w:hAnsi="Times New Roman" w:eastAsia="仿宋_GB2312" w:cs="Times New Roman"/>
          <w:color w:val="auto"/>
          <w:sz w:val="32"/>
          <w:szCs w:val="32"/>
          <w:highlight w:val="none"/>
          <w:lang w:val="en-US" w:eastAsia="zh-CN"/>
        </w:rPr>
        <w:t>。完善转移就业劳务协作机制，开展定制化职业技能培训，建立精准的岗位信息对接和输送机制。加强人才培养与交流，支持基础设施援建，深化教育、医疗结对协作，推动科技成果转化和应用，鼓励互派干部、专业技术人才挂职锻炼，建立定期会商协调机制。</w:t>
      </w:r>
    </w:p>
    <w:p w14:paraId="563975D2">
      <w:pPr>
        <w:keepNext/>
        <w:widowControl w:val="0"/>
        <w:numPr>
          <w:ilvl w:val="0"/>
          <w:numId w:val="28"/>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387" w:name="_Toc7079"/>
      <w:bookmarkStart w:id="388" w:name="_Toc32592"/>
      <w:bookmarkStart w:id="389" w:name="_Toc4002"/>
      <w:bookmarkStart w:id="390" w:name="_Toc7692"/>
      <w:r>
        <w:rPr>
          <w:rFonts w:hint="default" w:ascii="Times New Roman" w:hAnsi="Times New Roman" w:eastAsia="楷体_GB2312" w:cs="Times New Roman"/>
          <w:b/>
          <w:bCs w:val="0"/>
          <w:color w:val="auto"/>
          <w:kern w:val="2"/>
          <w:sz w:val="32"/>
          <w:szCs w:val="32"/>
          <w:highlight w:val="none"/>
          <w:lang w:val="en-US" w:eastAsia="zh-CN" w:bidi="ar-SA"/>
        </w:rPr>
        <w:t>推动汶理茂和理小一体化发展</w:t>
      </w:r>
      <w:bookmarkEnd w:id="387"/>
      <w:bookmarkEnd w:id="388"/>
      <w:bookmarkEnd w:id="389"/>
      <w:bookmarkEnd w:id="390"/>
    </w:p>
    <w:p w14:paraId="5544105A">
      <w:pPr>
        <w:bidi w:val="0"/>
        <w:spacing w:line="560" w:lineRule="exact"/>
        <w:ind w:firstLine="640" w:firstLineChars="200"/>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逐步打破行政区划壁垒，推动汶川、理县、茂县、小金形成交通互联、产业共育、文旅共兴、生态共治、民生共建的一体化发展新格局，树立阿坝州东南部片区协同发展典范。构建高效便捷的区域网络，协同推进国道、理小路、轨道交通沿线建设规划与重点项目实施。推动产业区域融合，推动特色农业、民宿集群和农产品加工联动发展，支持共建专家库、产业联合招商等协作机制。共建精品旅游线路，整合汶川大禹文化、理县自然生态、茂县羌文化、小金红色文化等资源，共同打造区域旅游品牌。推动岷江流域生态保护合作机制，共同推进水土保持、地质灾害防治、水源涵养等工作，共筑长江上游生态屏障。推动公共服务共享，建立区域教育、医疗资源共享机制，鼓励学校、医院结对合作。联合向上争取重大项目支持，重大事项专班跟进、会商决策。</w:t>
      </w:r>
    </w:p>
    <w:p w14:paraId="45A2202A">
      <w:pPr>
        <w:keepNext/>
        <w:widowControl w:val="0"/>
        <w:numPr>
          <w:ilvl w:val="0"/>
          <w:numId w:val="28"/>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391" w:name="_Toc6686"/>
      <w:bookmarkStart w:id="392" w:name="_Toc31603"/>
      <w:bookmarkStart w:id="393" w:name="_Toc25232"/>
      <w:bookmarkStart w:id="394" w:name="_Toc12018"/>
      <w:r>
        <w:rPr>
          <w:rFonts w:hint="default" w:ascii="Times New Roman" w:hAnsi="Times New Roman" w:eastAsia="楷体_GB2312" w:cs="Times New Roman"/>
          <w:b/>
          <w:bCs w:val="0"/>
          <w:color w:val="auto"/>
          <w:kern w:val="2"/>
          <w:sz w:val="32"/>
          <w:szCs w:val="32"/>
          <w:highlight w:val="none"/>
          <w:lang w:val="en-US" w:eastAsia="zh-CN" w:bidi="ar-SA"/>
        </w:rPr>
        <w:t>加强对外经贸科教合作交流</w:t>
      </w:r>
      <w:bookmarkEnd w:id="391"/>
      <w:bookmarkEnd w:id="392"/>
      <w:bookmarkEnd w:id="393"/>
      <w:bookmarkEnd w:id="394"/>
    </w:p>
    <w:p w14:paraId="2AB42B5C">
      <w:pPr>
        <w:bidi w:val="0"/>
        <w:spacing w:line="560" w:lineRule="exact"/>
        <w:ind w:firstLine="640" w:firstLineChars="200"/>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深入推进校地共建合作，进一步加强与科研院所及高校的协同联动，重点联合四川省农业科学院、四川农业大学等院校，共同建设高水平农业科技示范与实训基地，推动科技成果转化落地，打造集科研试验、示范推广、人才培训于一体的综合合作平台，促进产学研用深度融合。着力培育一批具有竞争力的外贸出口企业，支持农特产品出口基地建设，培育一批具有</w:t>
      </w:r>
      <w:r>
        <w:rPr>
          <w:rFonts w:hint="eastAsia" w:cs="Times New Roman"/>
          <w:color w:val="auto"/>
          <w:sz w:val="32"/>
          <w:szCs w:val="32"/>
          <w:highlight w:val="none"/>
          <w:lang w:val="en-US" w:eastAsia="zh-CN"/>
        </w:rPr>
        <w:t>深远</w:t>
      </w:r>
      <w:r>
        <w:rPr>
          <w:rFonts w:hint="default" w:ascii="Times New Roman" w:hAnsi="Times New Roman" w:eastAsia="仿宋_GB2312" w:cs="Times New Roman"/>
          <w:color w:val="auto"/>
          <w:sz w:val="32"/>
          <w:szCs w:val="32"/>
          <w:highlight w:val="none"/>
          <w:lang w:val="en-US" w:eastAsia="zh-CN"/>
        </w:rPr>
        <w:t>影响力的农特产品外贸品牌。探索发展跨境电商业态，以文创产品为突破口，推动传统工艺、非遗产品与跨境电商融合创新。</w:t>
      </w:r>
    </w:p>
    <w:p w14:paraId="0850DC94">
      <w:pPr>
        <w:keepNext/>
        <w:widowControl w:val="0"/>
        <w:numPr>
          <w:ilvl w:val="0"/>
          <w:numId w:val="1"/>
        </w:numPr>
        <w:bidi w:val="0"/>
        <w:snapToGrid w:val="0"/>
        <w:spacing w:before="100" w:beforeLines="100" w:after="100" w:afterLines="100" w:line="560" w:lineRule="exact"/>
        <w:ind w:left="0" w:leftChars="0" w:firstLine="0" w:firstLineChars="0"/>
        <w:jc w:val="center"/>
        <w:outlineLvl w:val="1"/>
        <w:rPr>
          <w:rFonts w:hint="default" w:ascii="Times New Roman" w:hAnsi="Times New Roman" w:eastAsia="黑体" w:cs="Times New Roman"/>
          <w:color w:val="auto"/>
          <w:kern w:val="2"/>
          <w:sz w:val="32"/>
          <w:szCs w:val="24"/>
          <w:highlight w:val="none"/>
          <w:lang w:val="en-US" w:eastAsia="zh-CN" w:bidi="ar-SA"/>
        </w:rPr>
      </w:pPr>
      <w:bookmarkStart w:id="395" w:name="_Toc6762"/>
      <w:bookmarkStart w:id="396" w:name="_Toc15747"/>
      <w:r>
        <w:rPr>
          <w:rFonts w:hint="default" w:ascii="Times New Roman" w:hAnsi="Times New Roman" w:eastAsia="黑体" w:cs="Times New Roman"/>
          <w:color w:val="auto"/>
          <w:kern w:val="2"/>
          <w:sz w:val="32"/>
          <w:szCs w:val="24"/>
          <w:highlight w:val="none"/>
          <w:lang w:val="en-US" w:eastAsia="zh-CN" w:bidi="ar-SA"/>
        </w:rPr>
        <w:t xml:space="preserve"> </w:t>
      </w:r>
      <w:bookmarkStart w:id="397" w:name="_Toc21511"/>
      <w:bookmarkStart w:id="398" w:name="_Toc4792"/>
      <w:r>
        <w:rPr>
          <w:rFonts w:hint="default" w:ascii="Times New Roman" w:hAnsi="Times New Roman" w:eastAsia="黑体" w:cs="Times New Roman"/>
          <w:color w:val="auto"/>
          <w:kern w:val="2"/>
          <w:sz w:val="32"/>
          <w:szCs w:val="24"/>
          <w:highlight w:val="none"/>
          <w:lang w:val="en-US" w:eastAsia="zh-CN" w:bidi="ar-SA"/>
        </w:rPr>
        <w:fldChar w:fldCharType="begin"/>
      </w:r>
      <w:r>
        <w:rPr>
          <w:rFonts w:hint="default" w:ascii="Times New Roman" w:hAnsi="Times New Roman" w:eastAsia="黑体" w:cs="Times New Roman"/>
          <w:color w:val="auto"/>
          <w:kern w:val="2"/>
          <w:sz w:val="32"/>
          <w:szCs w:val="24"/>
          <w:highlight w:val="none"/>
          <w:lang w:val="en-US" w:eastAsia="zh-CN" w:bidi="ar-SA"/>
        </w:rPr>
        <w:instrText xml:space="preserve"> HYPERLINK \l _Toc223 </w:instrText>
      </w:r>
      <w:r>
        <w:rPr>
          <w:rFonts w:hint="default" w:ascii="Times New Roman" w:hAnsi="Times New Roman" w:eastAsia="黑体" w:cs="Times New Roman"/>
          <w:color w:val="auto"/>
          <w:kern w:val="2"/>
          <w:sz w:val="32"/>
          <w:szCs w:val="24"/>
          <w:highlight w:val="none"/>
          <w:lang w:val="en-US" w:eastAsia="zh-CN" w:bidi="ar-SA"/>
        </w:rPr>
        <w:fldChar w:fldCharType="separate"/>
      </w:r>
      <w:r>
        <w:rPr>
          <w:rFonts w:hint="default" w:ascii="Times New Roman" w:hAnsi="Times New Roman" w:eastAsia="黑体" w:cs="Times New Roman"/>
          <w:color w:val="auto"/>
          <w:kern w:val="2"/>
          <w:sz w:val="32"/>
          <w:szCs w:val="24"/>
          <w:highlight w:val="none"/>
          <w:lang w:val="en-US" w:eastAsia="zh-CN" w:bidi="ar-SA"/>
        </w:rPr>
        <w:fldChar w:fldCharType="begin"/>
      </w:r>
      <w:r>
        <w:rPr>
          <w:rFonts w:hint="default" w:ascii="Times New Roman" w:hAnsi="Times New Roman" w:eastAsia="黑体" w:cs="Times New Roman"/>
          <w:color w:val="auto"/>
          <w:kern w:val="2"/>
          <w:sz w:val="32"/>
          <w:szCs w:val="24"/>
          <w:highlight w:val="none"/>
          <w:lang w:val="en-US" w:eastAsia="zh-CN" w:bidi="ar-SA"/>
        </w:rPr>
        <w:instrText xml:space="preserve"> HYPERLINK \l _Toc1391 </w:instrText>
      </w:r>
      <w:r>
        <w:rPr>
          <w:rFonts w:hint="default" w:ascii="Times New Roman" w:hAnsi="Times New Roman" w:eastAsia="黑体" w:cs="Times New Roman"/>
          <w:color w:val="auto"/>
          <w:kern w:val="2"/>
          <w:sz w:val="32"/>
          <w:szCs w:val="24"/>
          <w:highlight w:val="none"/>
          <w:lang w:val="en-US" w:eastAsia="zh-CN" w:bidi="ar-SA"/>
        </w:rPr>
        <w:fldChar w:fldCharType="separate"/>
      </w:r>
      <w:r>
        <w:rPr>
          <w:rFonts w:hint="default" w:ascii="Times New Roman" w:hAnsi="Times New Roman" w:eastAsia="黑体" w:cs="Times New Roman"/>
          <w:color w:val="auto"/>
          <w:kern w:val="2"/>
          <w:sz w:val="32"/>
          <w:szCs w:val="24"/>
          <w:highlight w:val="none"/>
          <w:lang w:val="en-US" w:eastAsia="zh-CN" w:bidi="ar-SA"/>
        </w:rPr>
        <w:t>优化营商环境引凤来栖</w:t>
      </w:r>
      <w:r>
        <w:rPr>
          <w:rFonts w:hint="default" w:ascii="Times New Roman" w:hAnsi="Times New Roman" w:eastAsia="黑体" w:cs="Times New Roman"/>
          <w:color w:val="auto"/>
          <w:kern w:val="2"/>
          <w:sz w:val="32"/>
          <w:szCs w:val="24"/>
          <w:highlight w:val="none"/>
          <w:lang w:val="en-US" w:eastAsia="zh-CN" w:bidi="ar-SA"/>
        </w:rPr>
        <w:fldChar w:fldCharType="end"/>
      </w:r>
      <w:r>
        <w:rPr>
          <w:rFonts w:hint="default" w:ascii="Times New Roman" w:hAnsi="Times New Roman" w:eastAsia="黑体" w:cs="Times New Roman"/>
          <w:color w:val="auto"/>
          <w:kern w:val="2"/>
          <w:sz w:val="32"/>
          <w:szCs w:val="24"/>
          <w:highlight w:val="none"/>
          <w:lang w:val="en-US" w:eastAsia="zh-CN" w:bidi="ar-SA"/>
        </w:rPr>
        <w:fldChar w:fldCharType="end"/>
      </w:r>
      <w:bookmarkEnd w:id="395"/>
      <w:bookmarkEnd w:id="396"/>
      <w:bookmarkEnd w:id="397"/>
      <w:bookmarkEnd w:id="398"/>
    </w:p>
    <w:p w14:paraId="5E3FAC21">
      <w:pPr>
        <w:keepNext/>
        <w:widowControl w:val="0"/>
        <w:numPr>
          <w:ilvl w:val="0"/>
          <w:numId w:val="29"/>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399" w:name="_Toc22968"/>
      <w:bookmarkStart w:id="400" w:name="_Toc3604"/>
      <w:bookmarkStart w:id="401" w:name="_Toc20002"/>
      <w:bookmarkStart w:id="402" w:name="_Toc9935"/>
      <w:r>
        <w:rPr>
          <w:rFonts w:hint="default" w:ascii="Times New Roman" w:hAnsi="Times New Roman" w:eastAsia="楷体_GB2312" w:cs="Times New Roman"/>
          <w:b/>
          <w:bCs w:val="0"/>
          <w:color w:val="auto"/>
          <w:kern w:val="2"/>
          <w:sz w:val="32"/>
          <w:szCs w:val="32"/>
          <w:highlight w:val="none"/>
          <w:lang w:val="en-US" w:eastAsia="zh-CN" w:bidi="ar-SA"/>
        </w:rPr>
        <w:t>加大招商引资力度</w:t>
      </w:r>
      <w:bookmarkEnd w:id="399"/>
      <w:bookmarkEnd w:id="400"/>
      <w:bookmarkEnd w:id="401"/>
      <w:bookmarkEnd w:id="402"/>
    </w:p>
    <w:p w14:paraId="1A7D8B38">
      <w:pPr>
        <w:bidi w:val="0"/>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color w:val="auto"/>
          <w:sz w:val="32"/>
          <w:szCs w:val="32"/>
          <w:highlight w:val="none"/>
          <w:lang w:val="en-US" w:eastAsia="zh-CN"/>
        </w:rPr>
        <w:t>坚持因地制宜、生态环保原则开展招商引资，防止过度竞争和资源错配，有序推进产业链招商、平台招商、服务招商。强化产业链招商，围绕文化旅游、清洁能源、农特产品等特色优势产业强链补链延链，紧盯重点企业，引进一批产业链上下游项目。利用好对口帮扶平台，与浙江、遂宁共建“飞地园区”，引导推动产业和企业精准对接。做好统筹策划，建设完善招商项目承载平台，组织商协会、企业组团赴外招商。做好招商服务，加强招商项目从招前评估、招后跟踪到项目落地全流程管理。加大宣传推介，突出对重大决策、重大活动、重大项目以及重要成果等内容的宣传。</w:t>
      </w:r>
    </w:p>
    <w:p w14:paraId="5DE492AF">
      <w:pPr>
        <w:keepNext/>
        <w:widowControl w:val="0"/>
        <w:numPr>
          <w:ilvl w:val="0"/>
          <w:numId w:val="29"/>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403" w:name="_Toc16929"/>
      <w:bookmarkStart w:id="404" w:name="_Toc18207"/>
      <w:bookmarkStart w:id="405" w:name="_Toc27023"/>
      <w:bookmarkStart w:id="406" w:name="_Toc26790"/>
      <w:r>
        <w:rPr>
          <w:rFonts w:hint="default" w:ascii="Times New Roman" w:hAnsi="Times New Roman" w:eastAsia="楷体_GB2312" w:cs="Times New Roman"/>
          <w:b/>
          <w:bCs w:val="0"/>
          <w:color w:val="auto"/>
          <w:kern w:val="2"/>
          <w:sz w:val="32"/>
          <w:szCs w:val="32"/>
          <w:highlight w:val="none"/>
          <w:lang w:val="en-US" w:eastAsia="zh-CN" w:bidi="ar-SA"/>
        </w:rPr>
        <w:t>持续优化营商环境</w:t>
      </w:r>
      <w:bookmarkEnd w:id="403"/>
      <w:bookmarkEnd w:id="404"/>
      <w:bookmarkEnd w:id="405"/>
      <w:bookmarkEnd w:id="406"/>
    </w:p>
    <w:p w14:paraId="402E4AF5">
      <w:pPr>
        <w:bidi w:val="0"/>
        <w:spacing w:line="560" w:lineRule="exact"/>
        <w:ind w:firstLine="640" w:firstLineChars="200"/>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深化“放管服”改革，持续开展营商环境提升行动，推进“数字政府”和“一网通办”建设，最大程度减环节、减材料、减时间、减成本，打造市场化、法治化营商环境。深入实施市场准入负面清单制度，全面落实“全国一张清单”管理模式，确保“非禁即入”普遍落实。全面落实公平竞争审查制度，落实项目核准备案、享受惠企政策等方面平等待遇，畅通政企沟通，推动惠企政策</w:t>
      </w:r>
      <w:r>
        <w:rPr>
          <w:rFonts w:hint="default"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免申即享</w:t>
      </w:r>
      <w:r>
        <w:rPr>
          <w:rFonts w:hint="default"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直达快享</w:t>
      </w:r>
      <w:r>
        <w:rPr>
          <w:rFonts w:hint="default"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建立信用监测评价体系，建立质量诚信报告、失信黑名单披露等制度，健全民商事非诉讼纠纷解决机制。优化招商项目跟踪服务，建立重大项目“绿色审批通道”，健全项目库动态跟踪管理机制，及时清理未能履约的飞地企业，强化资源集约高效利用。深化行业协会、商会和中介机构改革。完善和细化知识产权创造、运用、管理、服务、保护制度规则。</w:t>
      </w:r>
    </w:p>
    <w:p w14:paraId="2ED2BC81">
      <w:pPr>
        <w:bidi w:val="0"/>
        <w:rPr>
          <w:rFonts w:hint="default" w:ascii="Times New Roman" w:hAnsi="Times New Roman" w:cs="Times New Roman"/>
          <w:color w:val="auto"/>
          <w:highlight w:val="none"/>
          <w:lang w:val="en-US" w:eastAsia="zh-CN"/>
        </w:rPr>
        <w:sectPr>
          <w:pgSz w:w="11906" w:h="16838"/>
          <w:pgMar w:top="2098" w:right="1474" w:bottom="1984" w:left="1587" w:header="851" w:footer="992" w:gutter="0"/>
          <w:pgNumType w:fmt="numberInDash"/>
          <w:cols w:space="0" w:num="1"/>
          <w:rtlGutter w:val="0"/>
          <w:docGrid w:type="lines" w:linePitch="439" w:charSpace="0"/>
        </w:sectPr>
      </w:pPr>
    </w:p>
    <w:p w14:paraId="63DE7A8F">
      <w:pPr>
        <w:keepNext w:val="0"/>
        <w:keepLines w:val="0"/>
        <w:pageBreakBefore w:val="0"/>
        <w:widowControl w:val="0"/>
        <w:numPr>
          <w:ilvl w:val="0"/>
          <w:numId w:val="3"/>
        </w:numPr>
        <w:kinsoku/>
        <w:wordWrap/>
        <w:overflowPunct/>
        <w:topLinePunct w:val="0"/>
        <w:autoSpaceDE/>
        <w:autoSpaceDN/>
        <w:bidi w:val="0"/>
        <w:adjustRightInd/>
        <w:snapToGrid w:val="0"/>
        <w:spacing w:before="313" w:beforeLines="100" w:after="313" w:afterLines="100" w:line="560" w:lineRule="exact"/>
        <w:ind w:left="0" w:leftChars="0" w:firstLine="0" w:firstLineChars="0"/>
        <w:jc w:val="center"/>
        <w:textAlignment w:val="auto"/>
        <w:outlineLvl w:val="0"/>
        <w:rPr>
          <w:rFonts w:hint="default" w:ascii="Times New Roman" w:hAnsi="Times New Roman" w:eastAsia="方正小标宋简体" w:cs="Times New Roman"/>
          <w:color w:val="auto"/>
          <w:kern w:val="2"/>
          <w:sz w:val="36"/>
          <w:szCs w:val="22"/>
          <w:highlight w:val="none"/>
          <w:lang w:val="en-US" w:eastAsia="zh-CN" w:bidi="ar-SA"/>
        </w:rPr>
      </w:pPr>
      <w:bookmarkStart w:id="407" w:name="_Toc21403"/>
      <w:bookmarkStart w:id="408" w:name="_Toc14149"/>
      <w:r>
        <w:rPr>
          <w:rFonts w:hint="default" w:ascii="Times New Roman" w:hAnsi="Times New Roman" w:eastAsia="方正小标宋简体" w:cs="Times New Roman"/>
          <w:color w:val="auto"/>
          <w:kern w:val="2"/>
          <w:sz w:val="36"/>
          <w:szCs w:val="22"/>
          <w:highlight w:val="none"/>
          <w:lang w:val="en-US" w:eastAsia="zh-CN" w:bidi="ar-SA"/>
        </w:rPr>
        <w:t xml:space="preserve"> </w:t>
      </w:r>
      <w:bookmarkStart w:id="409" w:name="_Toc12714"/>
      <w:bookmarkStart w:id="410" w:name="_Toc383"/>
      <w:r>
        <w:rPr>
          <w:rFonts w:hint="default" w:ascii="Times New Roman" w:hAnsi="Times New Roman" w:eastAsia="方正小标宋简体" w:cs="Times New Roman"/>
          <w:color w:val="auto"/>
          <w:kern w:val="2"/>
          <w:sz w:val="44"/>
          <w:szCs w:val="44"/>
          <w:highlight w:val="none"/>
          <w:lang w:val="en-US" w:eastAsia="zh-CN" w:bidi="ar-SA"/>
        </w:rPr>
        <w:t>推进城乡融合发展战略，铺就农业农村富裕之路</w:t>
      </w:r>
      <w:bookmarkEnd w:id="407"/>
      <w:bookmarkEnd w:id="408"/>
      <w:bookmarkEnd w:id="409"/>
      <w:bookmarkEnd w:id="410"/>
    </w:p>
    <w:p w14:paraId="24B4B418">
      <w:pPr>
        <w:spacing w:line="560" w:lineRule="exact"/>
        <w:ind w:firstLine="640" w:firstLineChars="200"/>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以新型城镇化与乡村振兴战略为牵引，深入实施“精城优镇、强村带户”行动，统筹推进城市发展与乡村建设，加快构建以县城为龙头、中心乡镇为节点、乡村为腹地的城乡融合发展新格局。</w:t>
      </w:r>
    </w:p>
    <w:p w14:paraId="166C6FD1">
      <w:pPr>
        <w:keepNext/>
        <w:widowControl w:val="0"/>
        <w:numPr>
          <w:ilvl w:val="0"/>
          <w:numId w:val="1"/>
        </w:numPr>
        <w:bidi w:val="0"/>
        <w:snapToGrid w:val="0"/>
        <w:spacing w:before="100" w:beforeLines="100" w:after="100" w:afterLines="100" w:line="560" w:lineRule="exact"/>
        <w:ind w:left="0" w:leftChars="0" w:firstLine="0" w:firstLineChars="0"/>
        <w:jc w:val="center"/>
        <w:outlineLvl w:val="1"/>
        <w:rPr>
          <w:rFonts w:hint="default" w:ascii="Times New Roman" w:hAnsi="Times New Roman" w:eastAsia="黑体" w:cs="Times New Roman"/>
          <w:color w:val="auto"/>
          <w:kern w:val="2"/>
          <w:sz w:val="32"/>
          <w:szCs w:val="24"/>
          <w:highlight w:val="none"/>
          <w:lang w:val="en-US" w:eastAsia="zh-CN" w:bidi="ar-SA"/>
        </w:rPr>
      </w:pPr>
      <w:r>
        <w:rPr>
          <w:rFonts w:hint="default" w:ascii="Times New Roman" w:hAnsi="Times New Roman" w:eastAsia="黑体" w:cs="Times New Roman"/>
          <w:color w:val="auto"/>
          <w:kern w:val="2"/>
          <w:sz w:val="32"/>
          <w:szCs w:val="24"/>
          <w:highlight w:val="none"/>
          <w:lang w:val="en-US" w:eastAsia="zh-CN" w:bidi="ar-SA"/>
        </w:rPr>
        <w:t xml:space="preserve"> </w:t>
      </w:r>
      <w:bookmarkStart w:id="411" w:name="_Toc17917"/>
      <w:bookmarkStart w:id="412" w:name="_Toc3909"/>
      <w:bookmarkStart w:id="413" w:name="_Toc5794"/>
      <w:bookmarkStart w:id="414" w:name="_Toc20921"/>
      <w:bookmarkStart w:id="415" w:name="_Toc17063"/>
      <w:r>
        <w:rPr>
          <w:rFonts w:hint="default" w:ascii="Times New Roman" w:hAnsi="Times New Roman" w:eastAsia="黑体" w:cs="Times New Roman"/>
          <w:color w:val="auto"/>
          <w:kern w:val="2"/>
          <w:sz w:val="32"/>
          <w:szCs w:val="24"/>
          <w:highlight w:val="none"/>
          <w:lang w:val="en-US" w:eastAsia="zh-CN" w:bidi="ar-SA"/>
        </w:rPr>
        <w:fldChar w:fldCharType="begin"/>
      </w:r>
      <w:r>
        <w:rPr>
          <w:rFonts w:hint="default" w:ascii="Times New Roman" w:hAnsi="Times New Roman" w:eastAsia="黑体" w:cs="Times New Roman"/>
          <w:color w:val="auto"/>
          <w:kern w:val="2"/>
          <w:sz w:val="32"/>
          <w:szCs w:val="24"/>
          <w:highlight w:val="none"/>
          <w:lang w:val="en-US" w:eastAsia="zh-CN" w:bidi="ar-SA"/>
        </w:rPr>
        <w:instrText xml:space="preserve"> HYPERLINK \l _Toc223 </w:instrText>
      </w:r>
      <w:r>
        <w:rPr>
          <w:rFonts w:hint="default" w:ascii="Times New Roman" w:hAnsi="Times New Roman" w:eastAsia="黑体" w:cs="Times New Roman"/>
          <w:color w:val="auto"/>
          <w:kern w:val="2"/>
          <w:sz w:val="32"/>
          <w:szCs w:val="24"/>
          <w:highlight w:val="none"/>
          <w:lang w:val="en-US" w:eastAsia="zh-CN" w:bidi="ar-SA"/>
        </w:rPr>
        <w:fldChar w:fldCharType="separate"/>
      </w:r>
      <w:r>
        <w:rPr>
          <w:rFonts w:hint="default" w:ascii="Times New Roman" w:hAnsi="Times New Roman" w:eastAsia="黑体" w:cs="Times New Roman"/>
          <w:color w:val="auto"/>
          <w:kern w:val="2"/>
          <w:sz w:val="32"/>
          <w:szCs w:val="24"/>
          <w:highlight w:val="none"/>
          <w:lang w:val="en-US" w:eastAsia="zh-CN" w:bidi="ar-SA"/>
        </w:rPr>
        <w:fldChar w:fldCharType="begin"/>
      </w:r>
      <w:r>
        <w:rPr>
          <w:rFonts w:hint="default" w:ascii="Times New Roman" w:hAnsi="Times New Roman" w:eastAsia="黑体" w:cs="Times New Roman"/>
          <w:color w:val="auto"/>
          <w:kern w:val="2"/>
          <w:sz w:val="32"/>
          <w:szCs w:val="24"/>
          <w:highlight w:val="none"/>
          <w:lang w:val="en-US" w:eastAsia="zh-CN" w:bidi="ar-SA"/>
        </w:rPr>
        <w:instrText xml:space="preserve"> HYPERLINK \l _Toc1391 </w:instrText>
      </w:r>
      <w:r>
        <w:rPr>
          <w:rFonts w:hint="default" w:ascii="Times New Roman" w:hAnsi="Times New Roman" w:eastAsia="黑体" w:cs="Times New Roman"/>
          <w:color w:val="auto"/>
          <w:kern w:val="2"/>
          <w:sz w:val="32"/>
          <w:szCs w:val="24"/>
          <w:highlight w:val="none"/>
          <w:lang w:val="en-US" w:eastAsia="zh-CN" w:bidi="ar-SA"/>
        </w:rPr>
        <w:fldChar w:fldCharType="separate"/>
      </w:r>
      <w:r>
        <w:rPr>
          <w:rFonts w:hint="default" w:ascii="Times New Roman" w:hAnsi="Times New Roman" w:eastAsia="黑体" w:cs="Times New Roman"/>
          <w:color w:val="auto"/>
          <w:kern w:val="2"/>
          <w:sz w:val="32"/>
          <w:szCs w:val="24"/>
          <w:highlight w:val="none"/>
          <w:lang w:val="en-US" w:eastAsia="zh-CN" w:bidi="ar-SA"/>
        </w:rPr>
        <w:t>提升县城核心引领作用</w:t>
      </w:r>
      <w:r>
        <w:rPr>
          <w:rFonts w:hint="default" w:ascii="Times New Roman" w:hAnsi="Times New Roman" w:eastAsia="黑体" w:cs="Times New Roman"/>
          <w:color w:val="auto"/>
          <w:kern w:val="2"/>
          <w:sz w:val="32"/>
          <w:szCs w:val="24"/>
          <w:highlight w:val="none"/>
          <w:lang w:val="en-US" w:eastAsia="zh-CN" w:bidi="ar-SA"/>
        </w:rPr>
        <w:fldChar w:fldCharType="end"/>
      </w:r>
      <w:r>
        <w:rPr>
          <w:rFonts w:hint="default" w:ascii="Times New Roman" w:hAnsi="Times New Roman" w:eastAsia="黑体" w:cs="Times New Roman"/>
          <w:color w:val="auto"/>
          <w:kern w:val="2"/>
          <w:sz w:val="32"/>
          <w:szCs w:val="24"/>
          <w:highlight w:val="none"/>
          <w:lang w:val="en-US" w:eastAsia="zh-CN" w:bidi="ar-SA"/>
        </w:rPr>
        <w:fldChar w:fldCharType="end"/>
      </w:r>
      <w:bookmarkEnd w:id="411"/>
      <w:bookmarkEnd w:id="412"/>
      <w:bookmarkEnd w:id="413"/>
      <w:bookmarkEnd w:id="414"/>
      <w:bookmarkEnd w:id="415"/>
    </w:p>
    <w:p w14:paraId="0EB3AE43">
      <w:pPr>
        <w:keepNext/>
        <w:widowControl w:val="0"/>
        <w:numPr>
          <w:ilvl w:val="0"/>
          <w:numId w:val="30"/>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416" w:name="_Toc24497"/>
      <w:bookmarkStart w:id="417" w:name="_Toc9621"/>
      <w:bookmarkStart w:id="418" w:name="_Toc9276"/>
      <w:bookmarkStart w:id="419" w:name="_Toc23777"/>
      <w:bookmarkStart w:id="420" w:name="_Toc21744"/>
      <w:r>
        <w:rPr>
          <w:rFonts w:hint="default" w:ascii="Times New Roman" w:hAnsi="Times New Roman" w:eastAsia="楷体_GB2312" w:cs="Times New Roman"/>
          <w:b/>
          <w:bCs w:val="0"/>
          <w:color w:val="auto"/>
          <w:kern w:val="2"/>
          <w:sz w:val="32"/>
          <w:szCs w:val="32"/>
          <w:highlight w:val="none"/>
          <w:lang w:val="en-US" w:eastAsia="zh-CN" w:bidi="ar-SA"/>
        </w:rPr>
        <w:t>优化城区功能布局</w:t>
      </w:r>
      <w:bookmarkEnd w:id="416"/>
      <w:bookmarkEnd w:id="417"/>
      <w:bookmarkEnd w:id="418"/>
      <w:bookmarkEnd w:id="419"/>
      <w:bookmarkEnd w:id="420"/>
    </w:p>
    <w:p w14:paraId="45D16EEE">
      <w:pPr>
        <w:spacing w:line="560" w:lineRule="exact"/>
        <w:ind w:firstLine="640" w:firstLineChars="200"/>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坚持“南优、中拓、北改”总体思路，系统重塑城市功能格局，推动空间品质、结构效率与风貌形象整体跃升，形成功能明晰、疏密有致、风貌独特的现代化城市新形态。完善新街组团行政商贸功能，实施第二、三办公区改造，加快推进农贸市场片区、西区美食街区、营盘街藏羌风情文化区建设，打造城市综合服务中心。提升老街组团旅游服务功能，同步推进无忧城公园和风包片区的规划建设，实施老街藏羌文化街区建设，打造县域旅游服务中心。加快北改片区业态提档升级，推进工业园区绿色转型，建设“阿坝东南绿色经济先行示范区”。</w:t>
      </w:r>
    </w:p>
    <w:p w14:paraId="6D185F27">
      <w:pPr>
        <w:spacing w:line="560" w:lineRule="exact"/>
        <w:ind w:firstLine="640" w:firstLineChars="200"/>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br w:type="page"/>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17657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shd w:val="clear" w:color="auto" w:fill="7F7F7F" w:themeFill="text1" w:themeFillTint="7F"/>
          </w:tcPr>
          <w:p w14:paraId="73F6931A">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center"/>
              <w:rPr>
                <w:rFonts w:hint="default" w:ascii="Times New Roman" w:hAnsi="Times New Roman" w:eastAsia="黑体" w:cs="Times New Roman"/>
                <w:b/>
                <w:bCs/>
                <w:color w:val="auto"/>
                <w:kern w:val="0"/>
                <w:sz w:val="28"/>
                <w:szCs w:val="28"/>
                <w:highlight w:val="none"/>
                <w:lang w:val="en-US" w:eastAsia="zh-CN" w:bidi="ar"/>
              </w:rPr>
            </w:pPr>
            <w:r>
              <w:rPr>
                <w:rFonts w:hint="default" w:ascii="Times New Roman" w:hAnsi="Times New Roman" w:eastAsia="黑体" w:cs="Times New Roman"/>
                <w:b/>
                <w:bCs/>
                <w:color w:val="auto"/>
                <w:kern w:val="0"/>
                <w:sz w:val="28"/>
                <w:szCs w:val="28"/>
                <w:highlight w:val="none"/>
                <w:lang w:val="en-US" w:eastAsia="zh-CN" w:bidi="ar"/>
              </w:rPr>
              <w:t>专栏15  中心城区空间分区规划图</w:t>
            </w:r>
          </w:p>
        </w:tc>
      </w:tr>
      <w:tr w14:paraId="0619B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tcPr>
          <w:p w14:paraId="6BD81CFB">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leftChars="0" w:firstLine="640" w:firstLineChars="200"/>
              <w:jc w:val="left"/>
              <w:textAlignment w:val="auto"/>
              <w:rPr>
                <w:rFonts w:hint="default" w:ascii="Times New Roman" w:hAnsi="Times New Roman" w:eastAsia="仿宋_GB2312" w:cs="Times New Roman"/>
                <w:color w:val="auto"/>
                <w:kern w:val="2"/>
                <w:sz w:val="28"/>
                <w:szCs w:val="28"/>
                <w:highlight w:val="none"/>
                <w:lang w:eastAsia="zh-CN"/>
              </w:rPr>
            </w:pPr>
            <w:r>
              <w:rPr>
                <w:rFonts w:hint="default" w:ascii="Times New Roman" w:hAnsi="Times New Roman" w:eastAsia="仿宋_GB2312" w:cs="Times New Roman"/>
                <w:color w:val="auto"/>
                <w:sz w:val="32"/>
                <w:szCs w:val="22"/>
                <w:highlight w:val="none"/>
              </w:rPr>
              <w:drawing>
                <wp:inline distT="0" distB="0" distL="114300" distR="114300">
                  <wp:extent cx="5269230" cy="6642735"/>
                  <wp:effectExtent l="0" t="0" r="7620" b="5715"/>
                  <wp:docPr id="1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
                          <pic:cNvPicPr>
                            <a:picLocks noChangeAspect="1"/>
                          </pic:cNvPicPr>
                        </pic:nvPicPr>
                        <pic:blipFill>
                          <a:blip r:embed="rId9"/>
                          <a:stretch>
                            <a:fillRect/>
                          </a:stretch>
                        </pic:blipFill>
                        <pic:spPr>
                          <a:xfrm>
                            <a:off x="0" y="0"/>
                            <a:ext cx="5269230" cy="6642735"/>
                          </a:xfrm>
                          <a:prstGeom prst="rect">
                            <a:avLst/>
                          </a:prstGeom>
                          <a:noFill/>
                          <a:ln>
                            <a:noFill/>
                          </a:ln>
                        </pic:spPr>
                      </pic:pic>
                    </a:graphicData>
                  </a:graphic>
                </wp:inline>
              </w:drawing>
            </w:r>
          </w:p>
        </w:tc>
      </w:tr>
    </w:tbl>
    <w:p w14:paraId="0B6CD835">
      <w:pPr>
        <w:keepNext/>
        <w:widowControl w:val="0"/>
        <w:numPr>
          <w:ilvl w:val="0"/>
          <w:numId w:val="30"/>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421" w:name="_Toc10442"/>
      <w:bookmarkStart w:id="422" w:name="_Toc25351"/>
      <w:bookmarkStart w:id="423" w:name="_Toc19025"/>
      <w:bookmarkStart w:id="424" w:name="_Toc12261"/>
      <w:bookmarkStart w:id="425" w:name="_Toc8453"/>
      <w:r>
        <w:rPr>
          <w:rFonts w:hint="default" w:ascii="Times New Roman" w:hAnsi="Times New Roman" w:eastAsia="楷体_GB2312" w:cs="Times New Roman"/>
          <w:b/>
          <w:bCs w:val="0"/>
          <w:color w:val="auto"/>
          <w:kern w:val="2"/>
          <w:sz w:val="32"/>
          <w:szCs w:val="32"/>
          <w:highlight w:val="none"/>
          <w:lang w:val="en-US" w:eastAsia="zh-CN" w:bidi="ar-SA"/>
        </w:rPr>
        <w:t>实施城市更新行动</w:t>
      </w:r>
      <w:bookmarkEnd w:id="421"/>
      <w:bookmarkEnd w:id="422"/>
      <w:bookmarkEnd w:id="423"/>
      <w:bookmarkEnd w:id="424"/>
      <w:bookmarkEnd w:id="425"/>
    </w:p>
    <w:p w14:paraId="0BF069DB">
      <w:pPr>
        <w:spacing w:line="560" w:lineRule="exact"/>
        <w:ind w:firstLine="640" w:firstLineChars="200"/>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坚持“留、改、拆”并举，严禁大拆大建，聚焦老旧居住区、低效商业区、低效工业仓储区三类更新对象，统筹划定新街片区、老街片区和理县绿色产业园区三大城市更新单元。梯次推进新街片区城市更新，对发改局、林业局等老旧小区实施整体改造提升，同步开展建筑节能改造、管线更新、电梯加装及公共服务设施配套建设，因地制宜推进无障碍环境建设和适老化适儿化改造，打造完整社区。实施老街主题文化街区风貌改造，增加公共空间，完善设施配套，增加休闲游憩等服务功能，塑造宜居、宜游城市形象。系统推进理县</w:t>
      </w:r>
      <w:r>
        <w:rPr>
          <w:rFonts w:hint="eastAsia" w:cs="Times New Roman"/>
          <w:color w:val="auto"/>
          <w:sz w:val="32"/>
          <w:szCs w:val="32"/>
          <w:highlight w:val="none"/>
          <w:lang w:val="en-US" w:eastAsia="zh-CN"/>
        </w:rPr>
        <w:t>下孟工业集中区</w:t>
      </w:r>
      <w:r>
        <w:rPr>
          <w:rFonts w:hint="default" w:ascii="Times New Roman" w:hAnsi="Times New Roman" w:eastAsia="仿宋_GB2312" w:cs="Times New Roman"/>
          <w:color w:val="auto"/>
          <w:sz w:val="32"/>
          <w:szCs w:val="32"/>
          <w:highlight w:val="none"/>
          <w:lang w:val="en-US" w:eastAsia="zh-CN"/>
        </w:rPr>
        <w:t>、</w:t>
      </w:r>
      <w:r>
        <w:rPr>
          <w:rFonts w:hint="eastAsia" w:cs="Times New Roman"/>
          <w:color w:val="auto"/>
          <w:sz w:val="32"/>
          <w:szCs w:val="32"/>
          <w:highlight w:val="none"/>
          <w:lang w:val="en-US" w:eastAsia="zh-CN"/>
        </w:rPr>
        <w:t>理县</w:t>
      </w:r>
      <w:r>
        <w:rPr>
          <w:rFonts w:hint="default" w:ascii="Times New Roman" w:hAnsi="Times New Roman" w:eastAsia="仿宋_GB2312" w:cs="Times New Roman"/>
          <w:color w:val="auto"/>
          <w:sz w:val="32"/>
          <w:szCs w:val="32"/>
          <w:highlight w:val="none"/>
          <w:lang w:val="en-US" w:eastAsia="zh-CN"/>
        </w:rPr>
        <w:t>绿色产业园区闲置仓库、厂房等低效用地再开发，通过“腾笼换鸟、复合利用”等模式，加强功能置换，实现土地利用强度、亩均产出与绿色能效协同跃升。</w:t>
      </w:r>
    </w:p>
    <w:p w14:paraId="0DC2ACE8">
      <w:pPr>
        <w:keepNext/>
        <w:widowControl w:val="0"/>
        <w:numPr>
          <w:ilvl w:val="0"/>
          <w:numId w:val="30"/>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426" w:name="_Toc22330"/>
      <w:bookmarkStart w:id="427" w:name="_Toc17235"/>
      <w:bookmarkStart w:id="428" w:name="_Toc25785"/>
      <w:bookmarkStart w:id="429" w:name="_Toc13843"/>
      <w:bookmarkStart w:id="430" w:name="_Toc16828"/>
      <w:r>
        <w:rPr>
          <w:rFonts w:hint="default" w:ascii="Times New Roman" w:hAnsi="Times New Roman" w:eastAsia="楷体_GB2312" w:cs="Times New Roman"/>
          <w:b/>
          <w:bCs w:val="0"/>
          <w:color w:val="auto"/>
          <w:kern w:val="2"/>
          <w:sz w:val="32"/>
          <w:szCs w:val="32"/>
          <w:highlight w:val="none"/>
          <w:lang w:val="en-US" w:eastAsia="zh-CN" w:bidi="ar-SA"/>
        </w:rPr>
        <w:t>补齐城区配套短板</w:t>
      </w:r>
      <w:bookmarkEnd w:id="426"/>
      <w:bookmarkEnd w:id="427"/>
      <w:bookmarkEnd w:id="428"/>
      <w:bookmarkEnd w:id="429"/>
      <w:bookmarkEnd w:id="430"/>
    </w:p>
    <w:p w14:paraId="1C5EFE46">
      <w:pPr>
        <w:spacing w:line="560" w:lineRule="exact"/>
        <w:ind w:firstLine="640" w:firstLineChars="200"/>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开展县城精修细补专项体检，系统排查并更新改造燃气、供排水等存在安全隐患的市政管网。结合道路恢复和街区改造，统筹实施雨污分流、燃气低压入户、通信光纤到户及智慧广电升级，提升管网安全韧性和数字化管理水平。推进地下综合管廊与道路一体化建设，推动电力、燃气、通信、广播电视等地下市政管线集成布局。科学布局配建停车场及路侧停车设施，实施标准化、智慧化升级，切实保障县城基本停车需求。完善县城慢行交通系统，打通“断头路”、拓宽“瓶颈路”，配套连贯步道、骑行道、安全过街设施，构建安全、连续、舒适的15分钟绿色出行网络。</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4D391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shd w:val="clear" w:color="auto" w:fill="7F7F7F" w:themeFill="text1" w:themeFillTint="7F"/>
          </w:tcPr>
          <w:p w14:paraId="44C1C0F7">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center"/>
              <w:rPr>
                <w:rFonts w:hint="default" w:ascii="Times New Roman" w:hAnsi="Times New Roman" w:eastAsia="黑体" w:cs="Times New Roman"/>
                <w:b/>
                <w:bCs/>
                <w:color w:val="auto"/>
                <w:kern w:val="0"/>
                <w:sz w:val="28"/>
                <w:szCs w:val="28"/>
                <w:highlight w:val="none"/>
                <w:lang w:val="en-US" w:eastAsia="zh-CN" w:bidi="ar"/>
              </w:rPr>
            </w:pPr>
            <w:r>
              <w:rPr>
                <w:rFonts w:hint="default" w:ascii="Times New Roman" w:hAnsi="Times New Roman" w:eastAsia="黑体" w:cs="Times New Roman"/>
                <w:b/>
                <w:bCs/>
                <w:color w:val="auto"/>
                <w:kern w:val="0"/>
                <w:sz w:val="28"/>
                <w:szCs w:val="28"/>
                <w:highlight w:val="none"/>
                <w:lang w:bidi="ar"/>
              </w:rPr>
              <w:t>专</w:t>
            </w:r>
            <w:r>
              <w:rPr>
                <w:rFonts w:hint="default" w:ascii="Times New Roman" w:hAnsi="Times New Roman" w:eastAsia="黑体" w:cs="Times New Roman"/>
                <w:b/>
                <w:bCs/>
                <w:color w:val="auto"/>
                <w:kern w:val="0"/>
                <w:sz w:val="28"/>
                <w:szCs w:val="28"/>
                <w:highlight w:val="none"/>
                <w:lang w:val="en-US" w:eastAsia="zh-CN" w:bidi="ar"/>
              </w:rPr>
              <w:t>栏16  提升县城核心引领作用重点工程</w:t>
            </w:r>
          </w:p>
        </w:tc>
      </w:tr>
      <w:tr w14:paraId="0D364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tcPr>
          <w:p w14:paraId="26826EB1">
            <w:pPr>
              <w:keepNext w:val="0"/>
              <w:keepLines w:val="0"/>
              <w:pageBreakBefore w:val="0"/>
              <w:widowControl/>
              <w:numPr>
                <w:ilvl w:val="0"/>
                <w:numId w:val="31"/>
              </w:numPr>
              <w:kinsoku/>
              <w:wordWrap/>
              <w:overflowPunct/>
              <w:topLinePunct w:val="0"/>
              <w:autoSpaceDE/>
              <w:autoSpaceDN/>
              <w:bidi w:val="0"/>
              <w:adjustRightInd w:val="0"/>
              <w:snapToGrid w:val="0"/>
              <w:spacing w:line="440" w:lineRule="exact"/>
              <w:ind w:left="420" w:leftChars="0" w:hanging="420" w:firstLineChars="0"/>
              <w:jc w:val="left"/>
              <w:textAlignment w:val="auto"/>
              <w:rPr>
                <w:rFonts w:hint="default" w:ascii="Times New Roman" w:hAnsi="Times New Roman" w:eastAsia="仿宋_GB2312" w:cs="Times New Roman"/>
                <w:color w:val="auto"/>
                <w:kern w:val="2"/>
                <w:sz w:val="28"/>
                <w:szCs w:val="28"/>
                <w:highlight w:val="none"/>
                <w:lang w:eastAsia="zh-CN"/>
              </w:rPr>
            </w:pPr>
            <w:r>
              <w:rPr>
                <w:rFonts w:hint="default" w:ascii="Times New Roman" w:hAnsi="Times New Roman" w:eastAsia="仿宋_GB2312" w:cs="Times New Roman"/>
                <w:b/>
                <w:bCs/>
                <w:color w:val="auto"/>
                <w:kern w:val="2"/>
                <w:sz w:val="28"/>
                <w:szCs w:val="28"/>
                <w:highlight w:val="none"/>
                <w:lang w:val="en-US" w:eastAsia="zh-CN"/>
              </w:rPr>
              <w:t>实施城市更新行动</w:t>
            </w:r>
            <w:r>
              <w:rPr>
                <w:rFonts w:hint="default" w:ascii="Times New Roman" w:hAnsi="Times New Roman" w:eastAsia="仿宋_GB2312" w:cs="Times New Roman"/>
                <w:color w:val="auto"/>
                <w:kern w:val="2"/>
                <w:sz w:val="28"/>
                <w:szCs w:val="28"/>
                <w:highlight w:val="none"/>
                <w:lang w:val="en-US" w:eastAsia="zh-CN"/>
              </w:rPr>
              <w:t>：</w:t>
            </w:r>
            <w:r>
              <w:rPr>
                <w:rFonts w:hint="eastAsia" w:cs="Times New Roman"/>
                <w:color w:val="auto"/>
                <w:kern w:val="2"/>
                <w:sz w:val="28"/>
                <w:szCs w:val="28"/>
                <w:highlight w:val="none"/>
                <w:lang w:val="en-US" w:eastAsia="zh-CN"/>
              </w:rPr>
              <w:t>1.</w:t>
            </w:r>
            <w:r>
              <w:rPr>
                <w:rFonts w:hint="default" w:ascii="Times New Roman" w:hAnsi="Times New Roman" w:eastAsia="仿宋_GB2312" w:cs="Times New Roman"/>
                <w:color w:val="auto"/>
                <w:kern w:val="2"/>
                <w:sz w:val="28"/>
                <w:szCs w:val="28"/>
                <w:highlight w:val="none"/>
                <w:lang w:val="en-US" w:eastAsia="zh-CN"/>
              </w:rPr>
              <w:t>实施</w:t>
            </w:r>
            <w:r>
              <w:rPr>
                <w:rFonts w:hint="default" w:ascii="Times New Roman" w:hAnsi="Times New Roman" w:eastAsia="仿宋_GB2312" w:cs="Times New Roman"/>
                <w:color w:val="auto"/>
                <w:kern w:val="2"/>
                <w:sz w:val="28"/>
                <w:szCs w:val="28"/>
                <w:highlight w:val="none"/>
                <w:lang w:eastAsia="zh-CN"/>
              </w:rPr>
              <w:t>理县县城</w:t>
            </w:r>
            <w:r>
              <w:rPr>
                <w:rFonts w:hint="default" w:ascii="Times New Roman" w:hAnsi="Times New Roman" w:eastAsia="仿宋_GB2312" w:cs="Times New Roman"/>
                <w:color w:val="auto"/>
                <w:kern w:val="2"/>
                <w:sz w:val="28"/>
                <w:szCs w:val="28"/>
                <w:highlight w:val="none"/>
                <w:lang w:val="en-US" w:eastAsia="zh-CN"/>
              </w:rPr>
              <w:t>城关片区</w:t>
            </w:r>
            <w:r>
              <w:rPr>
                <w:rFonts w:hint="default" w:ascii="Times New Roman" w:hAnsi="Times New Roman" w:eastAsia="仿宋_GB2312" w:cs="Times New Roman"/>
                <w:color w:val="auto"/>
                <w:kern w:val="2"/>
                <w:sz w:val="28"/>
                <w:szCs w:val="28"/>
                <w:highlight w:val="none"/>
                <w:lang w:eastAsia="zh-CN"/>
              </w:rPr>
              <w:t>老旧</w:t>
            </w:r>
            <w:r>
              <w:rPr>
                <w:rFonts w:hint="default" w:ascii="Times New Roman" w:hAnsi="Times New Roman" w:eastAsia="仿宋_GB2312" w:cs="Times New Roman"/>
                <w:color w:val="auto"/>
                <w:kern w:val="2"/>
                <w:sz w:val="28"/>
                <w:szCs w:val="28"/>
                <w:highlight w:val="none"/>
                <w:lang w:val="en-US" w:eastAsia="zh-CN"/>
              </w:rPr>
              <w:t>街区</w:t>
            </w:r>
            <w:r>
              <w:rPr>
                <w:rFonts w:hint="default" w:ascii="Times New Roman" w:hAnsi="Times New Roman" w:eastAsia="仿宋_GB2312" w:cs="Times New Roman"/>
                <w:color w:val="auto"/>
                <w:kern w:val="2"/>
                <w:sz w:val="28"/>
                <w:szCs w:val="28"/>
                <w:highlight w:val="none"/>
                <w:lang w:eastAsia="zh-CN"/>
              </w:rPr>
              <w:t>改造项目、理县县城老旧小区改造项目（一期）、理县县城老旧小区改造配套基础设施建设项目（一期）、理县县城老市场片区城市危旧房改造项目</w:t>
            </w:r>
            <w:r>
              <w:rPr>
                <w:rFonts w:hint="eastAsia" w:cs="Times New Roman"/>
                <w:color w:val="auto"/>
                <w:kern w:val="2"/>
                <w:sz w:val="28"/>
                <w:szCs w:val="28"/>
                <w:highlight w:val="none"/>
                <w:lang w:eastAsia="zh-CN"/>
              </w:rPr>
              <w:t>、</w:t>
            </w:r>
            <w:r>
              <w:rPr>
                <w:rFonts w:hint="default" w:ascii="Times New Roman" w:hAnsi="Times New Roman" w:eastAsia="仿宋_GB2312" w:cs="Times New Roman"/>
                <w:color w:val="auto"/>
                <w:kern w:val="2"/>
                <w:sz w:val="28"/>
                <w:szCs w:val="28"/>
                <w:highlight w:val="none"/>
                <w:lang w:eastAsia="zh-CN"/>
              </w:rPr>
              <w:t>理县县城老市场片区城市危旧房改造</w:t>
            </w:r>
            <w:r>
              <w:rPr>
                <w:rFonts w:hint="default" w:ascii="Times New Roman" w:hAnsi="Times New Roman" w:eastAsia="仿宋_GB2312" w:cs="Times New Roman"/>
                <w:color w:val="auto"/>
                <w:kern w:val="2"/>
                <w:sz w:val="28"/>
                <w:szCs w:val="28"/>
                <w:highlight w:val="none"/>
                <w:lang w:val="en-US" w:eastAsia="zh-CN"/>
              </w:rPr>
              <w:t>及</w:t>
            </w:r>
            <w:r>
              <w:rPr>
                <w:rFonts w:hint="default" w:ascii="Times New Roman" w:hAnsi="Times New Roman" w:eastAsia="仿宋_GB2312" w:cs="Times New Roman"/>
                <w:color w:val="auto"/>
                <w:kern w:val="2"/>
                <w:sz w:val="28"/>
                <w:szCs w:val="28"/>
                <w:highlight w:val="none"/>
                <w:lang w:eastAsia="zh-CN"/>
              </w:rPr>
              <w:t>配套基础设施建设项目、理县县城西大街城市危旧房改造项目、理县2026-2030既有住宅电梯增设项目</w:t>
            </w:r>
            <w:r>
              <w:rPr>
                <w:rFonts w:hint="eastAsia" w:cs="Times New Roman"/>
                <w:color w:val="auto"/>
                <w:kern w:val="2"/>
                <w:sz w:val="28"/>
                <w:szCs w:val="28"/>
                <w:highlight w:val="none"/>
                <w:lang w:eastAsia="zh-CN"/>
              </w:rPr>
              <w:t>。</w:t>
            </w:r>
            <w:r>
              <w:rPr>
                <w:rFonts w:hint="eastAsia" w:cs="Times New Roman"/>
                <w:color w:val="auto"/>
                <w:kern w:val="2"/>
                <w:sz w:val="28"/>
                <w:szCs w:val="28"/>
                <w:highlight w:val="none"/>
                <w:lang w:val="en-US" w:eastAsia="zh-CN"/>
              </w:rPr>
              <w:t>2.推进</w:t>
            </w:r>
            <w:r>
              <w:rPr>
                <w:rFonts w:hint="default" w:ascii="Times New Roman" w:hAnsi="Times New Roman" w:eastAsia="仿宋_GB2312" w:cs="Times New Roman"/>
                <w:color w:val="auto"/>
                <w:kern w:val="2"/>
                <w:sz w:val="28"/>
                <w:szCs w:val="28"/>
                <w:highlight w:val="none"/>
                <w:lang w:val="en-US" w:eastAsia="zh-CN"/>
              </w:rPr>
              <w:t>理县县城西大街、东大街、红叶大道等老旧街区、西区特色街区、县城老水电局危旧房、理县城市更新一期、理县营盘-芙蓉社区城中村以及理县县城既有建筑节能改造（一期）等前期工作。</w:t>
            </w:r>
            <w:r>
              <w:rPr>
                <w:rFonts w:hint="eastAsia" w:cs="Times New Roman"/>
                <w:color w:val="auto"/>
                <w:kern w:val="2"/>
                <w:sz w:val="28"/>
                <w:szCs w:val="28"/>
                <w:highlight w:val="none"/>
                <w:lang w:val="en-US" w:eastAsia="zh-CN"/>
              </w:rPr>
              <w:t>3.开展理县县城老街片区老旧街区改造、理县县城老旧小区改造（二期）、理县县城老旧小区改造配套基础设施建设（二期）、理县城市更新（二、三、四期）、理县兴隆村城中村更新改造、理县县城既有建筑节能改造建设（二期）等项目论证工作。</w:t>
            </w:r>
          </w:p>
          <w:p w14:paraId="6B90908B">
            <w:pPr>
              <w:keepNext w:val="0"/>
              <w:keepLines w:val="0"/>
              <w:pageBreakBefore w:val="0"/>
              <w:widowControl/>
              <w:numPr>
                <w:ilvl w:val="0"/>
                <w:numId w:val="31"/>
              </w:numPr>
              <w:kinsoku/>
              <w:wordWrap/>
              <w:overflowPunct/>
              <w:topLinePunct w:val="0"/>
              <w:autoSpaceDE/>
              <w:autoSpaceDN/>
              <w:bidi w:val="0"/>
              <w:adjustRightInd w:val="0"/>
              <w:snapToGrid w:val="0"/>
              <w:spacing w:line="440" w:lineRule="exact"/>
              <w:ind w:left="420" w:leftChars="0" w:hanging="420" w:firstLineChars="0"/>
              <w:jc w:val="left"/>
              <w:textAlignment w:val="auto"/>
              <w:rPr>
                <w:rFonts w:hint="default" w:ascii="Times New Roman" w:hAnsi="Times New Roman" w:eastAsia="仿宋_GB2312" w:cs="Times New Roman"/>
                <w:color w:val="auto"/>
                <w:kern w:val="2"/>
                <w:sz w:val="28"/>
                <w:szCs w:val="28"/>
                <w:highlight w:val="none"/>
                <w:lang w:eastAsia="zh-CN"/>
              </w:rPr>
            </w:pPr>
            <w:r>
              <w:rPr>
                <w:rFonts w:hint="default" w:ascii="Times New Roman" w:hAnsi="Times New Roman" w:eastAsia="仿宋_GB2312" w:cs="Times New Roman"/>
                <w:b/>
                <w:bCs/>
                <w:color w:val="auto"/>
                <w:kern w:val="2"/>
                <w:sz w:val="28"/>
                <w:szCs w:val="28"/>
                <w:highlight w:val="none"/>
                <w:lang w:val="en-US" w:eastAsia="zh-CN"/>
              </w:rPr>
              <w:t>补齐城区配套短板</w:t>
            </w:r>
            <w:r>
              <w:rPr>
                <w:rFonts w:hint="default" w:ascii="Times New Roman" w:hAnsi="Times New Roman" w:eastAsia="仿宋_GB2312" w:cs="Times New Roman"/>
                <w:color w:val="auto"/>
                <w:kern w:val="2"/>
                <w:sz w:val="28"/>
                <w:szCs w:val="28"/>
                <w:highlight w:val="none"/>
                <w:lang w:val="en-US" w:eastAsia="zh-CN"/>
              </w:rPr>
              <w:t>：</w:t>
            </w:r>
            <w:r>
              <w:rPr>
                <w:rFonts w:hint="eastAsia" w:cs="Times New Roman"/>
                <w:color w:val="auto"/>
                <w:kern w:val="2"/>
                <w:sz w:val="28"/>
                <w:szCs w:val="28"/>
                <w:highlight w:val="none"/>
                <w:lang w:val="en-US" w:eastAsia="zh-CN"/>
              </w:rPr>
              <w:t>1.完工理县县城老旧小区排水管网改造项目。2.</w:t>
            </w:r>
            <w:r>
              <w:rPr>
                <w:rFonts w:hint="default" w:ascii="Times New Roman" w:hAnsi="Times New Roman" w:eastAsia="仿宋_GB2312" w:cs="Times New Roman"/>
                <w:color w:val="auto"/>
                <w:kern w:val="2"/>
                <w:sz w:val="28"/>
                <w:szCs w:val="28"/>
                <w:highlight w:val="none"/>
                <w:lang w:val="en-US" w:eastAsia="zh-CN"/>
              </w:rPr>
              <w:t>实施</w:t>
            </w:r>
            <w:r>
              <w:rPr>
                <w:rFonts w:hint="eastAsia" w:cs="Times New Roman"/>
                <w:color w:val="auto"/>
                <w:kern w:val="2"/>
                <w:sz w:val="28"/>
                <w:szCs w:val="28"/>
                <w:highlight w:val="none"/>
                <w:lang w:val="en-US" w:eastAsia="zh-CN"/>
              </w:rPr>
              <w:t>理县</w:t>
            </w:r>
            <w:r>
              <w:rPr>
                <w:rFonts w:hint="default" w:ascii="Times New Roman" w:hAnsi="Times New Roman" w:eastAsia="仿宋_GB2312" w:cs="Times New Roman"/>
                <w:color w:val="auto"/>
                <w:kern w:val="2"/>
                <w:sz w:val="28"/>
                <w:szCs w:val="28"/>
                <w:highlight w:val="none"/>
                <w:lang w:val="en-US" w:eastAsia="zh-CN"/>
              </w:rPr>
              <w:t>城镇排水管网改造工程</w:t>
            </w:r>
            <w:r>
              <w:rPr>
                <w:rFonts w:hint="eastAsia" w:cs="Times New Roman"/>
                <w:color w:val="auto"/>
                <w:kern w:val="2"/>
                <w:sz w:val="28"/>
                <w:szCs w:val="28"/>
                <w:highlight w:val="none"/>
                <w:lang w:val="en-US" w:eastAsia="zh-CN"/>
              </w:rPr>
              <w:t>。3.推进</w:t>
            </w:r>
            <w:r>
              <w:rPr>
                <w:rFonts w:hint="default" w:ascii="Times New Roman" w:hAnsi="Times New Roman" w:eastAsia="仿宋_GB2312" w:cs="Times New Roman"/>
                <w:color w:val="auto"/>
                <w:kern w:val="2"/>
                <w:sz w:val="28"/>
                <w:szCs w:val="28"/>
                <w:highlight w:val="none"/>
                <w:lang w:val="en-US" w:eastAsia="zh-CN"/>
              </w:rPr>
              <w:t>理县县城燃气厂站、燃气管网及供水厂改造、县城老街片区城市公园、兴隆及新街片区口袋公园、理县老街停车场改扩建、胆</w:t>
            </w:r>
            <w:r>
              <w:rPr>
                <w:rFonts w:hint="eastAsia" w:cs="Times New Roman"/>
                <w:color w:val="auto"/>
                <w:kern w:val="2"/>
                <w:sz w:val="28"/>
                <w:szCs w:val="28"/>
                <w:highlight w:val="none"/>
                <w:lang w:val="en-US" w:eastAsia="zh-CN"/>
              </w:rPr>
              <w:t>扎</w:t>
            </w:r>
            <w:r>
              <w:rPr>
                <w:rFonts w:hint="default" w:ascii="Times New Roman" w:hAnsi="Times New Roman" w:eastAsia="仿宋_GB2312" w:cs="Times New Roman"/>
                <w:color w:val="auto"/>
                <w:kern w:val="2"/>
                <w:sz w:val="28"/>
                <w:szCs w:val="28"/>
                <w:highlight w:val="none"/>
                <w:lang w:val="en-US" w:eastAsia="zh-CN"/>
              </w:rPr>
              <w:t>木沟停车场建设等</w:t>
            </w:r>
            <w:r>
              <w:rPr>
                <w:rFonts w:hint="eastAsia" w:cs="Times New Roman"/>
                <w:color w:val="auto"/>
                <w:kern w:val="2"/>
                <w:sz w:val="28"/>
                <w:szCs w:val="28"/>
                <w:highlight w:val="none"/>
                <w:lang w:val="en-US" w:eastAsia="zh-CN"/>
              </w:rPr>
              <w:t>项目</w:t>
            </w:r>
            <w:r>
              <w:rPr>
                <w:rFonts w:hint="default" w:ascii="Times New Roman" w:hAnsi="Times New Roman" w:eastAsia="仿宋_GB2312" w:cs="Times New Roman"/>
                <w:color w:val="auto"/>
                <w:kern w:val="2"/>
                <w:sz w:val="28"/>
                <w:szCs w:val="28"/>
                <w:highlight w:val="none"/>
                <w:lang w:val="en-US" w:eastAsia="zh-CN"/>
              </w:rPr>
              <w:t>前期工作</w:t>
            </w:r>
            <w:r>
              <w:rPr>
                <w:rFonts w:hint="default" w:ascii="Times New Roman" w:hAnsi="Times New Roman" w:eastAsia="仿宋_GB2312" w:cs="Times New Roman"/>
                <w:color w:val="auto"/>
                <w:kern w:val="2"/>
                <w:sz w:val="28"/>
                <w:szCs w:val="28"/>
                <w:highlight w:val="none"/>
                <w:lang w:eastAsia="zh-CN"/>
              </w:rPr>
              <w:t>。</w:t>
            </w:r>
            <w:r>
              <w:rPr>
                <w:rFonts w:hint="eastAsia" w:cs="Times New Roman"/>
                <w:color w:val="auto"/>
                <w:kern w:val="2"/>
                <w:sz w:val="28"/>
                <w:szCs w:val="28"/>
                <w:highlight w:val="none"/>
                <w:lang w:val="en-US" w:eastAsia="zh-CN"/>
              </w:rPr>
              <w:t>4.开展理县西区市政基础设施建设、理县城市公园生态修复等项目论证工作。</w:t>
            </w:r>
          </w:p>
        </w:tc>
      </w:tr>
    </w:tbl>
    <w:p w14:paraId="1C0133CC">
      <w:pPr>
        <w:keepNext/>
        <w:widowControl w:val="0"/>
        <w:numPr>
          <w:ilvl w:val="0"/>
          <w:numId w:val="1"/>
        </w:numPr>
        <w:bidi w:val="0"/>
        <w:snapToGrid w:val="0"/>
        <w:spacing w:before="100" w:beforeLines="100" w:after="100" w:afterLines="100" w:line="560" w:lineRule="exact"/>
        <w:ind w:left="0" w:leftChars="0" w:firstLine="0" w:firstLineChars="0"/>
        <w:jc w:val="center"/>
        <w:outlineLvl w:val="1"/>
        <w:rPr>
          <w:rFonts w:hint="default" w:ascii="Times New Roman" w:hAnsi="Times New Roman" w:eastAsia="黑体" w:cs="Times New Roman"/>
          <w:color w:val="auto"/>
          <w:kern w:val="2"/>
          <w:sz w:val="32"/>
          <w:szCs w:val="24"/>
          <w:highlight w:val="none"/>
          <w:lang w:val="en-US" w:eastAsia="zh-CN" w:bidi="ar-SA"/>
        </w:rPr>
      </w:pPr>
      <w:r>
        <w:rPr>
          <w:rFonts w:hint="default" w:ascii="Times New Roman" w:hAnsi="Times New Roman" w:eastAsia="黑体" w:cs="Times New Roman"/>
          <w:color w:val="auto"/>
          <w:kern w:val="2"/>
          <w:sz w:val="32"/>
          <w:szCs w:val="24"/>
          <w:highlight w:val="none"/>
          <w:lang w:val="en-US" w:eastAsia="zh-CN" w:bidi="ar-SA"/>
        </w:rPr>
        <w:t xml:space="preserve"> </w:t>
      </w:r>
      <w:bookmarkStart w:id="431" w:name="_Toc25498"/>
      <w:bookmarkStart w:id="432" w:name="_Toc23881"/>
      <w:bookmarkStart w:id="433" w:name="_Toc10625"/>
      <w:bookmarkStart w:id="434" w:name="_Toc14082"/>
      <w:bookmarkStart w:id="435" w:name="_Toc11821"/>
      <w:r>
        <w:rPr>
          <w:rFonts w:hint="default" w:ascii="Times New Roman" w:hAnsi="Times New Roman" w:eastAsia="黑体" w:cs="Times New Roman"/>
          <w:color w:val="auto"/>
          <w:kern w:val="2"/>
          <w:sz w:val="32"/>
          <w:szCs w:val="24"/>
          <w:highlight w:val="none"/>
          <w:lang w:val="en-US" w:eastAsia="zh-CN" w:bidi="ar-SA"/>
        </w:rPr>
        <w:fldChar w:fldCharType="begin"/>
      </w:r>
      <w:r>
        <w:rPr>
          <w:rFonts w:hint="default" w:ascii="Times New Roman" w:hAnsi="Times New Roman" w:eastAsia="黑体" w:cs="Times New Roman"/>
          <w:color w:val="auto"/>
          <w:kern w:val="2"/>
          <w:sz w:val="32"/>
          <w:szCs w:val="24"/>
          <w:highlight w:val="none"/>
          <w:lang w:val="en-US" w:eastAsia="zh-CN" w:bidi="ar-SA"/>
        </w:rPr>
        <w:instrText xml:space="preserve"> HYPERLINK \l _Toc223 </w:instrText>
      </w:r>
      <w:r>
        <w:rPr>
          <w:rFonts w:hint="default" w:ascii="Times New Roman" w:hAnsi="Times New Roman" w:eastAsia="黑体" w:cs="Times New Roman"/>
          <w:color w:val="auto"/>
          <w:kern w:val="2"/>
          <w:sz w:val="32"/>
          <w:szCs w:val="24"/>
          <w:highlight w:val="none"/>
          <w:lang w:val="en-US" w:eastAsia="zh-CN" w:bidi="ar-SA"/>
        </w:rPr>
        <w:fldChar w:fldCharType="separate"/>
      </w:r>
      <w:r>
        <w:rPr>
          <w:rFonts w:hint="default" w:ascii="Times New Roman" w:hAnsi="Times New Roman" w:eastAsia="黑体" w:cs="Times New Roman"/>
          <w:color w:val="auto"/>
          <w:kern w:val="2"/>
          <w:sz w:val="32"/>
          <w:szCs w:val="24"/>
          <w:highlight w:val="none"/>
          <w:lang w:val="en-US" w:eastAsia="zh-CN" w:bidi="ar-SA"/>
        </w:rPr>
        <w:fldChar w:fldCharType="begin"/>
      </w:r>
      <w:r>
        <w:rPr>
          <w:rFonts w:hint="default" w:ascii="Times New Roman" w:hAnsi="Times New Roman" w:eastAsia="黑体" w:cs="Times New Roman"/>
          <w:color w:val="auto"/>
          <w:kern w:val="2"/>
          <w:sz w:val="32"/>
          <w:szCs w:val="24"/>
          <w:highlight w:val="none"/>
          <w:lang w:val="en-US" w:eastAsia="zh-CN" w:bidi="ar-SA"/>
        </w:rPr>
        <w:instrText xml:space="preserve"> HYPERLINK \l _Toc1391 </w:instrText>
      </w:r>
      <w:r>
        <w:rPr>
          <w:rFonts w:hint="default" w:ascii="Times New Roman" w:hAnsi="Times New Roman" w:eastAsia="黑体" w:cs="Times New Roman"/>
          <w:color w:val="auto"/>
          <w:kern w:val="2"/>
          <w:sz w:val="32"/>
          <w:szCs w:val="24"/>
          <w:highlight w:val="none"/>
          <w:lang w:val="en-US" w:eastAsia="zh-CN" w:bidi="ar-SA"/>
        </w:rPr>
        <w:fldChar w:fldCharType="separate"/>
      </w:r>
      <w:r>
        <w:rPr>
          <w:rFonts w:hint="default" w:ascii="Times New Roman" w:hAnsi="Times New Roman" w:eastAsia="黑体" w:cs="Times New Roman"/>
          <w:color w:val="auto"/>
          <w:kern w:val="2"/>
          <w:sz w:val="32"/>
          <w:szCs w:val="24"/>
          <w:highlight w:val="none"/>
          <w:lang w:val="en-US" w:eastAsia="zh-CN" w:bidi="ar-SA"/>
        </w:rPr>
        <w:t>增强城镇辐射带动能力</w:t>
      </w:r>
      <w:r>
        <w:rPr>
          <w:rFonts w:hint="default" w:ascii="Times New Roman" w:hAnsi="Times New Roman" w:eastAsia="黑体" w:cs="Times New Roman"/>
          <w:color w:val="auto"/>
          <w:kern w:val="2"/>
          <w:sz w:val="32"/>
          <w:szCs w:val="24"/>
          <w:highlight w:val="none"/>
          <w:lang w:val="en-US" w:eastAsia="zh-CN" w:bidi="ar-SA"/>
        </w:rPr>
        <w:fldChar w:fldCharType="end"/>
      </w:r>
      <w:r>
        <w:rPr>
          <w:rFonts w:hint="default" w:ascii="Times New Roman" w:hAnsi="Times New Roman" w:eastAsia="黑体" w:cs="Times New Roman"/>
          <w:color w:val="auto"/>
          <w:kern w:val="2"/>
          <w:sz w:val="32"/>
          <w:szCs w:val="24"/>
          <w:highlight w:val="none"/>
          <w:lang w:val="en-US" w:eastAsia="zh-CN" w:bidi="ar-SA"/>
        </w:rPr>
        <w:fldChar w:fldCharType="end"/>
      </w:r>
      <w:bookmarkEnd w:id="431"/>
      <w:bookmarkEnd w:id="432"/>
      <w:bookmarkEnd w:id="433"/>
      <w:bookmarkEnd w:id="434"/>
      <w:bookmarkEnd w:id="435"/>
    </w:p>
    <w:p w14:paraId="33E607B8">
      <w:pPr>
        <w:keepNext/>
        <w:widowControl w:val="0"/>
        <w:numPr>
          <w:ilvl w:val="0"/>
          <w:numId w:val="32"/>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436" w:name="_Toc21545"/>
      <w:bookmarkStart w:id="437" w:name="_Toc32512"/>
      <w:bookmarkStart w:id="438" w:name="_Toc15119"/>
      <w:bookmarkStart w:id="439" w:name="_Toc8673"/>
      <w:bookmarkStart w:id="440" w:name="_Toc21931"/>
      <w:r>
        <w:rPr>
          <w:rFonts w:hint="default" w:ascii="Times New Roman" w:hAnsi="Times New Roman" w:eastAsia="楷体_GB2312" w:cs="Times New Roman"/>
          <w:b/>
          <w:bCs w:val="0"/>
          <w:color w:val="auto"/>
          <w:kern w:val="2"/>
          <w:sz w:val="32"/>
          <w:szCs w:val="32"/>
          <w:highlight w:val="none"/>
          <w:lang w:val="en-US" w:eastAsia="zh-CN" w:bidi="ar-SA"/>
        </w:rPr>
        <w:t>推进县域副中心建设</w:t>
      </w:r>
      <w:bookmarkEnd w:id="436"/>
      <w:bookmarkEnd w:id="437"/>
      <w:bookmarkEnd w:id="438"/>
      <w:bookmarkEnd w:id="439"/>
      <w:bookmarkEnd w:id="440"/>
    </w:p>
    <w:p w14:paraId="78CE5878">
      <w:pPr>
        <w:bidi w:val="0"/>
        <w:spacing w:line="560" w:lineRule="exact"/>
        <w:ind w:firstLine="640" w:firstLineChars="200"/>
        <w:rPr>
          <w:rFonts w:hint="default" w:ascii="Times New Roman" w:hAnsi="Times New Roman" w:eastAsia="仿宋_GB2312" w:cs="Times New Roman"/>
          <w:color w:val="auto"/>
          <w:sz w:val="32"/>
          <w:szCs w:val="22"/>
          <w:highlight w:val="none"/>
        </w:rPr>
      </w:pPr>
      <w:r>
        <w:rPr>
          <w:rFonts w:hint="default" w:ascii="Times New Roman" w:hAnsi="Times New Roman" w:eastAsia="仿宋_GB2312" w:cs="Times New Roman"/>
          <w:b w:val="0"/>
          <w:bCs w:val="0"/>
          <w:color w:val="auto"/>
          <w:sz w:val="32"/>
          <w:szCs w:val="22"/>
          <w:highlight w:val="none"/>
          <w:lang w:val="en-US" w:eastAsia="zh-CN"/>
        </w:rPr>
        <w:t>发挥薛城镇承东启西、连南接北的交通区位优势，上接蒲溪、甘堡，下带通化、桃坪，串联桃甘和孟屯片区一体发展，推动古镇老街提档升级，规范提质沙金、较场片区商贸服务功能，系统完善基础设施和公共服务体系，协同推进“一镇一社十二村”发展，着力打造县域综合服务副中心，全力争创省级百强中心镇。</w:t>
      </w:r>
      <w:r>
        <w:rPr>
          <w:rFonts w:hint="default" w:ascii="Times New Roman" w:hAnsi="Times New Roman" w:eastAsia="仿宋_GB2312" w:cs="Times New Roman"/>
          <w:color w:val="auto"/>
          <w:sz w:val="32"/>
          <w:szCs w:val="22"/>
          <w:highlight w:val="none"/>
          <w:lang w:val="en-US" w:eastAsia="zh-CN"/>
        </w:rPr>
        <w:t>锚定“大唐遗风·边陲古镇”发展定位，依托国家级传统村落、非遗羌绣、国保筹边楼等核心IP，系统挖掘边塞、服饰、狮灯、商贸、美食五大文化，擦亮喊响“薛城十景”，全景塑造大唐遗风羌韵边陲古镇，积极</w:t>
      </w:r>
      <w:r>
        <w:rPr>
          <w:rFonts w:hint="default" w:ascii="Times New Roman" w:hAnsi="Times New Roman" w:eastAsia="仿宋_GB2312" w:cs="Times New Roman"/>
          <w:b w:val="0"/>
          <w:bCs w:val="0"/>
          <w:color w:val="auto"/>
          <w:sz w:val="32"/>
          <w:szCs w:val="22"/>
          <w:highlight w:val="none"/>
          <w:lang w:val="en-US" w:eastAsia="zh-CN"/>
        </w:rPr>
        <w:t>争创国家级历史文化名镇及省级文化遗产保护利用“双试点”</w:t>
      </w:r>
      <w:r>
        <w:rPr>
          <w:rFonts w:hint="default" w:ascii="Times New Roman" w:hAnsi="Times New Roman" w:eastAsia="仿宋_GB2312" w:cs="Times New Roman"/>
          <w:color w:val="auto"/>
          <w:sz w:val="32"/>
          <w:szCs w:val="22"/>
          <w:highlight w:val="none"/>
          <w:lang w:val="en-US" w:eastAsia="zh-CN"/>
        </w:rPr>
        <w:t>。发挥薛城镇地处孟屯河谷入口、桃坪羌寨·甘堡藏寨景区中心节点区位优势，大力推进特色产业、文旅场景提档升级，集聚发展餐饮、住宿、购物等多元业态，打造“吃住行游购娱”一站式综合游客集散地。</w:t>
      </w:r>
    </w:p>
    <w:p w14:paraId="1697687E">
      <w:pPr>
        <w:keepNext/>
        <w:widowControl w:val="0"/>
        <w:numPr>
          <w:ilvl w:val="0"/>
          <w:numId w:val="32"/>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441" w:name="_Toc21585"/>
      <w:bookmarkStart w:id="442" w:name="_Toc25481"/>
      <w:bookmarkStart w:id="443" w:name="_Toc22206"/>
      <w:bookmarkStart w:id="444" w:name="_Toc8986"/>
      <w:bookmarkStart w:id="445" w:name="_Toc26164"/>
      <w:r>
        <w:rPr>
          <w:rFonts w:hint="default" w:ascii="Times New Roman" w:hAnsi="Times New Roman" w:eastAsia="楷体_GB2312" w:cs="Times New Roman"/>
          <w:b/>
          <w:bCs w:val="0"/>
          <w:color w:val="auto"/>
          <w:kern w:val="2"/>
          <w:sz w:val="32"/>
          <w:szCs w:val="32"/>
          <w:highlight w:val="none"/>
          <w:lang w:val="en-US" w:eastAsia="zh-CN" w:bidi="ar-SA"/>
        </w:rPr>
        <w:t>积极打造片区中心乡镇</w:t>
      </w:r>
      <w:bookmarkEnd w:id="441"/>
      <w:bookmarkEnd w:id="442"/>
      <w:bookmarkEnd w:id="443"/>
      <w:bookmarkEnd w:id="444"/>
      <w:bookmarkEnd w:id="445"/>
    </w:p>
    <w:p w14:paraId="5D435BC4">
      <w:pPr>
        <w:bidi w:val="0"/>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b w:val="0"/>
          <w:bCs w:val="0"/>
          <w:snapToGrid/>
          <w:color w:val="auto"/>
          <w:kern w:val="0"/>
          <w:sz w:val="32"/>
          <w:szCs w:val="32"/>
          <w:highlight w:val="none"/>
          <w:u w:val="none" w:color="auto"/>
          <w:lang w:val="en-US" w:eastAsia="zh-CN" w:bidi="ar-SA"/>
        </w:rPr>
        <w:t>锚定桃坪镇“千年羌寨</w:t>
      </w:r>
      <w:r>
        <w:rPr>
          <w:rFonts w:hint="default" w:ascii="Times New Roman" w:hAnsi="Times New Roman" w:eastAsia="仿宋_GB2312" w:cs="Times New Roman"/>
          <w:color w:val="auto"/>
          <w:sz w:val="32"/>
          <w:szCs w:val="22"/>
          <w:highlight w:val="none"/>
          <w:lang w:val="en-US" w:eastAsia="zh-CN"/>
        </w:rPr>
        <w:t>·</w:t>
      </w:r>
      <w:r>
        <w:rPr>
          <w:rFonts w:hint="default" w:ascii="Times New Roman" w:hAnsi="Times New Roman" w:eastAsia="仿宋_GB2312" w:cs="Times New Roman"/>
          <w:b w:val="0"/>
          <w:bCs w:val="0"/>
          <w:snapToGrid/>
          <w:color w:val="auto"/>
          <w:kern w:val="0"/>
          <w:sz w:val="32"/>
          <w:szCs w:val="32"/>
          <w:highlight w:val="none"/>
          <w:u w:val="none" w:color="auto"/>
          <w:lang w:val="en-US" w:eastAsia="zh-CN" w:bidi="ar-SA"/>
        </w:rPr>
        <w:t>东方古堡”核心定位，深挖文化底蕴，大力发展文化体验旅游，系统培育观光游览、田园采摘、休闲娱乐等多元业态，构建“大桃坪”全域旅游发展新格局，打造文旅融合强镇，争创省级文旅强镇标杆；全面强化东向开放门户功能，辐射引领桃坪羌文化体验片区整体跃升，建成县域东部高质量发展次中心。锚定米亚罗镇“红叶名镇</w:t>
      </w:r>
      <w:r>
        <w:rPr>
          <w:rFonts w:hint="default" w:ascii="Times New Roman" w:hAnsi="Times New Roman" w:eastAsia="仿宋_GB2312" w:cs="Times New Roman"/>
          <w:color w:val="auto"/>
          <w:sz w:val="32"/>
          <w:szCs w:val="22"/>
          <w:highlight w:val="none"/>
          <w:lang w:val="en-US" w:eastAsia="zh-CN"/>
        </w:rPr>
        <w:t>·</w:t>
      </w:r>
      <w:r>
        <w:rPr>
          <w:rFonts w:hint="default" w:ascii="Times New Roman" w:hAnsi="Times New Roman" w:eastAsia="仿宋_GB2312" w:cs="Times New Roman"/>
          <w:b w:val="0"/>
          <w:bCs w:val="0"/>
          <w:snapToGrid/>
          <w:color w:val="auto"/>
          <w:kern w:val="0"/>
          <w:sz w:val="32"/>
          <w:szCs w:val="32"/>
          <w:highlight w:val="none"/>
          <w:u w:val="none" w:color="auto"/>
          <w:lang w:val="en-US" w:eastAsia="zh-CN" w:bidi="ar-SA"/>
        </w:rPr>
        <w:t>金色米亚罗”和古尔沟镇“川西第一汤</w:t>
      </w:r>
      <w:r>
        <w:rPr>
          <w:rFonts w:hint="default" w:ascii="Times New Roman" w:hAnsi="Times New Roman" w:eastAsia="仿宋_GB2312" w:cs="Times New Roman"/>
          <w:color w:val="auto"/>
          <w:sz w:val="32"/>
          <w:szCs w:val="22"/>
          <w:highlight w:val="none"/>
          <w:lang w:val="en-US" w:eastAsia="zh-CN"/>
        </w:rPr>
        <w:t>·</w:t>
      </w:r>
      <w:r>
        <w:rPr>
          <w:rFonts w:hint="default" w:ascii="Times New Roman" w:hAnsi="Times New Roman" w:eastAsia="仿宋_GB2312" w:cs="Times New Roman"/>
          <w:b w:val="0"/>
          <w:bCs w:val="0"/>
          <w:snapToGrid/>
          <w:color w:val="auto"/>
          <w:kern w:val="0"/>
          <w:sz w:val="32"/>
          <w:szCs w:val="32"/>
          <w:highlight w:val="none"/>
          <w:u w:val="none" w:color="auto"/>
          <w:lang w:val="en-US" w:eastAsia="zh-CN" w:bidi="ar-SA"/>
        </w:rPr>
        <w:t>温泉度假地”发展定位，持续放大“最佳红叶观景地”核心品牌优势，充分发挥“温泉康养度假核心区”区位优势，不断提升集镇基础设施和服务接待能力，加快建成“红叶生态名镇”和“温泉度假区”；全面畅通县域西向对外开放发展通道，推动米亚罗与古尔沟一体化协同发展，引领带动米亚罗康旅融合片区联动发展，联合打造县域西部次中心</w:t>
      </w:r>
      <w:r>
        <w:rPr>
          <w:rFonts w:hint="default" w:ascii="Times New Roman" w:hAnsi="Times New Roman" w:eastAsia="仿宋_GB2312" w:cs="Times New Roman"/>
          <w:b w:val="0"/>
          <w:bCs w:val="0"/>
          <w:snapToGrid/>
          <w:color w:val="auto"/>
          <w:spacing w:val="-4"/>
          <w:kern w:val="0"/>
          <w:sz w:val="32"/>
          <w:szCs w:val="32"/>
          <w:highlight w:val="none"/>
          <w:u w:val="none" w:color="auto"/>
          <w:lang w:val="en-US" w:eastAsia="zh-CN" w:bidi="ar-SA"/>
        </w:rPr>
        <w:t>。锚定上孟乡“户外秘境</w:t>
      </w:r>
      <w:r>
        <w:rPr>
          <w:rFonts w:hint="default" w:ascii="Times New Roman" w:hAnsi="Times New Roman" w:eastAsia="仿宋_GB2312" w:cs="Times New Roman"/>
          <w:color w:val="auto"/>
          <w:sz w:val="32"/>
          <w:szCs w:val="22"/>
          <w:highlight w:val="none"/>
          <w:lang w:val="en-US" w:eastAsia="zh-CN"/>
        </w:rPr>
        <w:t>·</w:t>
      </w:r>
      <w:r>
        <w:rPr>
          <w:rFonts w:hint="default" w:ascii="Times New Roman" w:hAnsi="Times New Roman" w:eastAsia="仿宋_GB2312" w:cs="Times New Roman"/>
          <w:b w:val="0"/>
          <w:bCs w:val="0"/>
          <w:snapToGrid/>
          <w:color w:val="auto"/>
          <w:spacing w:val="-4"/>
          <w:kern w:val="0"/>
          <w:sz w:val="32"/>
          <w:szCs w:val="32"/>
          <w:highlight w:val="none"/>
          <w:u w:val="none" w:color="auto"/>
          <w:lang w:val="en-US" w:eastAsia="zh-CN" w:bidi="ar-SA"/>
        </w:rPr>
        <w:t>避暑天堂”发展定位，以孟屯河谷景区为龙头，系统开发冰雪旅游、户外运动、自驾观光、生态体验、康养休闲等多元业态，全面提升景区及周边餐饮、住宿、购物、停车等综合配套，打造国内一流的避暑旅游示范地与户外运动目的地，全面建成孟屯河谷新兴产业片区核心引擎。依托毕棚沟国家级景区龙头地位，系统提升朴头镇旅游服务能级，主动承接县域旅游集散核心功能，进一步完善理小路“最美景观大道”综合配套，深度融入县城一体化发展格局，打造外畅内联、辐射全域的集散枢纽次中心。</w:t>
      </w:r>
    </w:p>
    <w:p w14:paraId="099C46C2">
      <w:pPr>
        <w:keepNext/>
        <w:widowControl w:val="0"/>
        <w:numPr>
          <w:ilvl w:val="0"/>
          <w:numId w:val="32"/>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446" w:name="_Toc29942"/>
      <w:bookmarkStart w:id="447" w:name="_Toc20959"/>
      <w:bookmarkStart w:id="448" w:name="_Toc18754"/>
      <w:bookmarkStart w:id="449" w:name="_Toc22397"/>
      <w:bookmarkStart w:id="450" w:name="_Toc16571"/>
      <w:r>
        <w:rPr>
          <w:rFonts w:hint="default" w:ascii="Times New Roman" w:hAnsi="Times New Roman" w:eastAsia="楷体_GB2312" w:cs="Times New Roman"/>
          <w:b/>
          <w:bCs w:val="0"/>
          <w:color w:val="auto"/>
          <w:kern w:val="2"/>
          <w:sz w:val="32"/>
          <w:szCs w:val="32"/>
          <w:highlight w:val="none"/>
          <w:lang w:val="en-US" w:eastAsia="zh-CN" w:bidi="ar-SA"/>
        </w:rPr>
        <w:t>分类培育特色乡镇</w:t>
      </w:r>
      <w:bookmarkEnd w:id="446"/>
      <w:bookmarkEnd w:id="447"/>
      <w:bookmarkEnd w:id="448"/>
      <w:bookmarkEnd w:id="449"/>
      <w:bookmarkEnd w:id="450"/>
    </w:p>
    <w:p w14:paraId="17A15AEF">
      <w:pPr>
        <w:bidi w:val="0"/>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color w:val="auto"/>
          <w:sz w:val="32"/>
          <w:szCs w:val="22"/>
          <w:highlight w:val="none"/>
          <w:lang w:val="en-US" w:eastAsia="zh-CN"/>
        </w:rPr>
        <w:t>立足特色文化与农牧资源，按照“宜农则农、宜工则工、宜商则商、宜游则游”发展思路，着力培育一批“旅游+文化”“旅游+农业”“旅游+体育”多元联动的融合型城镇。持续擦亮下孟乡“探寻嘉绒古堡秘境·乐享孟屯自在营地”生态旅游品牌，统筹发展高端高山民宿、户外观光、运动旅游等多元业态，无缝衔接县域副中心，深度服务孟屯河谷一体化建设，主动赋能县域工业园区扩区强园，打造工旅融合型城镇。发挥通化乡上联薛城县域副中心、下接桃坪片区次中心的区位优势，依托优质农业本底，规模发展特色种养业，同步培育生态观光、农事体验等新业态，促进农旅全链条深度融合，打造农旅融合型城镇。充分发挥甘堡乡甘堡藏寨核心引擎作用，系统挖掘民族文化与红色文化资源，高水平开发文博旅游产品，支持主题民宿集群发展，创新提质多元消费场景，丰富拓展休闲业态，打造文旅融合型城镇。以</w:t>
      </w:r>
      <w:r>
        <w:rPr>
          <w:rFonts w:hint="eastAsia" w:cs="Times New Roman"/>
          <w:color w:val="auto"/>
          <w:sz w:val="32"/>
          <w:szCs w:val="22"/>
          <w:highlight w:val="none"/>
          <w:lang w:val="en-US" w:eastAsia="zh-CN"/>
        </w:rPr>
        <w:t>云上</w:t>
      </w:r>
      <w:r>
        <w:rPr>
          <w:rFonts w:hint="default" w:ascii="Times New Roman" w:hAnsi="Times New Roman" w:eastAsia="仿宋_GB2312" w:cs="Times New Roman"/>
          <w:color w:val="auto"/>
          <w:sz w:val="32"/>
          <w:szCs w:val="22"/>
          <w:highlight w:val="none"/>
          <w:lang w:val="en-US" w:eastAsia="zh-CN"/>
        </w:rPr>
        <w:t>休溪3A</w:t>
      </w:r>
      <w:r>
        <w:rPr>
          <w:rFonts w:hint="eastAsia" w:cs="Times New Roman"/>
          <w:color w:val="auto"/>
          <w:sz w:val="32"/>
          <w:szCs w:val="22"/>
          <w:highlight w:val="none"/>
          <w:lang w:val="en-US" w:eastAsia="zh-CN"/>
        </w:rPr>
        <w:t>级</w:t>
      </w:r>
      <w:r>
        <w:rPr>
          <w:rFonts w:hint="default" w:ascii="Times New Roman" w:hAnsi="Times New Roman" w:eastAsia="仿宋_GB2312" w:cs="Times New Roman"/>
          <w:color w:val="auto"/>
          <w:sz w:val="32"/>
          <w:szCs w:val="22"/>
          <w:highlight w:val="none"/>
          <w:lang w:val="en-US" w:eastAsia="zh-CN"/>
        </w:rPr>
        <w:t>景区创建成果为依托，系统推进蒲溪乡夬儒节、释比戏、羊皮鼓舞等非遗资源保护性开发，深化蒲溪千亩椒园标准化建设，大力发展河坝庭院经济，构建农文旅全链条多元融合业态，打造农文旅融合型城镇。</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2CF4A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shd w:val="clear" w:color="auto" w:fill="7F7F7F" w:themeFill="text1" w:themeFillTint="7F"/>
          </w:tcPr>
          <w:p w14:paraId="5BCD6E70">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center"/>
              <w:rPr>
                <w:rFonts w:hint="default" w:ascii="Times New Roman" w:hAnsi="Times New Roman" w:eastAsia="黑体" w:cs="Times New Roman"/>
                <w:b/>
                <w:bCs/>
                <w:color w:val="auto"/>
                <w:kern w:val="0"/>
                <w:sz w:val="28"/>
                <w:szCs w:val="28"/>
                <w:highlight w:val="none"/>
                <w:lang w:val="en-US" w:eastAsia="zh-CN" w:bidi="ar"/>
              </w:rPr>
            </w:pPr>
            <w:r>
              <w:rPr>
                <w:rFonts w:hint="default" w:ascii="Times New Roman" w:hAnsi="Times New Roman" w:eastAsia="黑体" w:cs="Times New Roman"/>
                <w:b/>
                <w:bCs/>
                <w:color w:val="auto"/>
                <w:kern w:val="0"/>
                <w:sz w:val="28"/>
                <w:szCs w:val="28"/>
                <w:highlight w:val="none"/>
                <w:lang w:bidi="ar"/>
              </w:rPr>
              <w:t>专栏</w:t>
            </w:r>
            <w:r>
              <w:rPr>
                <w:rFonts w:hint="default" w:ascii="Times New Roman" w:hAnsi="Times New Roman" w:eastAsia="黑体" w:cs="Times New Roman"/>
                <w:b/>
                <w:bCs/>
                <w:color w:val="auto"/>
                <w:kern w:val="0"/>
                <w:sz w:val="28"/>
                <w:szCs w:val="28"/>
                <w:highlight w:val="none"/>
                <w:lang w:val="en-US" w:eastAsia="zh-CN" w:bidi="ar"/>
              </w:rPr>
              <w:t xml:space="preserve">17 </w:t>
            </w:r>
            <w:r>
              <w:rPr>
                <w:rFonts w:hint="default" w:ascii="Times New Roman" w:hAnsi="Times New Roman" w:eastAsia="黑体" w:cs="Times New Roman"/>
                <w:b/>
                <w:bCs/>
                <w:color w:val="auto"/>
                <w:kern w:val="0"/>
                <w:sz w:val="28"/>
                <w:szCs w:val="28"/>
                <w:highlight w:val="none"/>
                <w:lang w:bidi="ar"/>
              </w:rPr>
              <w:t xml:space="preserve"> </w:t>
            </w:r>
            <w:r>
              <w:rPr>
                <w:rFonts w:hint="default" w:ascii="Times New Roman" w:hAnsi="Times New Roman" w:eastAsia="黑体" w:cs="Times New Roman"/>
                <w:b/>
                <w:bCs/>
                <w:color w:val="auto"/>
                <w:kern w:val="0"/>
                <w:sz w:val="28"/>
                <w:szCs w:val="28"/>
                <w:highlight w:val="none"/>
                <w:lang w:val="en-US" w:eastAsia="zh-CN" w:bidi="ar"/>
              </w:rPr>
              <w:t>增强城镇辐射带动能力重点工程</w:t>
            </w:r>
          </w:p>
        </w:tc>
      </w:tr>
      <w:tr w14:paraId="76DF8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tcPr>
          <w:p w14:paraId="643735DA">
            <w:pPr>
              <w:keepNext w:val="0"/>
              <w:keepLines w:val="0"/>
              <w:pageBreakBefore w:val="0"/>
              <w:widowControl/>
              <w:numPr>
                <w:ilvl w:val="0"/>
                <w:numId w:val="31"/>
              </w:numPr>
              <w:kinsoku/>
              <w:wordWrap/>
              <w:overflowPunct/>
              <w:topLinePunct w:val="0"/>
              <w:autoSpaceDE/>
              <w:autoSpaceDN/>
              <w:bidi w:val="0"/>
              <w:adjustRightInd w:val="0"/>
              <w:snapToGrid w:val="0"/>
              <w:spacing w:line="440" w:lineRule="exact"/>
              <w:ind w:left="420" w:leftChars="0" w:hanging="420" w:firstLineChars="0"/>
              <w:jc w:val="left"/>
              <w:textAlignment w:val="auto"/>
              <w:rPr>
                <w:rFonts w:hint="default" w:ascii="Times New Roman" w:hAnsi="Times New Roman" w:eastAsia="仿宋_GB2312" w:cs="Times New Roman"/>
                <w:color w:val="auto"/>
                <w:kern w:val="2"/>
                <w:sz w:val="28"/>
                <w:szCs w:val="28"/>
                <w:highlight w:val="none"/>
                <w:lang w:eastAsia="zh-CN"/>
              </w:rPr>
            </w:pPr>
            <w:r>
              <w:rPr>
                <w:rFonts w:hint="default" w:ascii="Times New Roman" w:hAnsi="Times New Roman" w:eastAsia="仿宋_GB2312" w:cs="Times New Roman"/>
                <w:b/>
                <w:bCs/>
                <w:color w:val="auto"/>
                <w:kern w:val="2"/>
                <w:sz w:val="28"/>
                <w:szCs w:val="28"/>
                <w:highlight w:val="none"/>
                <w:lang w:val="en-US" w:eastAsia="zh-CN"/>
              </w:rPr>
              <w:t>推进县域副中心建设</w:t>
            </w:r>
            <w:r>
              <w:rPr>
                <w:rFonts w:hint="default" w:ascii="Times New Roman" w:hAnsi="Times New Roman" w:eastAsia="仿宋_GB2312" w:cs="Times New Roman"/>
                <w:color w:val="auto"/>
                <w:kern w:val="2"/>
                <w:sz w:val="28"/>
                <w:szCs w:val="28"/>
                <w:highlight w:val="none"/>
                <w:lang w:val="en-US" w:eastAsia="zh-CN"/>
              </w:rPr>
              <w:t>：</w:t>
            </w:r>
            <w:r>
              <w:rPr>
                <w:rFonts w:hint="eastAsia" w:cs="Times New Roman"/>
                <w:color w:val="auto"/>
                <w:kern w:val="2"/>
                <w:sz w:val="28"/>
                <w:szCs w:val="28"/>
                <w:highlight w:val="none"/>
                <w:lang w:val="en-US" w:eastAsia="zh-CN"/>
              </w:rPr>
              <w:t>1.推进阿坝州理县薛城镇沙金坝片区市政基础设施建设项目前期工作。2.开展</w:t>
            </w:r>
            <w:r>
              <w:rPr>
                <w:rFonts w:hint="default" w:ascii="Times New Roman" w:hAnsi="Times New Roman" w:eastAsia="仿宋_GB2312" w:cs="Times New Roman"/>
                <w:color w:val="auto"/>
                <w:kern w:val="2"/>
                <w:sz w:val="28"/>
                <w:szCs w:val="28"/>
                <w:highlight w:val="none"/>
                <w:lang w:val="en-US" w:eastAsia="zh-CN"/>
              </w:rPr>
              <w:t>薛城镇停车场建设</w:t>
            </w:r>
            <w:r>
              <w:rPr>
                <w:rFonts w:hint="eastAsia" w:cs="Times New Roman"/>
                <w:color w:val="auto"/>
                <w:kern w:val="2"/>
                <w:sz w:val="28"/>
                <w:szCs w:val="28"/>
                <w:highlight w:val="none"/>
                <w:lang w:val="en-US" w:eastAsia="zh-CN"/>
              </w:rPr>
              <w:t>、薛城镇供水厂提标改造等项目论证工作</w:t>
            </w:r>
            <w:r>
              <w:rPr>
                <w:rFonts w:hint="default" w:ascii="Times New Roman" w:hAnsi="Times New Roman" w:eastAsia="仿宋_GB2312" w:cs="Times New Roman"/>
                <w:color w:val="auto"/>
                <w:kern w:val="2"/>
                <w:sz w:val="28"/>
                <w:szCs w:val="28"/>
                <w:highlight w:val="none"/>
                <w:lang w:eastAsia="zh-CN"/>
              </w:rPr>
              <w:t>。</w:t>
            </w:r>
          </w:p>
          <w:p w14:paraId="6E521DC8">
            <w:pPr>
              <w:keepNext w:val="0"/>
              <w:keepLines w:val="0"/>
              <w:pageBreakBefore w:val="0"/>
              <w:widowControl/>
              <w:numPr>
                <w:ilvl w:val="0"/>
                <w:numId w:val="31"/>
              </w:numPr>
              <w:kinsoku/>
              <w:wordWrap/>
              <w:overflowPunct/>
              <w:topLinePunct w:val="0"/>
              <w:autoSpaceDE/>
              <w:autoSpaceDN/>
              <w:bidi w:val="0"/>
              <w:adjustRightInd w:val="0"/>
              <w:snapToGrid w:val="0"/>
              <w:spacing w:line="440" w:lineRule="exact"/>
              <w:ind w:left="420" w:leftChars="0" w:hanging="420" w:firstLineChars="0"/>
              <w:jc w:val="left"/>
              <w:textAlignment w:val="auto"/>
              <w:rPr>
                <w:rFonts w:hint="default" w:ascii="Times New Roman" w:hAnsi="Times New Roman" w:eastAsia="仿宋_GB2312" w:cs="Times New Roman"/>
                <w:color w:val="auto"/>
                <w:kern w:val="2"/>
                <w:sz w:val="28"/>
                <w:szCs w:val="28"/>
                <w:highlight w:val="none"/>
                <w:lang w:eastAsia="zh-CN"/>
              </w:rPr>
            </w:pPr>
            <w:r>
              <w:rPr>
                <w:rFonts w:hint="default" w:ascii="Times New Roman" w:hAnsi="Times New Roman" w:eastAsia="仿宋_GB2312" w:cs="Times New Roman"/>
                <w:b/>
                <w:bCs/>
                <w:color w:val="auto"/>
                <w:kern w:val="2"/>
                <w:sz w:val="28"/>
                <w:szCs w:val="28"/>
                <w:highlight w:val="none"/>
                <w:lang w:val="en-US" w:eastAsia="zh-CN"/>
              </w:rPr>
              <w:t>积极打造片区重点镇</w:t>
            </w:r>
            <w:r>
              <w:rPr>
                <w:rFonts w:hint="default" w:ascii="Times New Roman" w:hAnsi="Times New Roman" w:eastAsia="仿宋_GB2312" w:cs="Times New Roman"/>
                <w:color w:val="auto"/>
                <w:kern w:val="2"/>
                <w:sz w:val="28"/>
                <w:szCs w:val="28"/>
                <w:highlight w:val="none"/>
                <w:lang w:val="en-US" w:eastAsia="zh-CN"/>
              </w:rPr>
              <w:t>：</w:t>
            </w:r>
            <w:r>
              <w:rPr>
                <w:rFonts w:hint="eastAsia" w:cs="Times New Roman"/>
                <w:color w:val="auto"/>
                <w:kern w:val="2"/>
                <w:sz w:val="28"/>
                <w:szCs w:val="28"/>
                <w:highlight w:val="none"/>
                <w:lang w:val="en-US" w:eastAsia="zh-CN"/>
              </w:rPr>
              <w:t>1.</w:t>
            </w:r>
            <w:r>
              <w:rPr>
                <w:rFonts w:hint="default" w:ascii="Times New Roman" w:hAnsi="Times New Roman" w:eastAsia="仿宋_GB2312" w:cs="Times New Roman"/>
                <w:color w:val="auto"/>
                <w:kern w:val="2"/>
                <w:sz w:val="28"/>
                <w:szCs w:val="28"/>
                <w:highlight w:val="none"/>
                <w:lang w:val="en-US" w:eastAsia="zh-CN"/>
              </w:rPr>
              <w:t>实施古尔沟镇木城片区、朴头镇关口片区、桃坪镇桃坪片区市政基础设施建设项目和桃坪镇污水处理厂建设项目</w:t>
            </w:r>
            <w:r>
              <w:rPr>
                <w:rFonts w:hint="eastAsia" w:cs="Times New Roman"/>
                <w:color w:val="auto"/>
                <w:kern w:val="2"/>
                <w:sz w:val="28"/>
                <w:szCs w:val="28"/>
                <w:highlight w:val="none"/>
                <w:lang w:val="en-US" w:eastAsia="zh-CN"/>
              </w:rPr>
              <w:t>。2.</w:t>
            </w:r>
            <w:r>
              <w:rPr>
                <w:rFonts w:hint="default" w:ascii="Times New Roman" w:hAnsi="Times New Roman" w:eastAsia="仿宋_GB2312" w:cs="Times New Roman"/>
                <w:color w:val="auto"/>
                <w:kern w:val="2"/>
                <w:sz w:val="28"/>
                <w:szCs w:val="28"/>
                <w:highlight w:val="none"/>
                <w:lang w:val="en-US" w:eastAsia="zh-CN"/>
              </w:rPr>
              <w:t>推进米亚罗镇市政基础设施建设</w:t>
            </w:r>
            <w:r>
              <w:rPr>
                <w:rFonts w:hint="eastAsia" w:cs="Times New Roman"/>
                <w:color w:val="auto"/>
                <w:kern w:val="2"/>
                <w:sz w:val="28"/>
                <w:szCs w:val="28"/>
                <w:highlight w:val="none"/>
                <w:lang w:val="en-US" w:eastAsia="zh-CN"/>
              </w:rPr>
              <w:t>、理县建制镇既有建筑节能改造建设（一期）等项目前期工作。3.开展</w:t>
            </w:r>
            <w:r>
              <w:rPr>
                <w:rFonts w:hint="default" w:ascii="Times New Roman" w:hAnsi="Times New Roman" w:eastAsia="仿宋_GB2312" w:cs="Times New Roman"/>
                <w:color w:val="auto"/>
                <w:kern w:val="2"/>
                <w:sz w:val="28"/>
                <w:szCs w:val="28"/>
                <w:highlight w:val="none"/>
                <w:lang w:val="en-US" w:eastAsia="zh-CN"/>
              </w:rPr>
              <w:t>米亚罗镇、古尔沟镇、朴头镇、桃坪镇停车场建设</w:t>
            </w:r>
            <w:r>
              <w:rPr>
                <w:rFonts w:hint="eastAsia" w:cs="Times New Roman"/>
                <w:color w:val="auto"/>
                <w:kern w:val="2"/>
                <w:sz w:val="28"/>
                <w:szCs w:val="28"/>
                <w:highlight w:val="none"/>
                <w:lang w:val="en-US" w:eastAsia="zh-CN"/>
              </w:rPr>
              <w:t>以及古尔沟镇、朴头镇、桃坪镇供水厂提标改造、米亚罗镇供水厂设施更新改造等项目论证</w:t>
            </w:r>
            <w:r>
              <w:rPr>
                <w:rFonts w:hint="default" w:ascii="Times New Roman" w:hAnsi="Times New Roman" w:eastAsia="仿宋_GB2312" w:cs="Times New Roman"/>
                <w:color w:val="auto"/>
                <w:kern w:val="2"/>
                <w:sz w:val="28"/>
                <w:szCs w:val="28"/>
                <w:highlight w:val="none"/>
                <w:lang w:val="en-US" w:eastAsia="zh-CN"/>
              </w:rPr>
              <w:t>工作</w:t>
            </w:r>
            <w:r>
              <w:rPr>
                <w:rFonts w:hint="eastAsia" w:cs="Times New Roman"/>
                <w:color w:val="auto"/>
                <w:kern w:val="2"/>
                <w:sz w:val="28"/>
                <w:szCs w:val="28"/>
                <w:highlight w:val="none"/>
                <w:lang w:val="en-US" w:eastAsia="zh-CN"/>
              </w:rPr>
              <w:t>。</w:t>
            </w:r>
          </w:p>
          <w:p w14:paraId="70A7763C">
            <w:pPr>
              <w:keepNext w:val="0"/>
              <w:keepLines w:val="0"/>
              <w:pageBreakBefore w:val="0"/>
              <w:widowControl/>
              <w:numPr>
                <w:ilvl w:val="0"/>
                <w:numId w:val="31"/>
              </w:numPr>
              <w:kinsoku/>
              <w:wordWrap/>
              <w:overflowPunct/>
              <w:topLinePunct w:val="0"/>
              <w:autoSpaceDE/>
              <w:autoSpaceDN/>
              <w:bidi w:val="0"/>
              <w:adjustRightInd w:val="0"/>
              <w:snapToGrid w:val="0"/>
              <w:spacing w:line="440" w:lineRule="exact"/>
              <w:ind w:left="420" w:leftChars="0" w:hanging="420" w:firstLineChars="0"/>
              <w:jc w:val="left"/>
              <w:textAlignment w:val="auto"/>
              <w:rPr>
                <w:rFonts w:hint="default" w:ascii="Times New Roman" w:hAnsi="Times New Roman" w:eastAsia="仿宋_GB2312" w:cs="Times New Roman"/>
                <w:color w:val="auto"/>
                <w:kern w:val="2"/>
                <w:sz w:val="28"/>
                <w:szCs w:val="28"/>
                <w:highlight w:val="none"/>
                <w:lang w:eastAsia="zh-CN"/>
              </w:rPr>
            </w:pPr>
            <w:r>
              <w:rPr>
                <w:rFonts w:hint="default" w:ascii="Times New Roman" w:hAnsi="Times New Roman" w:eastAsia="仿宋_GB2312" w:cs="Times New Roman"/>
                <w:b/>
                <w:bCs/>
                <w:color w:val="auto"/>
                <w:kern w:val="2"/>
                <w:sz w:val="28"/>
                <w:szCs w:val="28"/>
                <w:highlight w:val="none"/>
                <w:lang w:val="en-US" w:eastAsia="zh-CN"/>
              </w:rPr>
              <w:t>分类培育特色乡镇</w:t>
            </w:r>
            <w:r>
              <w:rPr>
                <w:rFonts w:hint="default" w:ascii="Times New Roman" w:hAnsi="Times New Roman" w:eastAsia="仿宋_GB2312" w:cs="Times New Roman"/>
                <w:color w:val="auto"/>
                <w:kern w:val="2"/>
                <w:sz w:val="28"/>
                <w:szCs w:val="28"/>
                <w:highlight w:val="none"/>
                <w:lang w:val="en-US" w:eastAsia="zh-CN"/>
              </w:rPr>
              <w:t>：</w:t>
            </w:r>
            <w:r>
              <w:rPr>
                <w:rFonts w:hint="eastAsia" w:cs="Times New Roman"/>
                <w:color w:val="auto"/>
                <w:kern w:val="2"/>
                <w:sz w:val="28"/>
                <w:szCs w:val="28"/>
                <w:highlight w:val="none"/>
                <w:lang w:val="en-US" w:eastAsia="zh-CN"/>
              </w:rPr>
              <w:t>开展理县各乡镇特色街区建设项目、理县建制镇既有建筑节能改造建设项目（二期）、</w:t>
            </w:r>
            <w:r>
              <w:rPr>
                <w:rFonts w:hint="default" w:ascii="Times New Roman" w:hAnsi="Times New Roman" w:eastAsia="仿宋_GB2312" w:cs="Times New Roman"/>
                <w:color w:val="auto"/>
                <w:kern w:val="2"/>
                <w:sz w:val="28"/>
                <w:szCs w:val="28"/>
                <w:highlight w:val="none"/>
                <w:lang w:val="en-US" w:eastAsia="zh-CN"/>
              </w:rPr>
              <w:t>理县城镇污水处理设施提标改造及配套主干管网改造项目</w:t>
            </w:r>
            <w:r>
              <w:rPr>
                <w:rFonts w:hint="eastAsia" w:cs="Times New Roman"/>
                <w:color w:val="auto"/>
                <w:kern w:val="2"/>
                <w:sz w:val="28"/>
                <w:szCs w:val="28"/>
                <w:highlight w:val="none"/>
                <w:lang w:val="en-US" w:eastAsia="zh-CN"/>
              </w:rPr>
              <w:t>等论证工作。</w:t>
            </w:r>
          </w:p>
        </w:tc>
      </w:tr>
    </w:tbl>
    <w:p w14:paraId="6450F18B">
      <w:pPr>
        <w:keepNext/>
        <w:widowControl w:val="0"/>
        <w:numPr>
          <w:ilvl w:val="0"/>
          <w:numId w:val="1"/>
        </w:numPr>
        <w:bidi w:val="0"/>
        <w:snapToGrid w:val="0"/>
        <w:spacing w:before="100" w:beforeLines="100" w:after="100" w:afterLines="100" w:line="560" w:lineRule="exact"/>
        <w:ind w:left="0" w:leftChars="0" w:firstLine="0" w:firstLineChars="0"/>
        <w:jc w:val="center"/>
        <w:outlineLvl w:val="1"/>
        <w:rPr>
          <w:rFonts w:hint="default" w:ascii="Times New Roman" w:hAnsi="Times New Roman" w:eastAsia="黑体" w:cs="Times New Roman"/>
          <w:color w:val="auto"/>
          <w:kern w:val="2"/>
          <w:sz w:val="32"/>
          <w:szCs w:val="24"/>
          <w:highlight w:val="none"/>
          <w:lang w:val="en-US" w:eastAsia="zh-CN" w:bidi="ar-SA"/>
        </w:rPr>
      </w:pPr>
      <w:r>
        <w:rPr>
          <w:rFonts w:hint="default" w:ascii="Times New Roman" w:hAnsi="Times New Roman" w:eastAsia="黑体" w:cs="Times New Roman"/>
          <w:color w:val="auto"/>
          <w:kern w:val="2"/>
          <w:sz w:val="32"/>
          <w:szCs w:val="24"/>
          <w:highlight w:val="none"/>
          <w:lang w:val="en-US" w:eastAsia="zh-CN" w:bidi="ar-SA"/>
        </w:rPr>
        <w:t xml:space="preserve"> </w:t>
      </w:r>
      <w:bookmarkStart w:id="451" w:name="_Toc30576"/>
      <w:bookmarkStart w:id="452" w:name="_Toc8958"/>
      <w:bookmarkStart w:id="453" w:name="_Toc2418"/>
      <w:bookmarkStart w:id="454" w:name="_Toc11024"/>
      <w:bookmarkStart w:id="455" w:name="_Toc25824"/>
      <w:r>
        <w:rPr>
          <w:rFonts w:hint="default" w:ascii="Times New Roman" w:hAnsi="Times New Roman" w:eastAsia="黑体" w:cs="Times New Roman"/>
          <w:color w:val="auto"/>
          <w:kern w:val="2"/>
          <w:sz w:val="32"/>
          <w:szCs w:val="24"/>
          <w:highlight w:val="none"/>
          <w:lang w:val="en-US" w:eastAsia="zh-CN" w:bidi="ar-SA"/>
        </w:rPr>
        <w:fldChar w:fldCharType="begin"/>
      </w:r>
      <w:r>
        <w:rPr>
          <w:rFonts w:hint="default" w:ascii="Times New Roman" w:hAnsi="Times New Roman" w:eastAsia="黑体" w:cs="Times New Roman"/>
          <w:color w:val="auto"/>
          <w:kern w:val="2"/>
          <w:sz w:val="32"/>
          <w:szCs w:val="24"/>
          <w:highlight w:val="none"/>
          <w:lang w:val="en-US" w:eastAsia="zh-CN" w:bidi="ar-SA"/>
        </w:rPr>
        <w:instrText xml:space="preserve"> HYPERLINK \l _Toc223 </w:instrText>
      </w:r>
      <w:r>
        <w:rPr>
          <w:rFonts w:hint="default" w:ascii="Times New Roman" w:hAnsi="Times New Roman" w:eastAsia="黑体" w:cs="Times New Roman"/>
          <w:color w:val="auto"/>
          <w:kern w:val="2"/>
          <w:sz w:val="32"/>
          <w:szCs w:val="24"/>
          <w:highlight w:val="none"/>
          <w:lang w:val="en-US" w:eastAsia="zh-CN" w:bidi="ar-SA"/>
        </w:rPr>
        <w:fldChar w:fldCharType="separate"/>
      </w:r>
      <w:r>
        <w:rPr>
          <w:rFonts w:hint="default" w:ascii="Times New Roman" w:hAnsi="Times New Roman" w:eastAsia="黑体" w:cs="Times New Roman"/>
          <w:color w:val="auto"/>
          <w:kern w:val="2"/>
          <w:sz w:val="32"/>
          <w:szCs w:val="24"/>
          <w:highlight w:val="none"/>
          <w:lang w:val="en-US" w:eastAsia="zh-CN" w:bidi="ar-SA"/>
        </w:rPr>
        <w:fldChar w:fldCharType="begin"/>
      </w:r>
      <w:r>
        <w:rPr>
          <w:rFonts w:hint="default" w:ascii="Times New Roman" w:hAnsi="Times New Roman" w:eastAsia="黑体" w:cs="Times New Roman"/>
          <w:color w:val="auto"/>
          <w:kern w:val="2"/>
          <w:sz w:val="32"/>
          <w:szCs w:val="24"/>
          <w:highlight w:val="none"/>
          <w:lang w:val="en-US" w:eastAsia="zh-CN" w:bidi="ar-SA"/>
        </w:rPr>
        <w:instrText xml:space="preserve"> HYPERLINK \l _Toc1391 </w:instrText>
      </w:r>
      <w:r>
        <w:rPr>
          <w:rFonts w:hint="default" w:ascii="Times New Roman" w:hAnsi="Times New Roman" w:eastAsia="黑体" w:cs="Times New Roman"/>
          <w:color w:val="auto"/>
          <w:kern w:val="2"/>
          <w:sz w:val="32"/>
          <w:szCs w:val="24"/>
          <w:highlight w:val="none"/>
          <w:lang w:val="en-US" w:eastAsia="zh-CN" w:bidi="ar-SA"/>
        </w:rPr>
        <w:fldChar w:fldCharType="separate"/>
      </w:r>
      <w:r>
        <w:rPr>
          <w:rFonts w:hint="default" w:ascii="Times New Roman" w:hAnsi="Times New Roman" w:eastAsia="黑体" w:cs="Times New Roman"/>
          <w:color w:val="auto"/>
          <w:kern w:val="2"/>
          <w:sz w:val="32"/>
          <w:szCs w:val="24"/>
          <w:highlight w:val="none"/>
          <w:lang w:val="en-US" w:eastAsia="zh-CN" w:bidi="ar-SA"/>
        </w:rPr>
        <w:t>建设宜居宜业和美乡村</w:t>
      </w:r>
      <w:r>
        <w:rPr>
          <w:rFonts w:hint="default" w:ascii="Times New Roman" w:hAnsi="Times New Roman" w:eastAsia="黑体" w:cs="Times New Roman"/>
          <w:color w:val="auto"/>
          <w:kern w:val="2"/>
          <w:sz w:val="32"/>
          <w:szCs w:val="24"/>
          <w:highlight w:val="none"/>
          <w:lang w:val="en-US" w:eastAsia="zh-CN" w:bidi="ar-SA"/>
        </w:rPr>
        <w:fldChar w:fldCharType="end"/>
      </w:r>
      <w:r>
        <w:rPr>
          <w:rFonts w:hint="default" w:ascii="Times New Roman" w:hAnsi="Times New Roman" w:eastAsia="黑体" w:cs="Times New Roman"/>
          <w:color w:val="auto"/>
          <w:kern w:val="2"/>
          <w:sz w:val="32"/>
          <w:szCs w:val="24"/>
          <w:highlight w:val="none"/>
          <w:lang w:val="en-US" w:eastAsia="zh-CN" w:bidi="ar-SA"/>
        </w:rPr>
        <w:fldChar w:fldCharType="end"/>
      </w:r>
      <w:bookmarkEnd w:id="451"/>
      <w:bookmarkEnd w:id="452"/>
      <w:bookmarkEnd w:id="453"/>
      <w:bookmarkEnd w:id="454"/>
      <w:bookmarkEnd w:id="455"/>
    </w:p>
    <w:p w14:paraId="4FB42E5A">
      <w:pPr>
        <w:keepNext/>
        <w:widowControl w:val="0"/>
        <w:numPr>
          <w:ilvl w:val="0"/>
          <w:numId w:val="33"/>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456" w:name="_Toc4296"/>
      <w:bookmarkStart w:id="457" w:name="_Toc21878"/>
      <w:bookmarkStart w:id="458" w:name="_Toc4580"/>
      <w:bookmarkStart w:id="459" w:name="_Toc7999"/>
      <w:bookmarkStart w:id="460" w:name="_Toc11306"/>
      <w:bookmarkStart w:id="461" w:name="_Toc9207"/>
      <w:bookmarkStart w:id="462" w:name="_Toc24053"/>
      <w:bookmarkStart w:id="463" w:name="_Toc31868"/>
      <w:bookmarkStart w:id="464" w:name="_Toc32606"/>
      <w:bookmarkStart w:id="465" w:name="_Toc12995"/>
      <w:bookmarkStart w:id="466" w:name="_Toc8448"/>
      <w:r>
        <w:rPr>
          <w:rFonts w:hint="default" w:ascii="Times New Roman" w:hAnsi="Times New Roman" w:eastAsia="楷体_GB2312" w:cs="Times New Roman"/>
          <w:b/>
          <w:bCs w:val="0"/>
          <w:color w:val="auto"/>
          <w:kern w:val="2"/>
          <w:sz w:val="32"/>
          <w:szCs w:val="32"/>
          <w:highlight w:val="none"/>
          <w:lang w:val="en-US" w:eastAsia="zh-CN" w:bidi="ar-SA"/>
        </w:rPr>
        <w:t>巩固拓展脱贫攻坚成果</w:t>
      </w:r>
      <w:bookmarkEnd w:id="456"/>
      <w:bookmarkEnd w:id="457"/>
      <w:bookmarkEnd w:id="458"/>
      <w:bookmarkEnd w:id="459"/>
      <w:bookmarkEnd w:id="460"/>
      <w:bookmarkEnd w:id="461"/>
      <w:bookmarkEnd w:id="462"/>
      <w:bookmarkEnd w:id="463"/>
      <w:bookmarkEnd w:id="464"/>
      <w:bookmarkEnd w:id="465"/>
    </w:p>
    <w:p w14:paraId="193C2E2A">
      <w:pPr>
        <w:keepNext w:val="0"/>
        <w:keepLines w:val="0"/>
        <w:widowControl/>
        <w:suppressLineNumbers w:val="0"/>
        <w:spacing w:line="560" w:lineRule="exact"/>
        <w:ind w:firstLine="640" w:firstLineChars="200"/>
        <w:jc w:val="left"/>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严格落实“四个不摘”，健全防返贫动态监测、风险预警和应急救助机制，常态化开展集中排查和“巡村包户”九条措施，确保“两不愁三保障”持续达标。完善生产奖补、劳动补助制度，实施产业带动、资产盘活、政策落实等“六个一批”增收行动，充分激发群众内生动力。强化产业和就业双向扶持，支持脱贫地区特色产业升级壮大，促进脱贫人口稳定就业，全面提升帮扶效能，坚决守住不发生规模性返贫底线。</w:t>
      </w:r>
    </w:p>
    <w:p w14:paraId="147767DB">
      <w:pPr>
        <w:keepNext/>
        <w:widowControl w:val="0"/>
        <w:numPr>
          <w:ilvl w:val="0"/>
          <w:numId w:val="33"/>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467" w:name="_Toc25693"/>
      <w:bookmarkStart w:id="468" w:name="_Toc24115"/>
      <w:bookmarkStart w:id="469" w:name="_Toc16178"/>
      <w:bookmarkStart w:id="470" w:name="_Toc27132"/>
      <w:r>
        <w:rPr>
          <w:rFonts w:hint="default" w:ascii="Times New Roman" w:hAnsi="Times New Roman" w:eastAsia="楷体_GB2312" w:cs="Times New Roman"/>
          <w:b/>
          <w:bCs w:val="0"/>
          <w:color w:val="auto"/>
          <w:kern w:val="2"/>
          <w:sz w:val="32"/>
          <w:szCs w:val="32"/>
          <w:highlight w:val="none"/>
          <w:lang w:val="en-US" w:eastAsia="zh-CN" w:bidi="ar-SA"/>
        </w:rPr>
        <w:t>分类推进各类村庄建设</w:t>
      </w:r>
      <w:bookmarkEnd w:id="466"/>
      <w:bookmarkEnd w:id="467"/>
      <w:bookmarkEnd w:id="468"/>
      <w:bookmarkEnd w:id="469"/>
      <w:bookmarkEnd w:id="470"/>
    </w:p>
    <w:p w14:paraId="2B3E2A87">
      <w:pPr>
        <w:keepNext w:val="0"/>
        <w:keepLines w:val="0"/>
        <w:widowControl/>
        <w:suppressLineNumbers w:val="0"/>
        <w:spacing w:line="560" w:lineRule="exact"/>
        <w:ind w:firstLine="640" w:firstLineChars="200"/>
        <w:jc w:val="left"/>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立足理县山多地少、河谷串珠的地理格局与人口梯度转移趋势，遵循乡村演进规律，引导人口、产业、服务向河谷沿线和中心村有序集聚，分类施策、梯次推进乡村振兴，形成各具特色、差异互补的乡村发展新格局。推动城郊融合类村庄建设，突出功能互补与设施共享，系统承接冷链物流、康养休闲、市政配套等城镇功能外溢，打造综合服务支点。推动集聚提升类村庄建设，完善道路、水利、能源、信息等基础设施及教育、医疗、养老等公共服务，强化产业平台与人口集聚功能。推动特色保护类村庄建设，严守生态与文化保护红线，合理利用自然山水、藏羌古寨、非遗技艺等特色资源，有序发展精品民宿、研学旅行、生态种养等乡村旅游和特色产业，实现资源永续利用与村庄高质量发展良性互促。</w:t>
      </w:r>
    </w:p>
    <w:p w14:paraId="0635CAA1">
      <w:pPr>
        <w:keepNext/>
        <w:widowControl w:val="0"/>
        <w:numPr>
          <w:ilvl w:val="0"/>
          <w:numId w:val="33"/>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471" w:name="_Toc17752"/>
      <w:bookmarkStart w:id="472" w:name="_Toc30822"/>
      <w:bookmarkStart w:id="473" w:name="_Toc9959"/>
      <w:bookmarkStart w:id="474" w:name="_Toc10967"/>
      <w:bookmarkStart w:id="475" w:name="_Toc6835"/>
      <w:r>
        <w:rPr>
          <w:rFonts w:hint="default" w:ascii="Times New Roman" w:hAnsi="Times New Roman" w:eastAsia="楷体_GB2312" w:cs="Times New Roman"/>
          <w:b/>
          <w:bCs w:val="0"/>
          <w:color w:val="auto"/>
          <w:kern w:val="2"/>
          <w:sz w:val="32"/>
          <w:szCs w:val="32"/>
          <w:highlight w:val="none"/>
          <w:lang w:val="en-US" w:eastAsia="zh-CN" w:bidi="ar-SA"/>
        </w:rPr>
        <w:t>发展壮大村寨集体经济</w:t>
      </w:r>
      <w:bookmarkEnd w:id="471"/>
      <w:bookmarkEnd w:id="472"/>
      <w:bookmarkEnd w:id="473"/>
      <w:bookmarkEnd w:id="474"/>
      <w:bookmarkEnd w:id="475"/>
    </w:p>
    <w:p w14:paraId="19C231B8">
      <w:pPr>
        <w:bidi w:val="0"/>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color w:val="auto"/>
          <w:sz w:val="32"/>
          <w:szCs w:val="22"/>
          <w:highlight w:val="none"/>
          <w:lang w:val="en-US" w:eastAsia="zh-CN"/>
        </w:rPr>
        <w:t>坚持资源盘活、要素激活、产业融合、机制创新并行，系统开展农村集体闲置资产清查、评估、流转，推动生产要素与市场精准对接、共营共享。支持集体经济组织以村民入股、集体出资、专业运营等方式联合开发闲置资源，壮大集体经济，增强自我造血功能。鼓励</w:t>
      </w:r>
      <w:r>
        <w:rPr>
          <w:rFonts w:hint="eastAsia" w:cs="Times New Roman"/>
          <w:color w:val="auto"/>
          <w:sz w:val="32"/>
          <w:szCs w:val="22"/>
          <w:highlight w:val="none"/>
          <w:lang w:val="en-US" w:eastAsia="zh-CN"/>
        </w:rPr>
        <w:t>村</w:t>
      </w:r>
      <w:r>
        <w:rPr>
          <w:rFonts w:hint="default" w:ascii="Times New Roman" w:hAnsi="Times New Roman" w:eastAsia="仿宋_GB2312" w:cs="Times New Roman"/>
          <w:color w:val="auto"/>
          <w:sz w:val="32"/>
          <w:szCs w:val="22"/>
          <w:highlight w:val="none"/>
          <w:lang w:val="en-US" w:eastAsia="zh-CN"/>
        </w:rPr>
        <w:t>集体经济组织通过“合伙人”机制引进人才团队，设立“村集体合伙人服务中心”，提供项目审批、融资对接、技能培训、品牌推介等全周期服务。统筹东西部协作资金、财政涉农整合资金、金融信贷资金多元投入，创新推出“集体经济贷”，为农村集体经济持续健康发展提供坚实保障。</w:t>
      </w:r>
    </w:p>
    <w:p w14:paraId="782955D6">
      <w:pPr>
        <w:keepNext/>
        <w:widowControl w:val="0"/>
        <w:numPr>
          <w:ilvl w:val="0"/>
          <w:numId w:val="33"/>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476" w:name="_Toc1467"/>
      <w:bookmarkStart w:id="477" w:name="_Toc15070"/>
      <w:bookmarkStart w:id="478" w:name="_Toc3684"/>
      <w:bookmarkStart w:id="479" w:name="_Toc31620"/>
      <w:bookmarkStart w:id="480" w:name="_Toc25862"/>
      <w:r>
        <w:rPr>
          <w:rFonts w:hint="default" w:ascii="Times New Roman" w:hAnsi="Times New Roman" w:eastAsia="楷体_GB2312" w:cs="Times New Roman"/>
          <w:b/>
          <w:bCs w:val="0"/>
          <w:color w:val="auto"/>
          <w:kern w:val="2"/>
          <w:sz w:val="32"/>
          <w:szCs w:val="32"/>
          <w:highlight w:val="none"/>
          <w:lang w:val="en-US" w:eastAsia="zh-CN" w:bidi="ar-SA"/>
        </w:rPr>
        <w:t>持续改善农村人居环境</w:t>
      </w:r>
      <w:bookmarkEnd w:id="476"/>
      <w:bookmarkEnd w:id="477"/>
      <w:bookmarkEnd w:id="478"/>
      <w:bookmarkEnd w:id="479"/>
      <w:bookmarkEnd w:id="480"/>
    </w:p>
    <w:p w14:paraId="3ADBBE20">
      <w:pPr>
        <w:keepNext w:val="0"/>
        <w:keepLines w:val="0"/>
        <w:widowControl/>
        <w:suppressLineNumbers w:val="0"/>
        <w:spacing w:line="560" w:lineRule="exact"/>
        <w:ind w:firstLine="640" w:firstLineChars="200"/>
        <w:jc w:val="left"/>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围绕“田园美、村庄美、生活美”，持续推进农村垃圾、污水、“厕所革命”、畜禽粪污资源化利用和村庄清洁“五大行动”，大力实施村庄生态化有机更新，全面提升农村人居环境质量。坚持“分类指导、风格协调、美观实用、环保经济”原则，加强乡村形态与风貌管控，深入挖掘和提升农业生态功能和景观功能，开展乡村景观化、景区化建设行动，促进村庄聚落与周边“山、水、田、林”等生态环境相互协调。系统提升自然村落生活配套与生态场所基础设施，统筹营造生产高效、生活便利、生态优美、治理有序的乡村场景，实现水、电、路、气、视、讯全要素覆盖，农村社区、聚居点、景区交通无缝衔接，全面改善乡村生产生活条件。</w:t>
      </w:r>
      <w:r>
        <w:rPr>
          <w:rFonts w:hint="default" w:ascii="Times New Roman" w:hAnsi="Times New Roman" w:eastAsia="仿宋_GB2312" w:cs="Times New Roman"/>
          <w:b w:val="0"/>
          <w:bCs/>
          <w:color w:val="auto"/>
          <w:sz w:val="32"/>
          <w:szCs w:val="32"/>
          <w:highlight w:val="none"/>
          <w:lang w:val="en-US" w:eastAsia="zh-CN"/>
        </w:rPr>
        <w:t xml:space="preserve"> </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01B20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shd w:val="clear" w:color="auto" w:fill="7F7F7F" w:themeFill="text1" w:themeFillTint="7F"/>
          </w:tcPr>
          <w:p w14:paraId="193E3F4D">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center"/>
              <w:rPr>
                <w:rFonts w:hint="default" w:ascii="Times New Roman" w:hAnsi="Times New Roman" w:eastAsia="黑体" w:cs="Times New Roman"/>
                <w:b/>
                <w:bCs/>
                <w:color w:val="auto"/>
                <w:kern w:val="0"/>
                <w:sz w:val="28"/>
                <w:szCs w:val="28"/>
                <w:highlight w:val="none"/>
                <w:lang w:val="en-US" w:eastAsia="zh-CN" w:bidi="ar"/>
              </w:rPr>
            </w:pPr>
            <w:r>
              <w:rPr>
                <w:rFonts w:hint="default" w:ascii="Times New Roman" w:hAnsi="Times New Roman" w:eastAsia="黑体" w:cs="Times New Roman"/>
                <w:b/>
                <w:bCs/>
                <w:color w:val="auto"/>
                <w:kern w:val="0"/>
                <w:sz w:val="28"/>
                <w:szCs w:val="28"/>
                <w:highlight w:val="none"/>
                <w:lang w:bidi="ar"/>
              </w:rPr>
              <w:t>专栏</w:t>
            </w:r>
            <w:r>
              <w:rPr>
                <w:rFonts w:hint="default" w:ascii="Times New Roman" w:hAnsi="Times New Roman" w:eastAsia="黑体" w:cs="Times New Roman"/>
                <w:b/>
                <w:bCs/>
                <w:color w:val="auto"/>
                <w:kern w:val="0"/>
                <w:sz w:val="28"/>
                <w:szCs w:val="28"/>
                <w:highlight w:val="none"/>
                <w:lang w:val="en-US" w:eastAsia="zh-CN" w:bidi="ar"/>
              </w:rPr>
              <w:t>1</w:t>
            </w:r>
            <w:r>
              <w:rPr>
                <w:rFonts w:hint="eastAsia" w:eastAsia="黑体" w:cs="Times New Roman"/>
                <w:b/>
                <w:bCs/>
                <w:color w:val="auto"/>
                <w:kern w:val="0"/>
                <w:sz w:val="28"/>
                <w:szCs w:val="28"/>
                <w:highlight w:val="none"/>
                <w:lang w:val="en-US" w:eastAsia="zh-CN" w:bidi="ar"/>
              </w:rPr>
              <w:t>8</w:t>
            </w:r>
            <w:r>
              <w:rPr>
                <w:rFonts w:hint="default" w:ascii="Times New Roman" w:hAnsi="Times New Roman" w:eastAsia="黑体" w:cs="Times New Roman"/>
                <w:b/>
                <w:bCs/>
                <w:color w:val="auto"/>
                <w:kern w:val="0"/>
                <w:sz w:val="28"/>
                <w:szCs w:val="28"/>
                <w:highlight w:val="none"/>
                <w:lang w:val="en-US" w:eastAsia="zh-CN" w:bidi="ar"/>
              </w:rPr>
              <w:t xml:space="preserve"> </w:t>
            </w:r>
            <w:r>
              <w:rPr>
                <w:rFonts w:hint="default" w:ascii="Times New Roman" w:hAnsi="Times New Roman" w:eastAsia="黑体" w:cs="Times New Roman"/>
                <w:b/>
                <w:bCs/>
                <w:color w:val="auto"/>
                <w:kern w:val="0"/>
                <w:sz w:val="28"/>
                <w:szCs w:val="28"/>
                <w:highlight w:val="none"/>
                <w:lang w:bidi="ar"/>
              </w:rPr>
              <w:t xml:space="preserve"> </w:t>
            </w:r>
            <w:r>
              <w:rPr>
                <w:rFonts w:hint="default" w:ascii="Times New Roman" w:hAnsi="Times New Roman" w:eastAsia="黑体" w:cs="Times New Roman"/>
                <w:b/>
                <w:bCs/>
                <w:color w:val="auto"/>
                <w:kern w:val="0"/>
                <w:sz w:val="28"/>
                <w:szCs w:val="28"/>
                <w:highlight w:val="none"/>
                <w:lang w:val="en-US" w:eastAsia="zh-CN" w:bidi="ar"/>
              </w:rPr>
              <w:t>建设宜居宜业和美乡村重点工程</w:t>
            </w:r>
          </w:p>
        </w:tc>
      </w:tr>
      <w:tr w14:paraId="4E617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tcPr>
          <w:p w14:paraId="65CA1E07">
            <w:pPr>
              <w:keepNext w:val="0"/>
              <w:keepLines w:val="0"/>
              <w:pageBreakBefore w:val="0"/>
              <w:widowControl/>
              <w:numPr>
                <w:ilvl w:val="0"/>
                <w:numId w:val="13"/>
              </w:numPr>
              <w:kinsoku/>
              <w:wordWrap/>
              <w:overflowPunct/>
              <w:topLinePunct w:val="0"/>
              <w:autoSpaceDE/>
              <w:autoSpaceDN/>
              <w:bidi w:val="0"/>
              <w:adjustRightInd w:val="0"/>
              <w:snapToGrid w:val="0"/>
              <w:spacing w:line="440" w:lineRule="exact"/>
              <w:ind w:left="420" w:leftChars="0" w:hanging="420" w:firstLineChars="0"/>
              <w:jc w:val="left"/>
              <w:textAlignment w:val="auto"/>
              <w:rPr>
                <w:rFonts w:hint="default" w:ascii="Times New Roman" w:hAnsi="Times New Roman" w:eastAsia="仿宋_GB2312" w:cs="Times New Roman"/>
                <w:color w:val="auto"/>
                <w:kern w:val="2"/>
                <w:sz w:val="28"/>
                <w:szCs w:val="28"/>
                <w:highlight w:val="none"/>
                <w:lang w:eastAsia="zh-CN"/>
              </w:rPr>
            </w:pPr>
            <w:r>
              <w:rPr>
                <w:rFonts w:hint="default" w:ascii="Times New Roman" w:hAnsi="Times New Roman" w:eastAsia="仿宋_GB2312" w:cs="Times New Roman"/>
                <w:b/>
                <w:bCs/>
                <w:color w:val="auto"/>
                <w:kern w:val="2"/>
                <w:sz w:val="28"/>
                <w:szCs w:val="28"/>
                <w:highlight w:val="none"/>
                <w:lang w:val="en-US" w:eastAsia="zh-CN"/>
              </w:rPr>
              <w:t>建设宜居宜业和美乡村</w:t>
            </w:r>
            <w:r>
              <w:rPr>
                <w:rFonts w:hint="default" w:ascii="Times New Roman" w:hAnsi="Times New Roman" w:eastAsia="仿宋_GB2312" w:cs="Times New Roman"/>
                <w:color w:val="auto"/>
                <w:kern w:val="2"/>
                <w:sz w:val="28"/>
                <w:szCs w:val="28"/>
                <w:highlight w:val="none"/>
                <w:lang w:val="en-US" w:eastAsia="zh-CN"/>
              </w:rPr>
              <w:t>：</w:t>
            </w:r>
            <w:r>
              <w:rPr>
                <w:rFonts w:hint="eastAsia" w:cs="Times New Roman"/>
                <w:color w:val="auto"/>
                <w:kern w:val="2"/>
                <w:sz w:val="28"/>
                <w:szCs w:val="28"/>
                <w:highlight w:val="none"/>
                <w:lang w:val="en-US" w:eastAsia="zh-CN"/>
              </w:rPr>
              <w:t>1.完工理县薛城镇木卡村美丽移民村建设项目。2.</w:t>
            </w:r>
            <w:r>
              <w:rPr>
                <w:rFonts w:hint="default" w:ascii="Times New Roman" w:hAnsi="Times New Roman" w:eastAsia="仿宋_GB2312" w:cs="Times New Roman"/>
                <w:color w:val="auto"/>
                <w:kern w:val="2"/>
                <w:sz w:val="28"/>
                <w:szCs w:val="28"/>
                <w:highlight w:val="none"/>
                <w:lang w:val="en-US" w:eastAsia="zh-CN"/>
              </w:rPr>
              <w:t>实施理县农村人居环境示范县建设项目、理县宜居宜业和美乡村建设项目（一期）、理县上孟乡日波村农旅融合项目</w:t>
            </w:r>
            <w:r>
              <w:rPr>
                <w:rFonts w:hint="eastAsia" w:cs="Times New Roman"/>
                <w:color w:val="auto"/>
                <w:kern w:val="2"/>
                <w:sz w:val="28"/>
                <w:szCs w:val="28"/>
                <w:highlight w:val="none"/>
                <w:lang w:val="en-US" w:eastAsia="zh-CN"/>
              </w:rPr>
              <w:t>。3.</w:t>
            </w:r>
            <w:r>
              <w:rPr>
                <w:rFonts w:hint="default" w:ascii="Times New Roman" w:hAnsi="Times New Roman" w:eastAsia="仿宋_GB2312" w:cs="Times New Roman"/>
                <w:color w:val="auto"/>
                <w:kern w:val="2"/>
                <w:sz w:val="28"/>
                <w:szCs w:val="28"/>
                <w:highlight w:val="none"/>
                <w:lang w:val="en-US" w:eastAsia="zh-CN"/>
              </w:rPr>
              <w:t>推进朴头镇四南达村美村靓户建设、朴头镇庄房村人居环境综合整治、上孟乡日波村人居环境整治及庭院经济、休溪村传统村落保护修缮</w:t>
            </w:r>
            <w:r>
              <w:rPr>
                <w:rFonts w:hint="eastAsia" w:cs="Times New Roman"/>
                <w:color w:val="auto"/>
                <w:kern w:val="2"/>
                <w:sz w:val="28"/>
                <w:szCs w:val="28"/>
                <w:highlight w:val="none"/>
                <w:lang w:val="en-US" w:eastAsia="zh-CN"/>
              </w:rPr>
              <w:t>、蒲溪乡古羌文化研学街区建设、理县传统村落集中连片打造等项目</w:t>
            </w:r>
            <w:r>
              <w:rPr>
                <w:rFonts w:hint="default" w:ascii="Times New Roman" w:hAnsi="Times New Roman" w:eastAsia="仿宋_GB2312" w:cs="Times New Roman"/>
                <w:color w:val="auto"/>
                <w:kern w:val="2"/>
                <w:sz w:val="28"/>
                <w:szCs w:val="28"/>
                <w:highlight w:val="none"/>
                <w:lang w:val="en-US" w:eastAsia="zh-CN"/>
              </w:rPr>
              <w:t>前期工作。</w:t>
            </w:r>
            <w:r>
              <w:rPr>
                <w:rFonts w:hint="eastAsia" w:cs="Times New Roman"/>
                <w:color w:val="auto"/>
                <w:kern w:val="2"/>
                <w:sz w:val="28"/>
                <w:szCs w:val="28"/>
                <w:highlight w:val="none"/>
                <w:lang w:val="en-US" w:eastAsia="zh-CN"/>
              </w:rPr>
              <w:t>3.开展甘堡藏寨人居环境提升改造、下孟乡宜居宜业和美乡村示范、下孟乡嘉康村人居环境提升改造等项目论证工作。</w:t>
            </w:r>
          </w:p>
        </w:tc>
      </w:tr>
    </w:tbl>
    <w:p w14:paraId="2196492E">
      <w:pPr>
        <w:keepNext/>
        <w:widowControl w:val="0"/>
        <w:numPr>
          <w:ilvl w:val="0"/>
          <w:numId w:val="1"/>
        </w:numPr>
        <w:bidi w:val="0"/>
        <w:snapToGrid w:val="0"/>
        <w:spacing w:before="100" w:beforeLines="100" w:after="100" w:afterLines="100" w:line="560" w:lineRule="exact"/>
        <w:ind w:left="0" w:leftChars="0" w:firstLine="0" w:firstLineChars="0"/>
        <w:jc w:val="center"/>
        <w:outlineLvl w:val="1"/>
        <w:rPr>
          <w:rFonts w:hint="default" w:ascii="Times New Roman" w:hAnsi="Times New Roman" w:eastAsia="黑体" w:cs="Times New Roman"/>
          <w:color w:val="auto"/>
          <w:kern w:val="2"/>
          <w:sz w:val="32"/>
          <w:szCs w:val="24"/>
          <w:highlight w:val="none"/>
          <w:lang w:val="en-US" w:eastAsia="zh-CN" w:bidi="ar-SA"/>
        </w:rPr>
      </w:pPr>
      <w:r>
        <w:rPr>
          <w:rFonts w:hint="default" w:ascii="Times New Roman" w:hAnsi="Times New Roman" w:eastAsia="黑体" w:cs="Times New Roman"/>
          <w:color w:val="auto"/>
          <w:kern w:val="2"/>
          <w:sz w:val="32"/>
          <w:szCs w:val="24"/>
          <w:highlight w:val="none"/>
          <w:lang w:val="en-US" w:eastAsia="zh-CN" w:bidi="ar-SA"/>
        </w:rPr>
        <w:t xml:space="preserve"> </w:t>
      </w:r>
      <w:bookmarkStart w:id="481" w:name="_Toc17803"/>
      <w:bookmarkStart w:id="482" w:name="_Toc12944"/>
      <w:bookmarkStart w:id="483" w:name="_Toc4069"/>
      <w:bookmarkStart w:id="484" w:name="_Toc3207"/>
      <w:bookmarkStart w:id="485" w:name="_Toc20049"/>
      <w:r>
        <w:rPr>
          <w:rFonts w:hint="default" w:ascii="Times New Roman" w:hAnsi="Times New Roman" w:eastAsia="黑体" w:cs="Times New Roman"/>
          <w:color w:val="auto"/>
          <w:kern w:val="2"/>
          <w:sz w:val="32"/>
          <w:szCs w:val="24"/>
          <w:highlight w:val="none"/>
          <w:lang w:val="en-US" w:eastAsia="zh-CN" w:bidi="ar-SA"/>
        </w:rPr>
        <w:fldChar w:fldCharType="begin"/>
      </w:r>
      <w:r>
        <w:rPr>
          <w:rFonts w:hint="default" w:ascii="Times New Roman" w:hAnsi="Times New Roman" w:eastAsia="黑体" w:cs="Times New Roman"/>
          <w:color w:val="auto"/>
          <w:kern w:val="2"/>
          <w:sz w:val="32"/>
          <w:szCs w:val="24"/>
          <w:highlight w:val="none"/>
          <w:lang w:val="en-US" w:eastAsia="zh-CN" w:bidi="ar-SA"/>
        </w:rPr>
        <w:instrText xml:space="preserve"> HYPERLINK \l _Toc223 </w:instrText>
      </w:r>
      <w:r>
        <w:rPr>
          <w:rFonts w:hint="default" w:ascii="Times New Roman" w:hAnsi="Times New Roman" w:eastAsia="黑体" w:cs="Times New Roman"/>
          <w:color w:val="auto"/>
          <w:kern w:val="2"/>
          <w:sz w:val="32"/>
          <w:szCs w:val="24"/>
          <w:highlight w:val="none"/>
          <w:lang w:val="en-US" w:eastAsia="zh-CN" w:bidi="ar-SA"/>
        </w:rPr>
        <w:fldChar w:fldCharType="separate"/>
      </w:r>
      <w:r>
        <w:rPr>
          <w:rFonts w:hint="default" w:ascii="Times New Roman" w:hAnsi="Times New Roman" w:eastAsia="黑体" w:cs="Times New Roman"/>
          <w:color w:val="auto"/>
          <w:kern w:val="2"/>
          <w:sz w:val="32"/>
          <w:szCs w:val="24"/>
          <w:highlight w:val="none"/>
          <w:lang w:val="en-US" w:eastAsia="zh-CN" w:bidi="ar-SA"/>
        </w:rPr>
        <w:fldChar w:fldCharType="begin"/>
      </w:r>
      <w:r>
        <w:rPr>
          <w:rFonts w:hint="default" w:ascii="Times New Roman" w:hAnsi="Times New Roman" w:eastAsia="黑体" w:cs="Times New Roman"/>
          <w:color w:val="auto"/>
          <w:kern w:val="2"/>
          <w:sz w:val="32"/>
          <w:szCs w:val="24"/>
          <w:highlight w:val="none"/>
          <w:lang w:val="en-US" w:eastAsia="zh-CN" w:bidi="ar-SA"/>
        </w:rPr>
        <w:instrText xml:space="preserve"> HYPERLINK \l _Toc1391 </w:instrText>
      </w:r>
      <w:r>
        <w:rPr>
          <w:rFonts w:hint="default" w:ascii="Times New Roman" w:hAnsi="Times New Roman" w:eastAsia="黑体" w:cs="Times New Roman"/>
          <w:color w:val="auto"/>
          <w:kern w:val="2"/>
          <w:sz w:val="32"/>
          <w:szCs w:val="24"/>
          <w:highlight w:val="none"/>
          <w:lang w:val="en-US" w:eastAsia="zh-CN" w:bidi="ar-SA"/>
        </w:rPr>
        <w:fldChar w:fldCharType="separate"/>
      </w:r>
      <w:r>
        <w:rPr>
          <w:rFonts w:hint="default" w:ascii="Times New Roman" w:hAnsi="Times New Roman" w:eastAsia="黑体" w:cs="Times New Roman"/>
          <w:color w:val="auto"/>
          <w:kern w:val="2"/>
          <w:sz w:val="32"/>
          <w:szCs w:val="24"/>
          <w:highlight w:val="none"/>
          <w:lang w:val="en-US" w:eastAsia="zh-CN" w:bidi="ar-SA"/>
        </w:rPr>
        <w:t>完善城乡融合发展机制</w:t>
      </w:r>
      <w:r>
        <w:rPr>
          <w:rFonts w:hint="default" w:ascii="Times New Roman" w:hAnsi="Times New Roman" w:eastAsia="黑体" w:cs="Times New Roman"/>
          <w:color w:val="auto"/>
          <w:kern w:val="2"/>
          <w:sz w:val="32"/>
          <w:szCs w:val="24"/>
          <w:highlight w:val="none"/>
          <w:lang w:val="en-US" w:eastAsia="zh-CN" w:bidi="ar-SA"/>
        </w:rPr>
        <w:fldChar w:fldCharType="end"/>
      </w:r>
      <w:r>
        <w:rPr>
          <w:rFonts w:hint="default" w:ascii="Times New Roman" w:hAnsi="Times New Roman" w:eastAsia="黑体" w:cs="Times New Roman"/>
          <w:color w:val="auto"/>
          <w:kern w:val="2"/>
          <w:sz w:val="32"/>
          <w:szCs w:val="24"/>
          <w:highlight w:val="none"/>
          <w:lang w:val="en-US" w:eastAsia="zh-CN" w:bidi="ar-SA"/>
        </w:rPr>
        <w:fldChar w:fldCharType="end"/>
      </w:r>
      <w:bookmarkEnd w:id="481"/>
      <w:bookmarkEnd w:id="482"/>
      <w:bookmarkEnd w:id="483"/>
      <w:bookmarkEnd w:id="484"/>
      <w:bookmarkEnd w:id="485"/>
    </w:p>
    <w:p w14:paraId="10CD1020">
      <w:pPr>
        <w:keepNext/>
        <w:widowControl w:val="0"/>
        <w:numPr>
          <w:ilvl w:val="0"/>
          <w:numId w:val="34"/>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486" w:name="_Toc3485"/>
      <w:bookmarkStart w:id="487" w:name="_Toc18300"/>
      <w:bookmarkStart w:id="488" w:name="_Toc22016"/>
      <w:bookmarkStart w:id="489" w:name="_Toc2677"/>
      <w:bookmarkStart w:id="490" w:name="_Toc14728"/>
      <w:r>
        <w:rPr>
          <w:rFonts w:hint="default" w:ascii="Times New Roman" w:hAnsi="Times New Roman" w:eastAsia="楷体_GB2312" w:cs="Times New Roman"/>
          <w:b/>
          <w:bCs w:val="0"/>
          <w:color w:val="auto"/>
          <w:kern w:val="2"/>
          <w:sz w:val="32"/>
          <w:szCs w:val="32"/>
          <w:highlight w:val="none"/>
          <w:lang w:val="en-US" w:eastAsia="zh-CN" w:bidi="ar-SA"/>
        </w:rPr>
        <w:t>促进城乡各类要素双向流动</w:t>
      </w:r>
      <w:bookmarkEnd w:id="486"/>
      <w:bookmarkEnd w:id="487"/>
      <w:bookmarkEnd w:id="488"/>
      <w:bookmarkEnd w:id="489"/>
      <w:bookmarkEnd w:id="490"/>
    </w:p>
    <w:p w14:paraId="4EA4C82B">
      <w:pPr>
        <w:bidi w:val="0"/>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color w:val="auto"/>
          <w:sz w:val="32"/>
          <w:szCs w:val="22"/>
          <w:highlight w:val="none"/>
          <w:lang w:val="en-US" w:eastAsia="zh-CN"/>
        </w:rPr>
        <w:t>健全农业转移人口市民化保障机制，深化以利民、便民为导向的基本公共服务清单管理和动态调整制度改革，逐步建立起覆盖户籍人口、常住人口和服务人口的公共政策体系和公共服务体系。深化乡村振兴人才“引育留用”制度创新，优化城乡人才交流机制，探索“新村民”引进激励和管理机制。激发农村土地要素活力，积极探索农村生产要素市场化改革，建立完善农村各类产权、闲置资源的评估、担保、融资、交易体系，探索形成具有理县特色的农村产权资源价格价值机制，大力促进农村生产要素与市场需求协调适应、有效对接。健全农业农村财政支出优先保障和稳定增长机制，规范引导社会资本入乡，强化金融强农惠农富农支持力度，构建多元可持续的投入保障机制。</w:t>
      </w:r>
    </w:p>
    <w:p w14:paraId="1DBD5F6F">
      <w:pPr>
        <w:keepNext/>
        <w:widowControl w:val="0"/>
        <w:numPr>
          <w:ilvl w:val="0"/>
          <w:numId w:val="34"/>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491" w:name="_Toc8786"/>
      <w:bookmarkStart w:id="492" w:name="_Toc97"/>
      <w:bookmarkStart w:id="493" w:name="_Toc1671"/>
      <w:bookmarkStart w:id="494" w:name="_Toc14229"/>
      <w:bookmarkStart w:id="495" w:name="_Toc23334"/>
      <w:r>
        <w:rPr>
          <w:rFonts w:hint="default" w:ascii="Times New Roman" w:hAnsi="Times New Roman" w:eastAsia="楷体_GB2312" w:cs="Times New Roman"/>
          <w:b/>
          <w:bCs w:val="0"/>
          <w:color w:val="auto"/>
          <w:kern w:val="2"/>
          <w:sz w:val="32"/>
          <w:szCs w:val="32"/>
          <w:highlight w:val="none"/>
          <w:lang w:val="en-US" w:eastAsia="zh-CN" w:bidi="ar-SA"/>
        </w:rPr>
        <w:t>推动城乡资源有效均衡配置</w:t>
      </w:r>
      <w:bookmarkEnd w:id="491"/>
      <w:bookmarkEnd w:id="492"/>
      <w:bookmarkEnd w:id="493"/>
      <w:bookmarkEnd w:id="494"/>
      <w:bookmarkEnd w:id="495"/>
    </w:p>
    <w:p w14:paraId="5610CB3C">
      <w:pPr>
        <w:keepNext w:val="0"/>
        <w:keepLines w:val="0"/>
        <w:widowControl/>
        <w:suppressLineNumbers w:val="0"/>
        <w:jc w:val="left"/>
        <w:rPr>
          <w:rFonts w:hint="default" w:ascii="Times New Roman" w:hAnsi="Times New Roman" w:cs="Times New Roman"/>
          <w:color w:val="auto"/>
          <w:highlight w:val="none"/>
          <w:lang w:val="en-US" w:eastAsia="zh-CN"/>
        </w:rPr>
        <w:sectPr>
          <w:pgSz w:w="11906" w:h="16838"/>
          <w:pgMar w:top="2098" w:right="1474" w:bottom="1984" w:left="1587" w:header="851" w:footer="992" w:gutter="0"/>
          <w:pgNumType w:fmt="numberInDash"/>
          <w:cols w:space="0" w:num="1"/>
          <w:rtlGutter w:val="0"/>
          <w:docGrid w:type="lines" w:linePitch="439" w:charSpace="0"/>
        </w:sectPr>
      </w:pPr>
      <w:r>
        <w:rPr>
          <w:rFonts w:hint="default" w:ascii="Times New Roman" w:hAnsi="Times New Roman" w:eastAsia="仿宋_GB2312" w:cs="Times New Roman"/>
          <w:color w:val="auto"/>
          <w:sz w:val="32"/>
          <w:szCs w:val="22"/>
          <w:highlight w:val="none"/>
          <w:lang w:val="en-US" w:eastAsia="zh-CN"/>
        </w:rPr>
        <w:t>建立健全县域统筹机制，纵深推进城乡基本公共服务均等化，引导优质资源有序扩容、精准下沉，构建“县级—乡镇级—村级”三级城乡基本公共服务设施体系。围绕“一老一小”核心需求，兼顾全年龄段人群需求，高标准建设集养老扶幼、托育托管、新就业群体服务、就业创业空间、教育培训、卫生健康等功能于一体的社区综合服务中心，打造“城市15分钟公共服务圈”和“农村适度半径公共服务圈”，全面提升城乡公共服务可及性、均衡性与共享水平。统筹推进传统文化创新传承和公共文化事业高质量发展，完善县级重大文化设施、乡镇文化活动中心、村级文化站三级公共文化体系，促进公共文化均衡可及、普惠共享、繁荣兴盛。</w:t>
      </w:r>
    </w:p>
    <w:p w14:paraId="1E9025AB">
      <w:pPr>
        <w:keepNext w:val="0"/>
        <w:keepLines w:val="0"/>
        <w:pageBreakBefore w:val="0"/>
        <w:widowControl w:val="0"/>
        <w:numPr>
          <w:ilvl w:val="0"/>
          <w:numId w:val="3"/>
        </w:numPr>
        <w:kinsoku/>
        <w:wordWrap/>
        <w:overflowPunct/>
        <w:topLinePunct w:val="0"/>
        <w:autoSpaceDE/>
        <w:autoSpaceDN/>
        <w:bidi w:val="0"/>
        <w:adjustRightInd/>
        <w:snapToGrid w:val="0"/>
        <w:spacing w:before="313" w:beforeLines="100" w:after="313" w:afterLines="100" w:line="560" w:lineRule="exact"/>
        <w:ind w:left="0" w:leftChars="0" w:firstLine="0" w:firstLineChars="0"/>
        <w:jc w:val="center"/>
        <w:textAlignment w:val="auto"/>
        <w:outlineLvl w:val="0"/>
        <w:rPr>
          <w:rFonts w:hint="default" w:ascii="Times New Roman" w:hAnsi="Times New Roman" w:eastAsia="方正小标宋简体" w:cs="Times New Roman"/>
          <w:color w:val="auto"/>
          <w:kern w:val="2"/>
          <w:sz w:val="36"/>
          <w:szCs w:val="22"/>
          <w:highlight w:val="none"/>
          <w:lang w:val="en-US" w:eastAsia="zh-CN" w:bidi="ar-SA"/>
        </w:rPr>
      </w:pPr>
      <w:r>
        <w:rPr>
          <w:rFonts w:hint="default" w:ascii="Times New Roman" w:hAnsi="Times New Roman" w:eastAsia="方正小标宋简体" w:cs="Times New Roman"/>
          <w:color w:val="auto"/>
          <w:kern w:val="2"/>
          <w:sz w:val="36"/>
          <w:szCs w:val="22"/>
          <w:highlight w:val="none"/>
          <w:lang w:val="en-US" w:eastAsia="zh-CN" w:bidi="ar-SA"/>
        </w:rPr>
        <w:t xml:space="preserve"> </w:t>
      </w:r>
      <w:bookmarkStart w:id="496" w:name="_Toc27560"/>
      <w:bookmarkStart w:id="497" w:name="_Toc1116"/>
      <w:bookmarkStart w:id="498" w:name="_Toc17747"/>
      <w:bookmarkStart w:id="499" w:name="_Toc16217"/>
      <w:r>
        <w:rPr>
          <w:rFonts w:hint="default" w:ascii="Times New Roman" w:hAnsi="Times New Roman" w:eastAsia="方正小标宋简体" w:cs="Times New Roman"/>
          <w:color w:val="auto"/>
          <w:kern w:val="2"/>
          <w:sz w:val="44"/>
          <w:szCs w:val="44"/>
          <w:highlight w:val="none"/>
          <w:lang w:val="en-US" w:eastAsia="zh-CN" w:bidi="ar-SA"/>
        </w:rPr>
        <w:t>聚焦民生福祉全面提升，构建和谐幸福美好家园</w:t>
      </w:r>
      <w:bookmarkEnd w:id="496"/>
      <w:bookmarkEnd w:id="497"/>
      <w:bookmarkEnd w:id="498"/>
      <w:bookmarkEnd w:id="499"/>
    </w:p>
    <w:p w14:paraId="655D5577">
      <w:pPr>
        <w:bidi w:val="0"/>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color w:val="auto"/>
          <w:sz w:val="32"/>
          <w:szCs w:val="22"/>
          <w:highlight w:val="none"/>
          <w:lang w:val="en-US" w:eastAsia="zh-CN"/>
        </w:rPr>
        <w:t>坚决践行以人民为中心的发展思想，坚持在发展中保障和改善民生，优化配置城乡公共服务资源，不断增进民生福祉，着力提高人民生活品质，推动发展成果</w:t>
      </w:r>
      <w:r>
        <w:rPr>
          <w:rFonts w:hint="eastAsia" w:cs="Times New Roman"/>
          <w:color w:val="auto"/>
          <w:sz w:val="32"/>
          <w:szCs w:val="22"/>
          <w:highlight w:val="none"/>
          <w:lang w:val="en-US" w:eastAsia="zh-CN"/>
        </w:rPr>
        <w:t>更多</w:t>
      </w:r>
      <w:r>
        <w:rPr>
          <w:rFonts w:hint="default" w:ascii="Times New Roman" w:hAnsi="Times New Roman" w:eastAsia="仿宋_GB2312" w:cs="Times New Roman"/>
          <w:color w:val="auto"/>
          <w:sz w:val="32"/>
          <w:szCs w:val="22"/>
          <w:highlight w:val="none"/>
          <w:lang w:val="en-US" w:eastAsia="zh-CN"/>
        </w:rPr>
        <w:t>更公平惠及全体人民。</w:t>
      </w:r>
    </w:p>
    <w:p w14:paraId="2833BB0A">
      <w:pPr>
        <w:keepNext/>
        <w:widowControl w:val="0"/>
        <w:numPr>
          <w:ilvl w:val="0"/>
          <w:numId w:val="1"/>
        </w:numPr>
        <w:bidi w:val="0"/>
        <w:snapToGrid w:val="0"/>
        <w:spacing w:before="100" w:beforeLines="100" w:after="100" w:afterLines="100" w:line="560" w:lineRule="exact"/>
        <w:ind w:left="0" w:leftChars="0" w:firstLine="0" w:firstLineChars="0"/>
        <w:jc w:val="center"/>
        <w:outlineLvl w:val="1"/>
        <w:rPr>
          <w:rFonts w:hint="default" w:ascii="Times New Roman" w:hAnsi="Times New Roman" w:eastAsia="黑体" w:cs="Times New Roman"/>
          <w:color w:val="auto"/>
          <w:kern w:val="2"/>
          <w:sz w:val="32"/>
          <w:szCs w:val="24"/>
          <w:highlight w:val="none"/>
          <w:lang w:val="en-US" w:eastAsia="zh-CN" w:bidi="ar-SA"/>
        </w:rPr>
      </w:pPr>
      <w:r>
        <w:rPr>
          <w:rFonts w:hint="default" w:ascii="Times New Roman" w:hAnsi="Times New Roman" w:eastAsia="黑体" w:cs="Times New Roman"/>
          <w:color w:val="auto"/>
          <w:kern w:val="2"/>
          <w:sz w:val="32"/>
          <w:szCs w:val="24"/>
          <w:highlight w:val="none"/>
          <w:lang w:val="en-US" w:eastAsia="zh-CN" w:bidi="ar-SA"/>
        </w:rPr>
        <w:t xml:space="preserve"> </w:t>
      </w:r>
      <w:bookmarkStart w:id="500" w:name="_Toc32513"/>
      <w:bookmarkStart w:id="501" w:name="_Toc7676"/>
      <w:bookmarkStart w:id="502" w:name="_Toc31952"/>
      <w:r>
        <w:rPr>
          <w:rFonts w:hint="default" w:ascii="Times New Roman" w:hAnsi="Times New Roman" w:eastAsia="黑体" w:cs="Times New Roman"/>
          <w:color w:val="auto"/>
          <w:kern w:val="2"/>
          <w:sz w:val="32"/>
          <w:szCs w:val="24"/>
          <w:highlight w:val="none"/>
          <w:lang w:val="en-US" w:eastAsia="zh-CN" w:bidi="ar-SA"/>
        </w:rPr>
        <w:t>促进高质量充分就业</w:t>
      </w:r>
      <w:bookmarkEnd w:id="500"/>
      <w:bookmarkEnd w:id="501"/>
      <w:bookmarkEnd w:id="502"/>
    </w:p>
    <w:p w14:paraId="7E3397A8">
      <w:pPr>
        <w:keepNext/>
        <w:widowControl w:val="0"/>
        <w:numPr>
          <w:ilvl w:val="0"/>
          <w:numId w:val="35"/>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503" w:name="_Toc19292"/>
      <w:bookmarkStart w:id="504" w:name="_Toc647"/>
      <w:bookmarkStart w:id="505" w:name="_Toc7439"/>
      <w:r>
        <w:rPr>
          <w:rFonts w:hint="default" w:ascii="Times New Roman" w:hAnsi="Times New Roman" w:eastAsia="楷体_GB2312" w:cs="Times New Roman"/>
          <w:b/>
          <w:bCs w:val="0"/>
          <w:color w:val="auto"/>
          <w:kern w:val="2"/>
          <w:sz w:val="32"/>
          <w:szCs w:val="32"/>
          <w:highlight w:val="none"/>
          <w:lang w:val="en-US" w:eastAsia="zh-CN" w:bidi="ar-SA"/>
        </w:rPr>
        <w:t>持续促进就业创业</w:t>
      </w:r>
      <w:bookmarkEnd w:id="503"/>
      <w:bookmarkEnd w:id="504"/>
      <w:bookmarkEnd w:id="505"/>
    </w:p>
    <w:p w14:paraId="69802DBE">
      <w:pPr>
        <w:bidi w:val="0"/>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color w:val="auto"/>
          <w:sz w:val="32"/>
          <w:szCs w:val="22"/>
          <w:highlight w:val="none"/>
          <w:lang w:val="en-US" w:eastAsia="zh-CN"/>
        </w:rPr>
        <w:t>落实更加积极的稳就业政策，健全经济发展与就业增长联动机制，支持吸纳就业能力强的产业和企业稳定发展，着力培育新的就业增长点。加大公益性岗位开发和特殊困难群众就业帮扶力度，统筹做好高校毕业生、退役军人、返乡农民工等重点群体就业创业。深化东西部和省内对口帮扶劳务协作，促进转移就业。实施群众工作“石榴籽”工程就业创业行动，落实“马兰花计划”，大力扶持创业带动就业。</w:t>
      </w:r>
    </w:p>
    <w:p w14:paraId="63EAFCC3">
      <w:pPr>
        <w:keepNext/>
        <w:widowControl w:val="0"/>
        <w:numPr>
          <w:ilvl w:val="0"/>
          <w:numId w:val="35"/>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506" w:name="_Toc23215"/>
      <w:bookmarkStart w:id="507" w:name="_Toc16684"/>
      <w:bookmarkStart w:id="508" w:name="_Toc26644"/>
      <w:r>
        <w:rPr>
          <w:rFonts w:hint="default" w:ascii="Times New Roman" w:hAnsi="Times New Roman" w:eastAsia="楷体_GB2312" w:cs="Times New Roman"/>
          <w:b/>
          <w:bCs w:val="0"/>
          <w:color w:val="auto"/>
          <w:kern w:val="2"/>
          <w:sz w:val="32"/>
          <w:szCs w:val="32"/>
          <w:highlight w:val="none"/>
          <w:lang w:val="en-US" w:eastAsia="zh-CN" w:bidi="ar-SA"/>
        </w:rPr>
        <w:t>健全就业公共服务</w:t>
      </w:r>
      <w:bookmarkEnd w:id="506"/>
      <w:bookmarkEnd w:id="507"/>
      <w:bookmarkEnd w:id="508"/>
    </w:p>
    <w:p w14:paraId="4AB1B92A">
      <w:pPr>
        <w:bidi w:val="0"/>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color w:val="auto"/>
          <w:sz w:val="32"/>
          <w:szCs w:val="22"/>
          <w:highlight w:val="none"/>
          <w:lang w:val="en-US" w:eastAsia="zh-CN"/>
        </w:rPr>
        <w:t>完善覆盖全民的就业公共服务制度，健全县乡村三级公共服务网络，推动就业服务向基层下沉。实施职业技能提升行动，重点抓好农村转移劳动力、返乡农民工等重点群体和乡村旅游从业人员等职业培训，不断提高城乡劳动者职业技能水平。完善公共服务基础设施，推进公共实训基地建设，实现职业介绍、指导、技能培训、就业援助等一站式服务。充分利用网络媒介、微信群、送岗下乡等方式发布岗位信息，搭建人才供需精准对接平台。规范落实各类政策性补贴。推进零工市场建设，积极投入使用。</w:t>
      </w:r>
    </w:p>
    <w:p w14:paraId="70BF3C77">
      <w:pPr>
        <w:keepNext/>
        <w:widowControl w:val="0"/>
        <w:numPr>
          <w:ilvl w:val="0"/>
          <w:numId w:val="35"/>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509" w:name="_Toc3260"/>
      <w:bookmarkStart w:id="510" w:name="_Toc8504"/>
      <w:bookmarkStart w:id="511" w:name="_Toc24919"/>
      <w:r>
        <w:rPr>
          <w:rFonts w:hint="default" w:ascii="Times New Roman" w:hAnsi="Times New Roman" w:eastAsia="楷体_GB2312" w:cs="Times New Roman"/>
          <w:b/>
          <w:bCs w:val="0"/>
          <w:color w:val="auto"/>
          <w:kern w:val="2"/>
          <w:sz w:val="32"/>
          <w:szCs w:val="32"/>
          <w:highlight w:val="none"/>
          <w:lang w:val="en-US" w:eastAsia="zh-CN" w:bidi="ar-SA"/>
        </w:rPr>
        <w:t>构建和谐劳动关系</w:t>
      </w:r>
      <w:bookmarkEnd w:id="509"/>
      <w:bookmarkEnd w:id="510"/>
      <w:bookmarkEnd w:id="511"/>
    </w:p>
    <w:p w14:paraId="07D8CDCD">
      <w:pPr>
        <w:bidi w:val="0"/>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color w:val="auto"/>
          <w:sz w:val="32"/>
          <w:szCs w:val="22"/>
          <w:highlight w:val="none"/>
          <w:lang w:val="en-US" w:eastAsia="zh-CN"/>
        </w:rPr>
        <w:t>完善劳动关系协商协调机制，保障劳动者合法权益。全面推行新时代“枫桥经验”工会实践，健全“商、调、裁、诉、援、执”全链贯通的劳动领域矛盾纠纷预防调处化解体系。强化协调劳动关系三方机制建设，加强劳动关系风险动态监测，集中指导开展集体协商要约。加强劳动保障监察执法能力建设。贯彻落实《保障农民工工资支付条例》，持续开展根治欠薪专项行动。加强平台企业用工指导，支持和规范发展新就业形态，完善部门协同治理，加强灵活就业和新就业形态劳动者权益保障。加强劳动者权益保障平台阵地建设，打造“一体化”“一站式”劳动争议多元解纷平台。持续推进新时代和谐劳动关系创建活动。</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1CF45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shd w:val="clear" w:color="auto" w:fill="7F7F7F" w:themeFill="text1" w:themeFillTint="7F"/>
          </w:tcPr>
          <w:p w14:paraId="24978DC5">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center"/>
              <w:rPr>
                <w:rFonts w:hint="default" w:ascii="Times New Roman" w:hAnsi="Times New Roman" w:eastAsia="黑体" w:cs="Times New Roman"/>
                <w:b/>
                <w:bCs/>
                <w:color w:val="auto"/>
                <w:kern w:val="0"/>
                <w:sz w:val="28"/>
                <w:szCs w:val="28"/>
                <w:highlight w:val="none"/>
                <w:lang w:val="en-US" w:eastAsia="zh-CN" w:bidi="ar"/>
              </w:rPr>
            </w:pPr>
            <w:r>
              <w:rPr>
                <w:rFonts w:hint="default" w:ascii="Times New Roman" w:hAnsi="Times New Roman" w:eastAsia="黑体" w:cs="Times New Roman"/>
                <w:b/>
                <w:bCs/>
                <w:color w:val="auto"/>
                <w:kern w:val="0"/>
                <w:sz w:val="28"/>
                <w:szCs w:val="28"/>
                <w:highlight w:val="none"/>
                <w:lang w:bidi="ar"/>
              </w:rPr>
              <w:t>专栏</w:t>
            </w:r>
            <w:r>
              <w:rPr>
                <w:rFonts w:hint="eastAsia" w:eastAsia="黑体" w:cs="Times New Roman"/>
                <w:b/>
                <w:bCs/>
                <w:color w:val="auto"/>
                <w:kern w:val="0"/>
                <w:sz w:val="28"/>
                <w:szCs w:val="28"/>
                <w:highlight w:val="none"/>
                <w:lang w:val="en-US" w:eastAsia="zh-CN" w:bidi="ar"/>
              </w:rPr>
              <w:t>19</w:t>
            </w:r>
            <w:r>
              <w:rPr>
                <w:rFonts w:hint="default" w:ascii="Times New Roman" w:hAnsi="Times New Roman" w:eastAsia="黑体" w:cs="Times New Roman"/>
                <w:b/>
                <w:bCs/>
                <w:color w:val="auto"/>
                <w:kern w:val="0"/>
                <w:sz w:val="28"/>
                <w:szCs w:val="28"/>
                <w:highlight w:val="none"/>
                <w:lang w:val="en-US" w:eastAsia="zh-CN" w:bidi="ar"/>
              </w:rPr>
              <w:t xml:space="preserve"> </w:t>
            </w:r>
            <w:r>
              <w:rPr>
                <w:rFonts w:hint="default" w:ascii="Times New Roman" w:hAnsi="Times New Roman" w:eastAsia="黑体" w:cs="Times New Roman"/>
                <w:b/>
                <w:bCs/>
                <w:color w:val="auto"/>
                <w:kern w:val="0"/>
                <w:sz w:val="28"/>
                <w:szCs w:val="28"/>
                <w:highlight w:val="none"/>
                <w:lang w:bidi="ar"/>
              </w:rPr>
              <w:t xml:space="preserve"> </w:t>
            </w:r>
            <w:r>
              <w:rPr>
                <w:rFonts w:hint="default" w:ascii="Times New Roman" w:hAnsi="Times New Roman" w:eastAsia="黑体" w:cs="Times New Roman"/>
                <w:b/>
                <w:bCs/>
                <w:color w:val="auto"/>
                <w:kern w:val="0"/>
                <w:sz w:val="28"/>
                <w:szCs w:val="28"/>
                <w:highlight w:val="none"/>
                <w:lang w:val="en-US" w:eastAsia="zh-CN" w:bidi="ar"/>
              </w:rPr>
              <w:t>促进就业重点工程</w:t>
            </w:r>
          </w:p>
        </w:tc>
      </w:tr>
      <w:tr w14:paraId="195B5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tcPr>
          <w:p w14:paraId="7B8A90B2">
            <w:pPr>
              <w:keepNext w:val="0"/>
              <w:keepLines w:val="0"/>
              <w:pageBreakBefore w:val="0"/>
              <w:widowControl/>
              <w:numPr>
                <w:ilvl w:val="0"/>
                <w:numId w:val="13"/>
              </w:numPr>
              <w:kinsoku/>
              <w:wordWrap/>
              <w:overflowPunct/>
              <w:topLinePunct w:val="0"/>
              <w:autoSpaceDE/>
              <w:autoSpaceDN/>
              <w:bidi w:val="0"/>
              <w:adjustRightInd w:val="0"/>
              <w:snapToGrid w:val="0"/>
              <w:spacing w:line="440" w:lineRule="exact"/>
              <w:ind w:left="420" w:leftChars="0" w:hanging="420" w:firstLineChars="0"/>
              <w:jc w:val="left"/>
              <w:textAlignment w:val="auto"/>
              <w:rPr>
                <w:rFonts w:hint="default" w:ascii="Times New Roman" w:hAnsi="Times New Roman" w:eastAsia="仿宋_GB2312" w:cs="Times New Roman"/>
                <w:color w:val="auto"/>
                <w:kern w:val="2"/>
                <w:sz w:val="28"/>
                <w:szCs w:val="28"/>
                <w:highlight w:val="none"/>
                <w:lang w:eastAsia="zh-CN"/>
              </w:rPr>
            </w:pPr>
            <w:r>
              <w:rPr>
                <w:rFonts w:hint="default" w:ascii="Times New Roman" w:hAnsi="Times New Roman" w:eastAsia="仿宋_GB2312" w:cs="Times New Roman"/>
                <w:b/>
                <w:bCs/>
                <w:color w:val="auto"/>
                <w:kern w:val="2"/>
                <w:sz w:val="28"/>
                <w:szCs w:val="28"/>
                <w:highlight w:val="none"/>
                <w:lang w:val="en-US" w:eastAsia="zh-CN"/>
              </w:rPr>
              <w:t>就业培训基地建设：</w:t>
            </w:r>
            <w:r>
              <w:rPr>
                <w:rFonts w:hint="default" w:ascii="Times New Roman" w:hAnsi="Times New Roman" w:eastAsia="仿宋_GB2312" w:cs="Times New Roman"/>
                <w:b w:val="0"/>
                <w:bCs w:val="0"/>
                <w:color w:val="auto"/>
                <w:kern w:val="2"/>
                <w:sz w:val="28"/>
                <w:szCs w:val="28"/>
                <w:highlight w:val="none"/>
                <w:lang w:val="en-US" w:eastAsia="zh-CN"/>
              </w:rPr>
              <w:t>推进理县公共实训基地项目前期工作。</w:t>
            </w:r>
          </w:p>
          <w:p w14:paraId="2ED84264">
            <w:pPr>
              <w:keepNext w:val="0"/>
              <w:keepLines w:val="0"/>
              <w:pageBreakBefore w:val="0"/>
              <w:widowControl/>
              <w:numPr>
                <w:ilvl w:val="0"/>
                <w:numId w:val="13"/>
              </w:numPr>
              <w:kinsoku/>
              <w:wordWrap/>
              <w:overflowPunct/>
              <w:topLinePunct w:val="0"/>
              <w:autoSpaceDE/>
              <w:autoSpaceDN/>
              <w:bidi w:val="0"/>
              <w:adjustRightInd w:val="0"/>
              <w:snapToGrid w:val="0"/>
              <w:spacing w:line="440" w:lineRule="exact"/>
              <w:ind w:left="420" w:leftChars="0" w:hanging="420" w:firstLineChars="0"/>
              <w:jc w:val="left"/>
              <w:textAlignment w:val="auto"/>
              <w:rPr>
                <w:rFonts w:hint="default" w:ascii="Times New Roman" w:hAnsi="Times New Roman" w:eastAsia="仿宋_GB2312" w:cs="Times New Roman"/>
                <w:color w:val="auto"/>
                <w:kern w:val="2"/>
                <w:sz w:val="28"/>
                <w:szCs w:val="28"/>
                <w:highlight w:val="none"/>
                <w:lang w:eastAsia="zh-CN"/>
              </w:rPr>
            </w:pPr>
            <w:r>
              <w:rPr>
                <w:rFonts w:hint="default" w:ascii="Times New Roman" w:hAnsi="Times New Roman" w:eastAsia="仿宋_GB2312" w:cs="Times New Roman"/>
                <w:b/>
                <w:bCs/>
                <w:color w:val="auto"/>
                <w:kern w:val="2"/>
                <w:sz w:val="28"/>
                <w:szCs w:val="28"/>
                <w:highlight w:val="none"/>
                <w:lang w:val="en-US" w:eastAsia="zh-CN"/>
              </w:rPr>
              <w:t>人力资源市场建设：</w:t>
            </w:r>
            <w:r>
              <w:rPr>
                <w:rFonts w:hint="default" w:ascii="Times New Roman" w:hAnsi="Times New Roman" w:eastAsia="仿宋_GB2312" w:cs="Times New Roman"/>
                <w:b w:val="0"/>
                <w:bCs w:val="0"/>
                <w:color w:val="auto"/>
                <w:kern w:val="2"/>
                <w:sz w:val="28"/>
                <w:szCs w:val="28"/>
                <w:highlight w:val="none"/>
                <w:lang w:val="en-US" w:eastAsia="zh-CN"/>
              </w:rPr>
              <w:t>新建人力资源市场，优化人力资源配置效率，促进就业创业，支撑经济高质量发展。</w:t>
            </w:r>
          </w:p>
          <w:p w14:paraId="680E08EF">
            <w:pPr>
              <w:keepNext w:val="0"/>
              <w:keepLines w:val="0"/>
              <w:pageBreakBefore w:val="0"/>
              <w:widowControl/>
              <w:numPr>
                <w:ilvl w:val="0"/>
                <w:numId w:val="13"/>
              </w:numPr>
              <w:kinsoku/>
              <w:wordWrap/>
              <w:overflowPunct/>
              <w:topLinePunct w:val="0"/>
              <w:autoSpaceDE/>
              <w:autoSpaceDN/>
              <w:bidi w:val="0"/>
              <w:adjustRightInd w:val="0"/>
              <w:snapToGrid w:val="0"/>
              <w:spacing w:line="440" w:lineRule="exact"/>
              <w:ind w:left="420" w:leftChars="0" w:hanging="420" w:firstLineChars="0"/>
              <w:jc w:val="left"/>
              <w:textAlignment w:val="auto"/>
              <w:rPr>
                <w:rFonts w:hint="default" w:ascii="Times New Roman" w:hAnsi="Times New Roman" w:eastAsia="仿宋_GB2312" w:cs="Times New Roman"/>
                <w:color w:val="auto"/>
                <w:kern w:val="2"/>
                <w:sz w:val="28"/>
                <w:szCs w:val="28"/>
                <w:highlight w:val="none"/>
                <w:lang w:eastAsia="zh-CN"/>
              </w:rPr>
            </w:pPr>
            <w:r>
              <w:rPr>
                <w:rFonts w:hint="default" w:ascii="Times New Roman" w:hAnsi="Times New Roman" w:eastAsia="仿宋_GB2312" w:cs="Times New Roman"/>
                <w:b/>
                <w:bCs/>
                <w:color w:val="auto"/>
                <w:kern w:val="2"/>
                <w:sz w:val="28"/>
                <w:szCs w:val="28"/>
                <w:highlight w:val="none"/>
                <w:lang w:val="en-US" w:eastAsia="zh-CN"/>
              </w:rPr>
              <w:t>“家门口”公共就业服务站建设：</w:t>
            </w:r>
            <w:r>
              <w:rPr>
                <w:rFonts w:hint="default" w:ascii="Times New Roman" w:hAnsi="Times New Roman" w:eastAsia="仿宋_GB2312" w:cs="Times New Roman"/>
                <w:b w:val="0"/>
                <w:bCs w:val="0"/>
                <w:color w:val="auto"/>
                <w:kern w:val="2"/>
                <w:sz w:val="28"/>
                <w:szCs w:val="28"/>
                <w:highlight w:val="none"/>
                <w:lang w:val="en-US" w:eastAsia="zh-CN"/>
              </w:rPr>
              <w:t>实施理县基层公共就业服务站项目，在桃坪镇等4个重点镇各建设一个二类公共就业服务站，在甘堡等7个乡镇及8个社区各建设一个三类基层公共就业服务站。</w:t>
            </w:r>
          </w:p>
        </w:tc>
      </w:tr>
    </w:tbl>
    <w:p w14:paraId="07A84D25">
      <w:pPr>
        <w:keepNext/>
        <w:widowControl w:val="0"/>
        <w:numPr>
          <w:ilvl w:val="0"/>
          <w:numId w:val="1"/>
        </w:numPr>
        <w:bidi w:val="0"/>
        <w:snapToGrid w:val="0"/>
        <w:spacing w:before="100" w:beforeLines="100" w:after="100" w:afterLines="100" w:line="560" w:lineRule="exact"/>
        <w:ind w:left="0" w:leftChars="0" w:firstLine="0" w:firstLineChars="0"/>
        <w:jc w:val="center"/>
        <w:outlineLvl w:val="1"/>
        <w:rPr>
          <w:rFonts w:hint="default" w:ascii="Times New Roman" w:hAnsi="Times New Roman" w:eastAsia="黑体" w:cs="Times New Roman"/>
          <w:color w:val="auto"/>
          <w:kern w:val="2"/>
          <w:sz w:val="32"/>
          <w:szCs w:val="24"/>
          <w:highlight w:val="none"/>
          <w:lang w:val="en-US" w:eastAsia="zh-CN" w:bidi="ar-SA"/>
        </w:rPr>
      </w:pPr>
      <w:r>
        <w:rPr>
          <w:rFonts w:hint="default" w:ascii="Times New Roman" w:hAnsi="Times New Roman" w:eastAsia="黑体" w:cs="Times New Roman"/>
          <w:color w:val="auto"/>
          <w:kern w:val="2"/>
          <w:sz w:val="32"/>
          <w:szCs w:val="24"/>
          <w:highlight w:val="none"/>
          <w:lang w:val="en-US" w:eastAsia="zh-CN" w:bidi="ar-SA"/>
        </w:rPr>
        <w:t xml:space="preserve"> </w:t>
      </w:r>
      <w:bookmarkStart w:id="512" w:name="_Toc3452"/>
      <w:bookmarkStart w:id="513" w:name="_Toc19230"/>
      <w:bookmarkStart w:id="514" w:name="_Toc24309"/>
      <w:bookmarkStart w:id="515" w:name="_Toc2335"/>
      <w:r>
        <w:rPr>
          <w:rFonts w:hint="default" w:ascii="Times New Roman" w:hAnsi="Times New Roman" w:eastAsia="黑体" w:cs="Times New Roman"/>
          <w:color w:val="auto"/>
          <w:kern w:val="2"/>
          <w:sz w:val="32"/>
          <w:szCs w:val="24"/>
          <w:highlight w:val="none"/>
          <w:lang w:val="en-US" w:eastAsia="zh-CN" w:bidi="ar-SA"/>
        </w:rPr>
        <w:fldChar w:fldCharType="begin"/>
      </w:r>
      <w:r>
        <w:rPr>
          <w:rFonts w:hint="default" w:ascii="Times New Roman" w:hAnsi="Times New Roman" w:eastAsia="黑体" w:cs="Times New Roman"/>
          <w:color w:val="auto"/>
          <w:kern w:val="2"/>
          <w:sz w:val="32"/>
          <w:szCs w:val="24"/>
          <w:highlight w:val="none"/>
          <w:lang w:val="en-US" w:eastAsia="zh-CN" w:bidi="ar-SA"/>
        </w:rPr>
        <w:instrText xml:space="preserve"> HYPERLINK \l _Toc223 </w:instrText>
      </w:r>
      <w:r>
        <w:rPr>
          <w:rFonts w:hint="default" w:ascii="Times New Roman" w:hAnsi="Times New Roman" w:eastAsia="黑体" w:cs="Times New Roman"/>
          <w:color w:val="auto"/>
          <w:kern w:val="2"/>
          <w:sz w:val="32"/>
          <w:szCs w:val="24"/>
          <w:highlight w:val="none"/>
          <w:lang w:val="en-US" w:eastAsia="zh-CN" w:bidi="ar-SA"/>
        </w:rPr>
        <w:fldChar w:fldCharType="separate"/>
      </w:r>
      <w:r>
        <w:rPr>
          <w:rFonts w:hint="default" w:ascii="Times New Roman" w:hAnsi="Times New Roman" w:eastAsia="黑体" w:cs="Times New Roman"/>
          <w:color w:val="auto"/>
          <w:kern w:val="2"/>
          <w:sz w:val="32"/>
          <w:szCs w:val="24"/>
          <w:highlight w:val="none"/>
          <w:lang w:val="en-US" w:eastAsia="zh-CN" w:bidi="ar-SA"/>
        </w:rPr>
        <w:fldChar w:fldCharType="begin"/>
      </w:r>
      <w:r>
        <w:rPr>
          <w:rFonts w:hint="default" w:ascii="Times New Roman" w:hAnsi="Times New Roman" w:eastAsia="黑体" w:cs="Times New Roman"/>
          <w:color w:val="auto"/>
          <w:kern w:val="2"/>
          <w:sz w:val="32"/>
          <w:szCs w:val="24"/>
          <w:highlight w:val="none"/>
          <w:lang w:val="en-US" w:eastAsia="zh-CN" w:bidi="ar-SA"/>
        </w:rPr>
        <w:instrText xml:space="preserve"> HYPERLINK \l _Toc1391 </w:instrText>
      </w:r>
      <w:r>
        <w:rPr>
          <w:rFonts w:hint="default" w:ascii="Times New Roman" w:hAnsi="Times New Roman" w:eastAsia="黑体" w:cs="Times New Roman"/>
          <w:color w:val="auto"/>
          <w:kern w:val="2"/>
          <w:sz w:val="32"/>
          <w:szCs w:val="24"/>
          <w:highlight w:val="none"/>
          <w:lang w:val="en-US" w:eastAsia="zh-CN" w:bidi="ar-SA"/>
        </w:rPr>
        <w:fldChar w:fldCharType="separate"/>
      </w:r>
      <w:r>
        <w:rPr>
          <w:rFonts w:hint="default" w:ascii="Times New Roman" w:hAnsi="Times New Roman" w:eastAsia="黑体" w:cs="Times New Roman"/>
          <w:color w:val="auto"/>
          <w:kern w:val="2"/>
          <w:sz w:val="32"/>
          <w:szCs w:val="24"/>
          <w:highlight w:val="none"/>
          <w:lang w:val="en-US" w:eastAsia="zh-CN" w:bidi="ar-SA"/>
        </w:rPr>
        <w:t>推动教育高质量发展</w:t>
      </w:r>
      <w:r>
        <w:rPr>
          <w:rFonts w:hint="default" w:ascii="Times New Roman" w:hAnsi="Times New Roman" w:eastAsia="黑体" w:cs="Times New Roman"/>
          <w:color w:val="auto"/>
          <w:kern w:val="2"/>
          <w:sz w:val="32"/>
          <w:szCs w:val="24"/>
          <w:highlight w:val="none"/>
          <w:lang w:val="en-US" w:eastAsia="zh-CN" w:bidi="ar-SA"/>
        </w:rPr>
        <w:fldChar w:fldCharType="end"/>
      </w:r>
      <w:r>
        <w:rPr>
          <w:rFonts w:hint="default" w:ascii="Times New Roman" w:hAnsi="Times New Roman" w:eastAsia="黑体" w:cs="Times New Roman"/>
          <w:color w:val="auto"/>
          <w:kern w:val="2"/>
          <w:sz w:val="32"/>
          <w:szCs w:val="24"/>
          <w:highlight w:val="none"/>
          <w:lang w:val="en-US" w:eastAsia="zh-CN" w:bidi="ar-SA"/>
        </w:rPr>
        <w:fldChar w:fldCharType="end"/>
      </w:r>
      <w:bookmarkEnd w:id="512"/>
      <w:bookmarkEnd w:id="513"/>
      <w:bookmarkEnd w:id="514"/>
      <w:bookmarkEnd w:id="515"/>
    </w:p>
    <w:p w14:paraId="349A894C">
      <w:pPr>
        <w:keepNext/>
        <w:widowControl w:val="0"/>
        <w:numPr>
          <w:ilvl w:val="0"/>
          <w:numId w:val="36"/>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516" w:name="_Toc8638"/>
      <w:bookmarkStart w:id="517" w:name="_Toc28342"/>
      <w:bookmarkStart w:id="518" w:name="_Toc28486"/>
      <w:bookmarkStart w:id="519" w:name="_Toc10074"/>
      <w:r>
        <w:rPr>
          <w:rFonts w:hint="default" w:ascii="Times New Roman" w:hAnsi="Times New Roman" w:eastAsia="楷体_GB2312" w:cs="Times New Roman"/>
          <w:b/>
          <w:bCs w:val="0"/>
          <w:color w:val="auto"/>
          <w:kern w:val="2"/>
          <w:sz w:val="32"/>
          <w:szCs w:val="32"/>
          <w:highlight w:val="none"/>
          <w:lang w:val="en-US" w:eastAsia="zh-CN" w:bidi="ar-SA"/>
        </w:rPr>
        <w:t>优化教育资源配置</w:t>
      </w:r>
      <w:bookmarkEnd w:id="516"/>
      <w:bookmarkEnd w:id="517"/>
      <w:bookmarkEnd w:id="518"/>
      <w:bookmarkEnd w:id="519"/>
    </w:p>
    <w:p w14:paraId="64FAD672">
      <w:pPr>
        <w:bidi w:val="0"/>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color w:val="auto"/>
          <w:sz w:val="32"/>
          <w:szCs w:val="22"/>
          <w:highlight w:val="none"/>
          <w:lang w:val="en-US" w:eastAsia="zh-CN"/>
        </w:rPr>
        <w:t>顺应人口变化趋势，优化城乡学校布局，推进小学向县城和中心镇集中、学前就近适度集中，不断提高办学规模效益，加快构建布局合理、规模适度、集约高效的教育供给体系，推动义务教育优质均衡和城乡一体化发展。持续优化校点布局，形成“杂谷脑教育集中园、薛城教育集中园”两个教育园区，深化与遂宁、乐清校校结对，巩固提升校点布局改革成果。加快推进杂谷脑营盘小学建设、杂谷脑营盘小学附属幼儿园改扩建等教育重点项目。继续加大教育经费投入，完善提升教学设施设备、功能教室和运动场，持续改善供餐、住宿条件；加快推进数字化校园建设，构建集教学、教研、学习、管理、评价、安全于一体的智慧教育全县“一张网”，实现数字化教室全覆盖。</w:t>
      </w:r>
    </w:p>
    <w:p w14:paraId="51C1D321">
      <w:pPr>
        <w:keepNext/>
        <w:widowControl w:val="0"/>
        <w:numPr>
          <w:ilvl w:val="0"/>
          <w:numId w:val="36"/>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520" w:name="_Toc11231"/>
      <w:bookmarkStart w:id="521" w:name="_Toc26735"/>
      <w:bookmarkStart w:id="522" w:name="_Toc20920"/>
      <w:bookmarkStart w:id="523" w:name="_Toc18839"/>
      <w:r>
        <w:rPr>
          <w:rFonts w:hint="default" w:ascii="Times New Roman" w:hAnsi="Times New Roman" w:eastAsia="楷体_GB2312" w:cs="Times New Roman"/>
          <w:b/>
          <w:bCs w:val="0"/>
          <w:color w:val="auto"/>
          <w:kern w:val="2"/>
          <w:sz w:val="32"/>
          <w:szCs w:val="32"/>
          <w:highlight w:val="none"/>
          <w:lang w:val="en-US" w:eastAsia="zh-CN" w:bidi="ar-SA"/>
        </w:rPr>
        <w:t>完善现代国民教育体系</w:t>
      </w:r>
      <w:bookmarkEnd w:id="520"/>
      <w:bookmarkEnd w:id="521"/>
      <w:bookmarkEnd w:id="522"/>
      <w:bookmarkEnd w:id="523"/>
    </w:p>
    <w:p w14:paraId="37310A67">
      <w:pPr>
        <w:bidi w:val="0"/>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color w:val="auto"/>
          <w:sz w:val="32"/>
          <w:szCs w:val="22"/>
          <w:highlight w:val="none"/>
          <w:lang w:val="en-US" w:eastAsia="zh-CN"/>
        </w:rPr>
        <w:t>深入实施十五年免费教育，加强县域校联体建设，推进学前教育“集团化”办学，义务教育“学区制”管理，高中教育“艺体特色”发展。构建学前教育集团，覆盖全县各乡镇公办幼儿园，实现教育资源均衡配置，缩小办园差距，提升整体办园质量。小学阶段以杂谷脑营盘小学为领航校，薛城小学为薛城学区龙头校，带动杂谷脑学区和薛城学区内各小学优质共同发展。初中阶段实行学区制管理，建立理县中学、薛城初级中学校联体，推动初中教育从基本均衡向优质均衡迈进。高中阶段以“组团式”帮扶为主要改革动力，打造高中艺体教育品牌，实现高中教育教学水平不断提升。办好国家开放大学理县分校，推动建立现代职业教育和成人教育体系。联合社区、老年协会、未成年人保护中心等组织，利用现有师资，建立一所社区学校，实现理县社会教育“零突破”。</w:t>
      </w:r>
    </w:p>
    <w:p w14:paraId="1014E11B">
      <w:pPr>
        <w:keepNext/>
        <w:widowControl w:val="0"/>
        <w:numPr>
          <w:ilvl w:val="0"/>
          <w:numId w:val="36"/>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524" w:name="_Toc5329"/>
      <w:bookmarkStart w:id="525" w:name="_Toc4119"/>
      <w:bookmarkStart w:id="526" w:name="_Toc11663"/>
      <w:bookmarkStart w:id="527" w:name="_Toc26840"/>
      <w:r>
        <w:rPr>
          <w:rFonts w:hint="default" w:ascii="Times New Roman" w:hAnsi="Times New Roman" w:eastAsia="楷体_GB2312" w:cs="Times New Roman"/>
          <w:b/>
          <w:bCs w:val="0"/>
          <w:color w:val="auto"/>
          <w:kern w:val="2"/>
          <w:sz w:val="32"/>
          <w:szCs w:val="32"/>
          <w:highlight w:val="none"/>
          <w:lang w:val="en-US" w:eastAsia="zh-CN" w:bidi="ar-SA"/>
        </w:rPr>
        <w:t>加强新时代教师队伍建设</w:t>
      </w:r>
      <w:bookmarkEnd w:id="524"/>
      <w:bookmarkEnd w:id="525"/>
      <w:bookmarkEnd w:id="526"/>
      <w:bookmarkEnd w:id="527"/>
    </w:p>
    <w:p w14:paraId="6634351D">
      <w:pPr>
        <w:bidi w:val="0"/>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color w:val="auto"/>
          <w:sz w:val="32"/>
          <w:szCs w:val="22"/>
          <w:highlight w:val="none"/>
          <w:lang w:val="en-US" w:eastAsia="zh-CN"/>
        </w:rPr>
        <w:t>弘扬教育家精神，加强师德师风建设，大力提升教师职业道德素养，将师德师风建设要求贯穿教师管理全过程，倡导全社会尊师重教，激励广大教师努力成为“四有”好老师。加强教师精准化专业化培训，贯彻落实四川省民族地区“优师帮培计划”，实施“名校长+”培育工程、名优教师队伍培训工程、“领航”学科带头人梯度培养计划，重点抓好“校长、班主任、教师”三支队伍，逐步建立起立足理县、面向全州、走向全省的名优教师队伍。优化教师工资结构，强化高中、幼儿园教师工资待遇保障，完善乡村教师生活补助政策，保障教师课后服务工作合理待遇。维护教师职业尊严和合法权益，减轻教师非教育教学任务负担。</w:t>
      </w:r>
    </w:p>
    <w:p w14:paraId="6185E70C">
      <w:pPr>
        <w:keepNext/>
        <w:widowControl w:val="0"/>
        <w:numPr>
          <w:ilvl w:val="0"/>
          <w:numId w:val="36"/>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528" w:name="_Toc27479"/>
      <w:bookmarkStart w:id="529" w:name="_Toc167"/>
      <w:bookmarkStart w:id="530" w:name="_Toc22787"/>
      <w:bookmarkStart w:id="531" w:name="_Toc22997"/>
      <w:r>
        <w:rPr>
          <w:rFonts w:hint="default" w:ascii="Times New Roman" w:hAnsi="Times New Roman" w:eastAsia="楷体_GB2312" w:cs="Times New Roman"/>
          <w:b/>
          <w:bCs w:val="0"/>
          <w:color w:val="auto"/>
          <w:kern w:val="2"/>
          <w:sz w:val="32"/>
          <w:szCs w:val="32"/>
          <w:highlight w:val="none"/>
          <w:lang w:val="en-US" w:eastAsia="zh-CN" w:bidi="ar-SA"/>
        </w:rPr>
        <w:t>深化教育领域综合改革</w:t>
      </w:r>
      <w:bookmarkEnd w:id="528"/>
      <w:bookmarkEnd w:id="529"/>
      <w:bookmarkEnd w:id="530"/>
      <w:bookmarkEnd w:id="531"/>
    </w:p>
    <w:p w14:paraId="6AE6C7AE">
      <w:pPr>
        <w:bidi w:val="0"/>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color w:val="auto"/>
          <w:sz w:val="32"/>
          <w:szCs w:val="22"/>
          <w:highlight w:val="none"/>
          <w:lang w:val="en-US" w:eastAsia="zh-CN"/>
        </w:rPr>
        <w:t>把立德树人成效作为检验学校一切工作的根本标准，深化教育评价改革。坚持“五育并举”，加强思政课堂教育，深化体育、美育、劳动教育，促进学生全面发展。巩固提升理县全国民族地区教育发展先行试验区建设成果，深化教育治理方式变革，深化教师考核评价制度改革。深化“县管校聘”改革，推动教师编制动态管理。持续巩固县域义务教育优质均衡、县域学前教育普及普惠成果，加强中小学教育质量评估监测。深化学校安全监管，推动法治宣传进学校，促进学生健康成长，努力培植花园般的校园、培育花朵般的学生、培养园丁般的老师。</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3A880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shd w:val="clear" w:color="auto" w:fill="7F7F7F" w:themeFill="text1" w:themeFillTint="7F"/>
          </w:tcPr>
          <w:p w14:paraId="093D77CC">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center"/>
              <w:rPr>
                <w:rFonts w:hint="default" w:ascii="Times New Roman" w:hAnsi="Times New Roman" w:eastAsia="黑体" w:cs="Times New Roman"/>
                <w:b/>
                <w:bCs/>
                <w:color w:val="auto"/>
                <w:kern w:val="0"/>
                <w:sz w:val="28"/>
                <w:szCs w:val="28"/>
                <w:highlight w:val="none"/>
                <w:lang w:val="en-US" w:eastAsia="zh-CN" w:bidi="ar"/>
              </w:rPr>
            </w:pPr>
            <w:r>
              <w:rPr>
                <w:rFonts w:hint="default" w:ascii="Times New Roman" w:hAnsi="Times New Roman" w:eastAsia="黑体" w:cs="Times New Roman"/>
                <w:b/>
                <w:bCs/>
                <w:color w:val="auto"/>
                <w:kern w:val="0"/>
                <w:sz w:val="28"/>
                <w:szCs w:val="28"/>
                <w:highlight w:val="none"/>
                <w:lang w:bidi="ar"/>
              </w:rPr>
              <w:t>专栏</w:t>
            </w:r>
            <w:r>
              <w:rPr>
                <w:rFonts w:hint="default" w:ascii="Times New Roman" w:hAnsi="Times New Roman" w:eastAsia="黑体" w:cs="Times New Roman"/>
                <w:b/>
                <w:bCs/>
                <w:color w:val="auto"/>
                <w:kern w:val="0"/>
                <w:sz w:val="28"/>
                <w:szCs w:val="28"/>
                <w:highlight w:val="none"/>
                <w:lang w:val="en-US" w:eastAsia="zh-CN" w:bidi="ar"/>
              </w:rPr>
              <w:t>2</w:t>
            </w:r>
            <w:r>
              <w:rPr>
                <w:rFonts w:hint="eastAsia" w:eastAsia="黑体" w:cs="Times New Roman"/>
                <w:b/>
                <w:bCs/>
                <w:color w:val="auto"/>
                <w:kern w:val="0"/>
                <w:sz w:val="28"/>
                <w:szCs w:val="28"/>
                <w:highlight w:val="none"/>
                <w:lang w:val="en-US" w:eastAsia="zh-CN" w:bidi="ar"/>
              </w:rPr>
              <w:t>0</w:t>
            </w:r>
            <w:r>
              <w:rPr>
                <w:rFonts w:hint="default" w:ascii="Times New Roman" w:hAnsi="Times New Roman" w:eastAsia="黑体" w:cs="Times New Roman"/>
                <w:b/>
                <w:bCs/>
                <w:color w:val="auto"/>
                <w:kern w:val="0"/>
                <w:sz w:val="28"/>
                <w:szCs w:val="28"/>
                <w:highlight w:val="none"/>
                <w:lang w:val="en-US" w:eastAsia="zh-CN" w:bidi="ar"/>
              </w:rPr>
              <w:t xml:space="preserve"> </w:t>
            </w:r>
            <w:r>
              <w:rPr>
                <w:rFonts w:hint="default" w:ascii="Times New Roman" w:hAnsi="Times New Roman" w:eastAsia="黑体" w:cs="Times New Roman"/>
                <w:b/>
                <w:bCs/>
                <w:color w:val="auto"/>
                <w:kern w:val="0"/>
                <w:sz w:val="28"/>
                <w:szCs w:val="28"/>
                <w:highlight w:val="none"/>
                <w:lang w:bidi="ar"/>
              </w:rPr>
              <w:t xml:space="preserve"> </w:t>
            </w:r>
            <w:r>
              <w:rPr>
                <w:rFonts w:hint="default" w:ascii="Times New Roman" w:hAnsi="Times New Roman" w:eastAsia="黑体" w:cs="Times New Roman"/>
                <w:b/>
                <w:bCs/>
                <w:color w:val="auto"/>
                <w:kern w:val="0"/>
                <w:sz w:val="28"/>
                <w:szCs w:val="28"/>
                <w:highlight w:val="none"/>
                <w:lang w:val="en-US" w:eastAsia="zh-CN" w:bidi="ar"/>
              </w:rPr>
              <w:t>教育领域重点项目工程</w:t>
            </w:r>
          </w:p>
        </w:tc>
      </w:tr>
      <w:tr w14:paraId="118D1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tcPr>
          <w:p w14:paraId="2D7AE50B">
            <w:pPr>
              <w:keepNext w:val="0"/>
              <w:keepLines w:val="0"/>
              <w:pageBreakBefore w:val="0"/>
              <w:widowControl/>
              <w:numPr>
                <w:ilvl w:val="0"/>
                <w:numId w:val="13"/>
              </w:numPr>
              <w:kinsoku/>
              <w:wordWrap/>
              <w:overflowPunct/>
              <w:topLinePunct w:val="0"/>
              <w:autoSpaceDE/>
              <w:autoSpaceDN/>
              <w:bidi w:val="0"/>
              <w:adjustRightInd w:val="0"/>
              <w:snapToGrid w:val="0"/>
              <w:spacing w:line="440" w:lineRule="exact"/>
              <w:ind w:left="420" w:leftChars="0" w:hanging="420" w:firstLineChars="0"/>
              <w:jc w:val="left"/>
              <w:textAlignment w:val="auto"/>
              <w:rPr>
                <w:rFonts w:hint="default" w:ascii="Times New Roman" w:hAnsi="Times New Roman" w:eastAsia="仿宋_GB2312" w:cs="Times New Roman"/>
                <w:b/>
                <w:bCs/>
                <w:color w:val="auto"/>
                <w:kern w:val="2"/>
                <w:sz w:val="28"/>
                <w:szCs w:val="28"/>
                <w:highlight w:val="none"/>
                <w:lang w:val="en-US" w:eastAsia="zh-CN"/>
              </w:rPr>
            </w:pPr>
            <w:r>
              <w:rPr>
                <w:rFonts w:hint="default" w:ascii="Times New Roman" w:hAnsi="Times New Roman" w:eastAsia="仿宋_GB2312" w:cs="Times New Roman"/>
                <w:b/>
                <w:bCs/>
                <w:color w:val="auto"/>
                <w:kern w:val="2"/>
                <w:sz w:val="28"/>
                <w:szCs w:val="28"/>
                <w:highlight w:val="none"/>
                <w:lang w:val="en-US" w:eastAsia="zh-CN"/>
              </w:rPr>
              <w:t>学前教育优质普惠：</w:t>
            </w:r>
            <w:r>
              <w:rPr>
                <w:rFonts w:hint="default" w:ascii="Times New Roman" w:hAnsi="Times New Roman" w:eastAsia="仿宋_GB2312" w:cs="Times New Roman"/>
                <w:b w:val="0"/>
                <w:bCs w:val="0"/>
                <w:color w:val="auto"/>
                <w:kern w:val="2"/>
                <w:sz w:val="28"/>
                <w:szCs w:val="28"/>
                <w:highlight w:val="none"/>
                <w:lang w:val="en-US" w:eastAsia="zh-CN"/>
              </w:rPr>
              <w:t>实施理县杂谷脑营盘小学附属幼儿园改扩建、理县学前教育提升改造项目。</w:t>
            </w:r>
          </w:p>
          <w:p w14:paraId="7A8B1CD4">
            <w:pPr>
              <w:keepNext w:val="0"/>
              <w:keepLines w:val="0"/>
              <w:pageBreakBefore w:val="0"/>
              <w:widowControl/>
              <w:numPr>
                <w:ilvl w:val="0"/>
                <w:numId w:val="13"/>
              </w:numPr>
              <w:kinsoku/>
              <w:wordWrap/>
              <w:overflowPunct/>
              <w:topLinePunct w:val="0"/>
              <w:autoSpaceDE/>
              <w:autoSpaceDN/>
              <w:bidi w:val="0"/>
              <w:adjustRightInd w:val="0"/>
              <w:snapToGrid w:val="0"/>
              <w:spacing w:line="440" w:lineRule="exact"/>
              <w:ind w:left="420" w:leftChars="0" w:hanging="420" w:firstLineChars="0"/>
              <w:jc w:val="left"/>
              <w:textAlignment w:val="auto"/>
              <w:rPr>
                <w:rFonts w:hint="default" w:ascii="Times New Roman" w:hAnsi="Times New Roman" w:eastAsia="仿宋_GB2312" w:cs="Times New Roman"/>
                <w:b/>
                <w:bCs/>
                <w:color w:val="auto"/>
                <w:kern w:val="2"/>
                <w:sz w:val="28"/>
                <w:szCs w:val="28"/>
                <w:highlight w:val="none"/>
                <w:lang w:val="en-US" w:eastAsia="zh-CN"/>
              </w:rPr>
            </w:pPr>
            <w:r>
              <w:rPr>
                <w:rFonts w:hint="default" w:ascii="Times New Roman" w:hAnsi="Times New Roman" w:eastAsia="仿宋_GB2312" w:cs="Times New Roman"/>
                <w:b/>
                <w:bCs/>
                <w:color w:val="auto"/>
                <w:kern w:val="2"/>
                <w:sz w:val="28"/>
                <w:szCs w:val="28"/>
                <w:highlight w:val="none"/>
                <w:lang w:val="en-US" w:eastAsia="zh-CN"/>
              </w:rPr>
              <w:t>基础教育均衡发展：</w:t>
            </w:r>
            <w:r>
              <w:rPr>
                <w:rFonts w:hint="eastAsia" w:cs="Times New Roman"/>
                <w:b w:val="0"/>
                <w:bCs w:val="0"/>
                <w:color w:val="auto"/>
                <w:kern w:val="2"/>
                <w:sz w:val="28"/>
                <w:szCs w:val="28"/>
                <w:highlight w:val="none"/>
                <w:lang w:val="en-US" w:eastAsia="zh-CN"/>
              </w:rPr>
              <w:t>1.</w:t>
            </w:r>
            <w:r>
              <w:rPr>
                <w:rFonts w:hint="default" w:ascii="Times New Roman" w:hAnsi="Times New Roman" w:eastAsia="仿宋_GB2312" w:cs="Times New Roman"/>
                <w:b w:val="0"/>
                <w:bCs w:val="0"/>
                <w:color w:val="auto"/>
                <w:kern w:val="2"/>
                <w:sz w:val="28"/>
                <w:szCs w:val="28"/>
                <w:highlight w:val="none"/>
                <w:lang w:val="en-US" w:eastAsia="zh-CN"/>
              </w:rPr>
              <w:t>实施</w:t>
            </w:r>
            <w:r>
              <w:rPr>
                <w:rFonts w:hint="default" w:ascii="Times New Roman" w:hAnsi="Times New Roman" w:eastAsia="仿宋_GB2312" w:cs="Times New Roman"/>
                <w:color w:val="auto"/>
                <w:sz w:val="28"/>
                <w:szCs w:val="28"/>
                <w:highlight w:val="none"/>
              </w:rPr>
              <w:t>理县中小学校提升改造</w:t>
            </w:r>
            <w:r>
              <w:rPr>
                <w:rFonts w:hint="default" w:ascii="Times New Roman" w:hAnsi="Times New Roman" w:eastAsia="仿宋_GB2312" w:cs="Times New Roman"/>
                <w:color w:val="auto"/>
                <w:sz w:val="28"/>
                <w:szCs w:val="28"/>
                <w:highlight w:val="none"/>
                <w:lang w:eastAsia="zh-CN"/>
              </w:rPr>
              <w:t>、</w:t>
            </w:r>
            <w:r>
              <w:rPr>
                <w:rFonts w:hint="default" w:ascii="Times New Roman" w:hAnsi="Times New Roman" w:eastAsia="仿宋_GB2312" w:cs="Times New Roman"/>
                <w:color w:val="auto"/>
                <w:sz w:val="28"/>
                <w:szCs w:val="28"/>
                <w:highlight w:val="none"/>
              </w:rPr>
              <w:t>理县教育和体育基础设施建设</w:t>
            </w:r>
            <w:r>
              <w:rPr>
                <w:rFonts w:hint="default" w:ascii="Times New Roman" w:hAnsi="Times New Roman" w:eastAsia="仿宋_GB2312" w:cs="Times New Roman"/>
                <w:color w:val="auto"/>
                <w:sz w:val="28"/>
                <w:szCs w:val="28"/>
                <w:highlight w:val="none"/>
                <w:lang w:eastAsia="zh-CN"/>
              </w:rPr>
              <w:t>、</w:t>
            </w:r>
            <w:r>
              <w:rPr>
                <w:rFonts w:hint="default" w:ascii="Times New Roman" w:hAnsi="Times New Roman" w:eastAsia="仿宋_GB2312" w:cs="Times New Roman"/>
                <w:color w:val="auto"/>
                <w:sz w:val="28"/>
                <w:szCs w:val="28"/>
                <w:highlight w:val="none"/>
              </w:rPr>
              <w:t>理县图书及实验仪器更新</w:t>
            </w:r>
            <w:r>
              <w:rPr>
                <w:rFonts w:hint="default" w:ascii="Times New Roman" w:hAnsi="Times New Roman" w:eastAsia="仿宋_GB2312" w:cs="Times New Roman"/>
                <w:color w:val="auto"/>
                <w:sz w:val="28"/>
                <w:szCs w:val="28"/>
                <w:highlight w:val="none"/>
                <w:lang w:eastAsia="zh-CN"/>
              </w:rPr>
              <w:t>、</w:t>
            </w:r>
            <w:r>
              <w:rPr>
                <w:rFonts w:hint="default" w:ascii="Times New Roman" w:hAnsi="Times New Roman" w:eastAsia="仿宋_GB2312" w:cs="Times New Roman"/>
                <w:color w:val="auto"/>
                <w:sz w:val="28"/>
                <w:szCs w:val="28"/>
                <w:highlight w:val="none"/>
              </w:rPr>
              <w:t>理县校园安防及基础设施设备更新</w:t>
            </w:r>
            <w:r>
              <w:rPr>
                <w:rFonts w:hint="default" w:ascii="Times New Roman" w:hAnsi="Times New Roman" w:eastAsia="仿宋_GB2312" w:cs="Times New Roman"/>
                <w:color w:val="auto"/>
                <w:sz w:val="28"/>
                <w:szCs w:val="28"/>
                <w:highlight w:val="none"/>
                <w:lang w:eastAsia="zh-CN"/>
              </w:rPr>
              <w:t>、</w:t>
            </w:r>
            <w:r>
              <w:rPr>
                <w:rFonts w:hint="default" w:ascii="Times New Roman" w:hAnsi="Times New Roman" w:eastAsia="仿宋_GB2312" w:cs="Times New Roman"/>
                <w:color w:val="auto"/>
                <w:sz w:val="28"/>
                <w:szCs w:val="28"/>
                <w:highlight w:val="none"/>
              </w:rPr>
              <w:t>理县体育场馆提升改造</w:t>
            </w:r>
            <w:r>
              <w:rPr>
                <w:rFonts w:hint="default" w:ascii="Times New Roman" w:hAnsi="Times New Roman" w:eastAsia="仿宋_GB2312" w:cs="Times New Roman"/>
                <w:color w:val="auto"/>
                <w:sz w:val="28"/>
                <w:szCs w:val="28"/>
                <w:highlight w:val="none"/>
                <w:lang w:eastAsia="zh-CN"/>
              </w:rPr>
              <w:t>、</w:t>
            </w:r>
            <w:r>
              <w:rPr>
                <w:rFonts w:hint="default" w:ascii="Times New Roman" w:hAnsi="Times New Roman" w:eastAsia="仿宋_GB2312" w:cs="Times New Roman"/>
                <w:color w:val="auto"/>
                <w:sz w:val="28"/>
                <w:szCs w:val="28"/>
                <w:highlight w:val="none"/>
              </w:rPr>
              <w:t>理县体育活动场所设施设备提升更新</w:t>
            </w:r>
            <w:r>
              <w:rPr>
                <w:rFonts w:hint="default" w:ascii="Times New Roman" w:hAnsi="Times New Roman" w:eastAsia="仿宋_GB2312" w:cs="Times New Roman"/>
                <w:color w:val="auto"/>
                <w:sz w:val="28"/>
                <w:szCs w:val="28"/>
                <w:highlight w:val="none"/>
                <w:lang w:val="en-US" w:eastAsia="zh-CN"/>
              </w:rPr>
              <w:t>等</w:t>
            </w:r>
            <w:r>
              <w:rPr>
                <w:rFonts w:hint="default" w:ascii="Times New Roman" w:hAnsi="Times New Roman" w:eastAsia="仿宋_GB2312" w:cs="Times New Roman"/>
                <w:color w:val="auto"/>
                <w:sz w:val="28"/>
                <w:szCs w:val="28"/>
                <w:highlight w:val="none"/>
              </w:rPr>
              <w:t>项目</w:t>
            </w:r>
            <w:r>
              <w:rPr>
                <w:rFonts w:hint="default" w:ascii="Times New Roman" w:hAnsi="Times New Roman" w:eastAsia="仿宋_GB2312" w:cs="Times New Roman"/>
                <w:color w:val="auto"/>
                <w:sz w:val="28"/>
                <w:szCs w:val="28"/>
                <w:highlight w:val="none"/>
                <w:lang w:eastAsia="zh-CN"/>
              </w:rPr>
              <w:t>。</w:t>
            </w:r>
            <w:r>
              <w:rPr>
                <w:rFonts w:hint="eastAsia" w:cs="Times New Roman"/>
                <w:color w:val="auto"/>
                <w:sz w:val="28"/>
                <w:szCs w:val="28"/>
                <w:highlight w:val="none"/>
                <w:lang w:val="en-US" w:eastAsia="zh-CN"/>
              </w:rPr>
              <w:t>2.</w:t>
            </w:r>
            <w:r>
              <w:rPr>
                <w:rFonts w:hint="default" w:ascii="Times New Roman" w:hAnsi="Times New Roman" w:eastAsia="仿宋_GB2312" w:cs="Times New Roman"/>
                <w:color w:val="auto"/>
                <w:sz w:val="28"/>
                <w:szCs w:val="28"/>
                <w:highlight w:val="none"/>
                <w:lang w:val="en-US" w:eastAsia="zh-CN"/>
              </w:rPr>
              <w:t>推进</w:t>
            </w:r>
            <w:r>
              <w:rPr>
                <w:rFonts w:hint="default" w:ascii="Times New Roman" w:hAnsi="Times New Roman" w:eastAsia="仿宋_GB2312" w:cs="Times New Roman"/>
                <w:color w:val="auto"/>
                <w:sz w:val="28"/>
                <w:szCs w:val="28"/>
                <w:highlight w:val="none"/>
                <w:lang w:eastAsia="zh-CN"/>
              </w:rPr>
              <w:t>理县杂谷脑营盘小学教学及师生用房建设、</w:t>
            </w:r>
            <w:r>
              <w:rPr>
                <w:rFonts w:hint="default" w:ascii="Times New Roman" w:hAnsi="Times New Roman" w:eastAsia="仿宋_GB2312" w:cs="Times New Roman"/>
                <w:color w:val="auto"/>
                <w:sz w:val="28"/>
                <w:szCs w:val="28"/>
                <w:highlight w:val="none"/>
              </w:rPr>
              <w:t>理县中学学生食堂改扩建</w:t>
            </w:r>
            <w:r>
              <w:rPr>
                <w:rFonts w:hint="default" w:ascii="Times New Roman" w:hAnsi="Times New Roman" w:eastAsia="仿宋_GB2312" w:cs="Times New Roman"/>
                <w:color w:val="auto"/>
                <w:sz w:val="28"/>
                <w:szCs w:val="28"/>
                <w:highlight w:val="none"/>
                <w:lang w:eastAsia="zh-CN"/>
              </w:rPr>
              <w:t>、</w:t>
            </w:r>
            <w:r>
              <w:rPr>
                <w:rFonts w:hint="default" w:ascii="Times New Roman" w:hAnsi="Times New Roman" w:eastAsia="仿宋_GB2312" w:cs="Times New Roman"/>
                <w:color w:val="auto"/>
                <w:sz w:val="28"/>
                <w:szCs w:val="28"/>
                <w:highlight w:val="none"/>
              </w:rPr>
              <w:t>理县中学艺体综合设施改扩建</w:t>
            </w:r>
            <w:r>
              <w:rPr>
                <w:rFonts w:hint="default" w:ascii="Times New Roman" w:hAnsi="Times New Roman" w:eastAsia="仿宋_GB2312" w:cs="Times New Roman"/>
                <w:color w:val="auto"/>
                <w:sz w:val="28"/>
                <w:szCs w:val="28"/>
                <w:highlight w:val="none"/>
                <w:lang w:eastAsia="zh-CN"/>
              </w:rPr>
              <w:t>、</w:t>
            </w:r>
            <w:r>
              <w:rPr>
                <w:rFonts w:hint="default" w:ascii="Times New Roman" w:hAnsi="Times New Roman" w:eastAsia="仿宋_GB2312" w:cs="Times New Roman"/>
                <w:color w:val="auto"/>
                <w:sz w:val="28"/>
                <w:szCs w:val="28"/>
                <w:highlight w:val="none"/>
              </w:rPr>
              <w:t>理县研学基地建设</w:t>
            </w:r>
            <w:r>
              <w:rPr>
                <w:rFonts w:hint="default" w:ascii="Times New Roman" w:hAnsi="Times New Roman" w:eastAsia="仿宋_GB2312" w:cs="Times New Roman"/>
                <w:color w:val="auto"/>
                <w:sz w:val="28"/>
                <w:szCs w:val="28"/>
                <w:highlight w:val="none"/>
                <w:lang w:val="en-US" w:eastAsia="zh-CN"/>
              </w:rPr>
              <w:t>等项目前期工作。</w:t>
            </w:r>
          </w:p>
          <w:p w14:paraId="62F96CEF">
            <w:pPr>
              <w:keepNext w:val="0"/>
              <w:keepLines w:val="0"/>
              <w:pageBreakBefore w:val="0"/>
              <w:widowControl/>
              <w:numPr>
                <w:ilvl w:val="0"/>
                <w:numId w:val="13"/>
              </w:numPr>
              <w:kinsoku/>
              <w:wordWrap/>
              <w:overflowPunct/>
              <w:topLinePunct w:val="0"/>
              <w:autoSpaceDE/>
              <w:autoSpaceDN/>
              <w:bidi w:val="0"/>
              <w:adjustRightInd w:val="0"/>
              <w:snapToGrid w:val="0"/>
              <w:spacing w:line="440" w:lineRule="exact"/>
              <w:ind w:left="420" w:leftChars="0" w:hanging="420" w:firstLineChars="0"/>
              <w:jc w:val="left"/>
              <w:textAlignment w:val="auto"/>
              <w:rPr>
                <w:rFonts w:hint="default" w:ascii="Times New Roman" w:hAnsi="Times New Roman" w:eastAsia="仿宋_GB2312" w:cs="Times New Roman"/>
                <w:b/>
                <w:bCs/>
                <w:color w:val="auto"/>
                <w:kern w:val="2"/>
                <w:sz w:val="28"/>
                <w:szCs w:val="28"/>
                <w:highlight w:val="none"/>
                <w:lang w:val="en-US" w:eastAsia="zh-CN"/>
              </w:rPr>
            </w:pPr>
            <w:r>
              <w:rPr>
                <w:rFonts w:hint="default" w:ascii="Times New Roman" w:hAnsi="Times New Roman" w:eastAsia="仿宋_GB2312" w:cs="Times New Roman"/>
                <w:b/>
                <w:bCs/>
                <w:color w:val="auto"/>
                <w:kern w:val="2"/>
                <w:sz w:val="28"/>
                <w:szCs w:val="28"/>
                <w:highlight w:val="none"/>
                <w:lang w:val="en-US" w:eastAsia="zh-CN"/>
              </w:rPr>
              <w:t>教师队伍建设：</w:t>
            </w:r>
            <w:r>
              <w:rPr>
                <w:rFonts w:hint="default" w:ascii="Times New Roman" w:hAnsi="Times New Roman" w:eastAsia="仿宋_GB2312" w:cs="Times New Roman"/>
                <w:b w:val="0"/>
                <w:bCs w:val="0"/>
                <w:color w:val="auto"/>
                <w:kern w:val="2"/>
                <w:sz w:val="28"/>
                <w:szCs w:val="28"/>
                <w:highlight w:val="none"/>
                <w:lang w:val="en-US" w:eastAsia="zh-CN"/>
              </w:rPr>
              <w:t>实施“名校长+”培育工程、名优教师队伍培训工程，建设一批国家、省、州、县名师队伍，不断拓宽名师数量和名师引领力。</w:t>
            </w:r>
          </w:p>
          <w:p w14:paraId="14CF8896">
            <w:pPr>
              <w:keepNext w:val="0"/>
              <w:keepLines w:val="0"/>
              <w:pageBreakBefore w:val="0"/>
              <w:widowControl/>
              <w:numPr>
                <w:ilvl w:val="0"/>
                <w:numId w:val="13"/>
              </w:numPr>
              <w:kinsoku/>
              <w:wordWrap/>
              <w:overflowPunct/>
              <w:topLinePunct w:val="0"/>
              <w:autoSpaceDE/>
              <w:autoSpaceDN/>
              <w:bidi w:val="0"/>
              <w:adjustRightInd w:val="0"/>
              <w:snapToGrid w:val="0"/>
              <w:spacing w:line="440" w:lineRule="exact"/>
              <w:ind w:left="420" w:leftChars="0" w:hanging="420" w:firstLineChars="0"/>
              <w:jc w:val="left"/>
              <w:textAlignment w:val="auto"/>
              <w:rPr>
                <w:rFonts w:hint="default" w:ascii="Times New Roman" w:hAnsi="Times New Roman" w:eastAsia="仿宋_GB2312" w:cs="Times New Roman"/>
                <w:color w:val="auto"/>
                <w:sz w:val="32"/>
                <w:szCs w:val="22"/>
                <w:highlight w:val="none"/>
                <w:lang w:eastAsia="zh-CN"/>
              </w:rPr>
            </w:pPr>
            <w:r>
              <w:rPr>
                <w:rFonts w:hint="default" w:ascii="Times New Roman" w:hAnsi="Times New Roman" w:eastAsia="仿宋_GB2312" w:cs="Times New Roman"/>
                <w:b/>
                <w:bCs/>
                <w:color w:val="auto"/>
                <w:kern w:val="2"/>
                <w:sz w:val="28"/>
                <w:szCs w:val="28"/>
                <w:highlight w:val="none"/>
                <w:lang w:val="en-US" w:eastAsia="zh-CN"/>
              </w:rPr>
              <w:t>智慧校园建设：</w:t>
            </w:r>
            <w:r>
              <w:rPr>
                <w:rFonts w:hint="default" w:ascii="Times New Roman" w:hAnsi="Times New Roman" w:eastAsia="仿宋_GB2312" w:cs="Times New Roman"/>
                <w:b w:val="0"/>
                <w:bCs w:val="0"/>
                <w:color w:val="auto"/>
                <w:kern w:val="2"/>
                <w:sz w:val="28"/>
                <w:szCs w:val="28"/>
                <w:highlight w:val="none"/>
                <w:lang w:val="en-US" w:eastAsia="zh-CN"/>
              </w:rPr>
              <w:t>实施理县校园“三张网”建设、理县智慧教学建设等项目，大力提升教育数字化水平。</w:t>
            </w:r>
          </w:p>
        </w:tc>
      </w:tr>
    </w:tbl>
    <w:p w14:paraId="674D79F3">
      <w:pPr>
        <w:keepNext/>
        <w:widowControl w:val="0"/>
        <w:numPr>
          <w:ilvl w:val="0"/>
          <w:numId w:val="1"/>
        </w:numPr>
        <w:bidi w:val="0"/>
        <w:snapToGrid w:val="0"/>
        <w:spacing w:before="100" w:beforeLines="100" w:after="100" w:afterLines="100" w:line="560" w:lineRule="exact"/>
        <w:ind w:left="0" w:leftChars="0" w:firstLine="0" w:firstLineChars="0"/>
        <w:jc w:val="center"/>
        <w:outlineLvl w:val="1"/>
        <w:rPr>
          <w:rFonts w:hint="default" w:ascii="Times New Roman" w:hAnsi="Times New Roman" w:eastAsia="黑体" w:cs="Times New Roman"/>
          <w:color w:val="auto"/>
          <w:kern w:val="2"/>
          <w:sz w:val="32"/>
          <w:szCs w:val="24"/>
          <w:highlight w:val="none"/>
          <w:lang w:val="en-US" w:eastAsia="zh-CN" w:bidi="ar-SA"/>
        </w:rPr>
      </w:pPr>
      <w:r>
        <w:rPr>
          <w:rFonts w:hint="default" w:ascii="Times New Roman" w:hAnsi="Times New Roman" w:eastAsia="黑体" w:cs="Times New Roman"/>
          <w:color w:val="auto"/>
          <w:kern w:val="2"/>
          <w:sz w:val="32"/>
          <w:szCs w:val="24"/>
          <w:highlight w:val="none"/>
          <w:lang w:val="en-US" w:eastAsia="zh-CN" w:bidi="ar-SA"/>
        </w:rPr>
        <w:t xml:space="preserve"> </w:t>
      </w:r>
      <w:bookmarkStart w:id="532" w:name="_Toc27168"/>
      <w:bookmarkStart w:id="533" w:name="_Toc13302"/>
      <w:bookmarkStart w:id="534" w:name="_Toc4159"/>
      <w:bookmarkStart w:id="535" w:name="_Toc20114"/>
      <w:r>
        <w:rPr>
          <w:rFonts w:hint="default" w:ascii="Times New Roman" w:hAnsi="Times New Roman" w:eastAsia="黑体" w:cs="Times New Roman"/>
          <w:color w:val="auto"/>
          <w:kern w:val="2"/>
          <w:sz w:val="32"/>
          <w:szCs w:val="24"/>
          <w:highlight w:val="none"/>
          <w:lang w:val="en-US" w:eastAsia="zh-CN" w:bidi="ar-SA"/>
        </w:rPr>
        <w:fldChar w:fldCharType="begin"/>
      </w:r>
      <w:r>
        <w:rPr>
          <w:rFonts w:hint="default" w:ascii="Times New Roman" w:hAnsi="Times New Roman" w:eastAsia="黑体" w:cs="Times New Roman"/>
          <w:color w:val="auto"/>
          <w:kern w:val="2"/>
          <w:sz w:val="32"/>
          <w:szCs w:val="24"/>
          <w:highlight w:val="none"/>
          <w:lang w:val="en-US" w:eastAsia="zh-CN" w:bidi="ar-SA"/>
        </w:rPr>
        <w:instrText xml:space="preserve"> HYPERLINK \l _Toc223 </w:instrText>
      </w:r>
      <w:r>
        <w:rPr>
          <w:rFonts w:hint="default" w:ascii="Times New Roman" w:hAnsi="Times New Roman" w:eastAsia="黑体" w:cs="Times New Roman"/>
          <w:color w:val="auto"/>
          <w:kern w:val="2"/>
          <w:sz w:val="32"/>
          <w:szCs w:val="24"/>
          <w:highlight w:val="none"/>
          <w:lang w:val="en-US" w:eastAsia="zh-CN" w:bidi="ar-SA"/>
        </w:rPr>
        <w:fldChar w:fldCharType="separate"/>
      </w:r>
      <w:r>
        <w:rPr>
          <w:rFonts w:hint="default" w:ascii="Times New Roman" w:hAnsi="Times New Roman" w:eastAsia="黑体" w:cs="Times New Roman"/>
          <w:color w:val="auto"/>
          <w:kern w:val="2"/>
          <w:sz w:val="32"/>
          <w:szCs w:val="24"/>
          <w:highlight w:val="none"/>
          <w:lang w:val="en-US" w:eastAsia="zh-CN" w:bidi="ar-SA"/>
        </w:rPr>
        <w:fldChar w:fldCharType="begin"/>
      </w:r>
      <w:r>
        <w:rPr>
          <w:rFonts w:hint="default" w:ascii="Times New Roman" w:hAnsi="Times New Roman" w:eastAsia="黑体" w:cs="Times New Roman"/>
          <w:color w:val="auto"/>
          <w:kern w:val="2"/>
          <w:sz w:val="32"/>
          <w:szCs w:val="24"/>
          <w:highlight w:val="none"/>
          <w:lang w:val="en-US" w:eastAsia="zh-CN" w:bidi="ar-SA"/>
        </w:rPr>
        <w:instrText xml:space="preserve"> HYPERLINK \l _Toc1391 </w:instrText>
      </w:r>
      <w:r>
        <w:rPr>
          <w:rFonts w:hint="default" w:ascii="Times New Roman" w:hAnsi="Times New Roman" w:eastAsia="黑体" w:cs="Times New Roman"/>
          <w:color w:val="auto"/>
          <w:kern w:val="2"/>
          <w:sz w:val="32"/>
          <w:szCs w:val="24"/>
          <w:highlight w:val="none"/>
          <w:lang w:val="en-US" w:eastAsia="zh-CN" w:bidi="ar-SA"/>
        </w:rPr>
        <w:fldChar w:fldCharType="separate"/>
      </w:r>
      <w:r>
        <w:rPr>
          <w:rFonts w:hint="default" w:ascii="Times New Roman" w:hAnsi="Times New Roman" w:eastAsia="黑体" w:cs="Times New Roman"/>
          <w:color w:val="auto"/>
          <w:kern w:val="2"/>
          <w:sz w:val="32"/>
          <w:szCs w:val="24"/>
          <w:highlight w:val="none"/>
          <w:lang w:val="en-US" w:eastAsia="zh-CN" w:bidi="ar-SA"/>
        </w:rPr>
        <w:t>全面推进健康理县建设</w:t>
      </w:r>
      <w:r>
        <w:rPr>
          <w:rFonts w:hint="default" w:ascii="Times New Roman" w:hAnsi="Times New Roman" w:eastAsia="黑体" w:cs="Times New Roman"/>
          <w:color w:val="auto"/>
          <w:kern w:val="2"/>
          <w:sz w:val="32"/>
          <w:szCs w:val="24"/>
          <w:highlight w:val="none"/>
          <w:lang w:val="en-US" w:eastAsia="zh-CN" w:bidi="ar-SA"/>
        </w:rPr>
        <w:fldChar w:fldCharType="end"/>
      </w:r>
      <w:r>
        <w:rPr>
          <w:rFonts w:hint="default" w:ascii="Times New Roman" w:hAnsi="Times New Roman" w:eastAsia="黑体" w:cs="Times New Roman"/>
          <w:color w:val="auto"/>
          <w:kern w:val="2"/>
          <w:sz w:val="32"/>
          <w:szCs w:val="24"/>
          <w:highlight w:val="none"/>
          <w:lang w:val="en-US" w:eastAsia="zh-CN" w:bidi="ar-SA"/>
        </w:rPr>
        <w:fldChar w:fldCharType="end"/>
      </w:r>
      <w:bookmarkEnd w:id="532"/>
      <w:bookmarkEnd w:id="533"/>
      <w:bookmarkEnd w:id="534"/>
      <w:bookmarkEnd w:id="535"/>
    </w:p>
    <w:p w14:paraId="576F557C">
      <w:pPr>
        <w:keepNext/>
        <w:widowControl w:val="0"/>
        <w:numPr>
          <w:ilvl w:val="0"/>
          <w:numId w:val="37"/>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536" w:name="_Toc26268"/>
      <w:bookmarkStart w:id="537" w:name="_Toc6893"/>
      <w:bookmarkStart w:id="538" w:name="_Toc16062"/>
      <w:bookmarkStart w:id="539" w:name="_Toc13043"/>
      <w:r>
        <w:rPr>
          <w:rFonts w:hint="default" w:ascii="Times New Roman" w:hAnsi="Times New Roman" w:eastAsia="楷体_GB2312" w:cs="Times New Roman"/>
          <w:b/>
          <w:bCs w:val="0"/>
          <w:color w:val="auto"/>
          <w:kern w:val="2"/>
          <w:sz w:val="32"/>
          <w:szCs w:val="32"/>
          <w:highlight w:val="none"/>
          <w:lang w:val="en-US" w:eastAsia="zh-CN" w:bidi="ar-SA"/>
        </w:rPr>
        <w:t>加大优质医疗服务供给</w:t>
      </w:r>
      <w:bookmarkEnd w:id="536"/>
      <w:bookmarkEnd w:id="537"/>
      <w:bookmarkEnd w:id="538"/>
      <w:bookmarkEnd w:id="539"/>
    </w:p>
    <w:p w14:paraId="6AE154DC">
      <w:pPr>
        <w:bidi w:val="0"/>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color w:val="auto"/>
          <w:sz w:val="32"/>
          <w:szCs w:val="22"/>
          <w:highlight w:val="none"/>
          <w:lang w:val="en-US" w:eastAsia="zh-CN"/>
        </w:rPr>
        <w:t>加快补齐县域医疗卫生服务能力短板，提升县级医院龙头作用，推进理县人民医院对标三级综合医院、理县中藏医院“两专科一中心”建设，加强院前医疗急救网络建设，完善桃坪、薛城、上孟、朴头、米亚罗4镇1乡医疗急救分中心建设，夯实63个村卫生室服务网底。强化临床专科能力建设，县人民医院重点加强县域内住院和县外转诊疾病病种靠前的临床专科建设，中藏医院加强民族医药临床重点科室创建。发展“固定+流动”的医疗卫生服务供给模式，建立巡回医疗制度。优化升级县域医疗卫生设施设备，加强县域医疗卫生数智化建设，推进县级智慧医院全覆盖，大力发展智慧医疗服务，持续改善就医体验。加强医疗机构适老化改造，优化和拓展“健康敲门行动”，改进老年健康服务。积极推进卫生高层次人才引进和培养计划，加强基层全科医生、薄弱学科、紧缺人才队伍建设，健全人才评价体系。</w:t>
      </w:r>
    </w:p>
    <w:p w14:paraId="5F2B9569">
      <w:pPr>
        <w:keepNext/>
        <w:widowControl w:val="0"/>
        <w:numPr>
          <w:ilvl w:val="0"/>
          <w:numId w:val="37"/>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540" w:name="_Toc18256"/>
      <w:bookmarkStart w:id="541" w:name="_Toc22423"/>
      <w:bookmarkStart w:id="542" w:name="_Toc28951"/>
      <w:bookmarkStart w:id="543" w:name="_Toc20274"/>
      <w:r>
        <w:rPr>
          <w:rFonts w:hint="default" w:ascii="Times New Roman" w:hAnsi="Times New Roman" w:eastAsia="楷体_GB2312" w:cs="Times New Roman"/>
          <w:b/>
          <w:bCs w:val="0"/>
          <w:color w:val="auto"/>
          <w:kern w:val="2"/>
          <w:sz w:val="32"/>
          <w:szCs w:val="32"/>
          <w:highlight w:val="none"/>
          <w:lang w:val="en-US" w:eastAsia="zh-CN" w:bidi="ar-SA"/>
        </w:rPr>
        <w:t>提高公共卫生服务能力</w:t>
      </w:r>
      <w:bookmarkEnd w:id="540"/>
      <w:bookmarkEnd w:id="541"/>
      <w:bookmarkEnd w:id="542"/>
      <w:bookmarkEnd w:id="543"/>
    </w:p>
    <w:p w14:paraId="3588621C">
      <w:pPr>
        <w:bidi w:val="0"/>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color w:val="auto"/>
          <w:sz w:val="32"/>
          <w:szCs w:val="22"/>
          <w:highlight w:val="none"/>
          <w:lang w:val="en-US" w:eastAsia="zh-CN"/>
        </w:rPr>
        <w:t>健全重大传染病、职业病和地方病防控长效机制，加强公共卫生突发事件处置能力，强化疫苗接种服务，完善“防、治、管、控”四位一体的疾病防控体系，最大限度降低各类疾病危害。提升完善疾控中心实验室和县医院传染病区医疗信息化建设。加强传染病报告、监测、预警和处置工作，法定传染病报告率保持100%水平。加大预防知识宣传教育力度，有针对性地推行预防干预措施，实现传染病发病率稳中有降。实施艾滋病、结核病防治攻坚行动，持续巩固包虫病防治成效。抓好职业病防治，加强特殊群体心理健康关爱服务。做实家庭医生签约服务，规范建立电子健康档案，做好广大群众健康服务群众“最后一米”。推进老人、妇女、儿童重点人群卫生服务保障，强化儿科、精神卫生服务。</w:t>
      </w:r>
    </w:p>
    <w:p w14:paraId="6F1CE104">
      <w:pPr>
        <w:keepNext/>
        <w:widowControl w:val="0"/>
        <w:numPr>
          <w:ilvl w:val="0"/>
          <w:numId w:val="37"/>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544" w:name="_Toc17151"/>
      <w:bookmarkStart w:id="545" w:name="_Toc32061"/>
      <w:bookmarkStart w:id="546" w:name="_Toc19482"/>
      <w:bookmarkStart w:id="547" w:name="_Toc8367"/>
      <w:r>
        <w:rPr>
          <w:rFonts w:hint="default" w:ascii="Times New Roman" w:hAnsi="Times New Roman" w:eastAsia="楷体_GB2312" w:cs="Times New Roman"/>
          <w:b/>
          <w:bCs w:val="0"/>
          <w:color w:val="auto"/>
          <w:kern w:val="2"/>
          <w:sz w:val="32"/>
          <w:szCs w:val="32"/>
          <w:highlight w:val="none"/>
          <w:lang w:val="en-US" w:eastAsia="zh-CN" w:bidi="ar-SA"/>
        </w:rPr>
        <w:t>传承发展中藏羌医药事业</w:t>
      </w:r>
      <w:bookmarkEnd w:id="544"/>
      <w:bookmarkEnd w:id="545"/>
      <w:bookmarkEnd w:id="546"/>
      <w:bookmarkEnd w:id="547"/>
    </w:p>
    <w:p w14:paraId="7A742158">
      <w:pPr>
        <w:bidi w:val="0"/>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color w:val="auto"/>
          <w:sz w:val="32"/>
          <w:szCs w:val="22"/>
          <w:highlight w:val="none"/>
          <w:lang w:val="en-US" w:eastAsia="zh-CN"/>
        </w:rPr>
        <w:t>全面传承中藏羌医药文化，以县中藏医院为主体，推动综合医院、妇幼保健院中医科室全覆盖，加强中藏羌医药服务体系和能力建设，形成“县、镇（乡）、村”三级中医治未病服务网络。加强县中藏医院重点专科建设、特色科室打造，鼓励和支持桃坪中羌医馆特色医疗发展。推动中藏羌医适宜技术推广，落实中藏羌医优势病种下沉基层推广应用，提升基层医疗机构中医特色专病专科门诊能力。深入挖掘民族医药文化，推进中藏羌医药现代化、产业化发展。强化中医药人才队伍建设，加强中藏羌医药人才培养和区域交流合作，持续推进名中医工作室基层工作站建设，发挥示范站点优质中藏羌医药服务辐射作用，为居民提供“家门口”中藏羌医健康保障。</w:t>
      </w:r>
    </w:p>
    <w:p w14:paraId="637D948E">
      <w:pPr>
        <w:keepNext/>
        <w:widowControl w:val="0"/>
        <w:numPr>
          <w:ilvl w:val="0"/>
          <w:numId w:val="37"/>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548" w:name="_Toc25643"/>
      <w:bookmarkStart w:id="549" w:name="_Toc26702"/>
      <w:bookmarkStart w:id="550" w:name="_Toc4458"/>
      <w:bookmarkStart w:id="551" w:name="_Toc13564"/>
      <w:r>
        <w:rPr>
          <w:rFonts w:hint="default" w:ascii="Times New Roman" w:hAnsi="Times New Roman" w:eastAsia="楷体_GB2312" w:cs="Times New Roman"/>
          <w:b/>
          <w:bCs w:val="0"/>
          <w:color w:val="auto"/>
          <w:kern w:val="2"/>
          <w:sz w:val="32"/>
          <w:szCs w:val="32"/>
          <w:highlight w:val="none"/>
          <w:lang w:val="en-US" w:eastAsia="zh-CN" w:bidi="ar-SA"/>
        </w:rPr>
        <w:t>深化医疗卫生体制改革</w:t>
      </w:r>
      <w:bookmarkEnd w:id="548"/>
      <w:bookmarkEnd w:id="549"/>
      <w:bookmarkEnd w:id="550"/>
      <w:bookmarkEnd w:id="551"/>
    </w:p>
    <w:p w14:paraId="60D34D4A">
      <w:pPr>
        <w:bidi w:val="0"/>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color w:val="auto"/>
          <w:sz w:val="32"/>
          <w:szCs w:val="22"/>
          <w:highlight w:val="none"/>
          <w:lang w:val="en-US" w:eastAsia="zh-CN"/>
        </w:rPr>
        <w:t>稳步推进“三医联动、六医协同”集成改革。加快“1+N”紧密型县域医共体建设成果运用，用好“组团式”帮扶力量，构建“三地四方”医联体，与成都、乐清、遂宁等地优质医疗机构开展远程协作。巩固和完善分级诊疗制度，优化就医流程和服务模式。发挥医保支付方式改革引领作用，持续开展药品耗材集中带量采购，落实医保资金打包付费、结余留用政策，建立医疗服务价格动态调整机制。深化公立医院薪酬制度改革，建立以质量为核心、公益性为导向的公立医院考评机制。探索引进医养结合项目，将民族医药与全域旅游、康养度假深度融合。</w:t>
      </w:r>
    </w:p>
    <w:p w14:paraId="27A3FD69">
      <w:pPr>
        <w:keepNext/>
        <w:widowControl w:val="0"/>
        <w:numPr>
          <w:ilvl w:val="0"/>
          <w:numId w:val="37"/>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552" w:name="_Toc28269"/>
      <w:bookmarkStart w:id="553" w:name="_Toc24165"/>
      <w:bookmarkStart w:id="554" w:name="_Toc5446"/>
      <w:bookmarkStart w:id="555" w:name="_Toc939"/>
      <w:r>
        <w:rPr>
          <w:rFonts w:hint="default" w:ascii="Times New Roman" w:hAnsi="Times New Roman" w:eastAsia="楷体_GB2312" w:cs="Times New Roman"/>
          <w:b/>
          <w:bCs w:val="0"/>
          <w:color w:val="auto"/>
          <w:kern w:val="2"/>
          <w:sz w:val="32"/>
          <w:szCs w:val="32"/>
          <w:highlight w:val="none"/>
          <w:lang w:val="en-US" w:eastAsia="zh-CN" w:bidi="ar-SA"/>
        </w:rPr>
        <w:t>提高全民健康素养水平</w:t>
      </w:r>
      <w:bookmarkEnd w:id="552"/>
      <w:bookmarkEnd w:id="553"/>
      <w:bookmarkEnd w:id="554"/>
      <w:bookmarkEnd w:id="555"/>
    </w:p>
    <w:p w14:paraId="10657067">
      <w:pPr>
        <w:bidi w:val="0"/>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color w:val="auto"/>
          <w:sz w:val="32"/>
          <w:szCs w:val="22"/>
          <w:highlight w:val="none"/>
          <w:lang w:val="en-US" w:eastAsia="zh-CN"/>
        </w:rPr>
        <w:t>全力推进健康阿坝“18个专项行动”，构建县、乡、村三级群众身边的全民健身设施网络。加强膳食营养、慢性病防治、中医养生保健、心理健康等知识宣传，提升全民健康素养。加强心理健康和精神卫生服务体系建设，提高心理健康服务水平。深入开展爱国卫生运动，改善城乡环境卫生面貌。实施全民健身计划，促进群众体育和竞技体育全面发展。深入推进“体医融合”，开展运动促进健康服务。</w:t>
      </w:r>
    </w:p>
    <w:p w14:paraId="1396F533">
      <w:pPr>
        <w:bidi w:val="0"/>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p>
    <w:p w14:paraId="3289248C">
      <w:pPr>
        <w:bidi w:val="0"/>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49CC9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shd w:val="clear" w:color="auto" w:fill="7F7F7F" w:themeFill="text1" w:themeFillTint="7F"/>
          </w:tcPr>
          <w:p w14:paraId="19B79652">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center"/>
              <w:rPr>
                <w:rFonts w:hint="default" w:ascii="Times New Roman" w:hAnsi="Times New Roman" w:eastAsia="黑体" w:cs="Times New Roman"/>
                <w:b/>
                <w:bCs/>
                <w:color w:val="auto"/>
                <w:kern w:val="0"/>
                <w:sz w:val="28"/>
                <w:szCs w:val="28"/>
                <w:highlight w:val="none"/>
                <w:lang w:val="en-US" w:eastAsia="zh-CN" w:bidi="ar"/>
              </w:rPr>
            </w:pPr>
            <w:r>
              <w:rPr>
                <w:rFonts w:hint="default" w:ascii="Times New Roman" w:hAnsi="Times New Roman" w:eastAsia="黑体" w:cs="Times New Roman"/>
                <w:b/>
                <w:bCs/>
                <w:color w:val="auto"/>
                <w:kern w:val="0"/>
                <w:sz w:val="28"/>
                <w:szCs w:val="28"/>
                <w:highlight w:val="none"/>
                <w:lang w:bidi="ar"/>
              </w:rPr>
              <w:t>专栏</w:t>
            </w:r>
            <w:r>
              <w:rPr>
                <w:rFonts w:hint="default" w:ascii="Times New Roman" w:hAnsi="Times New Roman" w:eastAsia="黑体" w:cs="Times New Roman"/>
                <w:b/>
                <w:bCs/>
                <w:color w:val="auto"/>
                <w:kern w:val="0"/>
                <w:sz w:val="28"/>
                <w:szCs w:val="28"/>
                <w:highlight w:val="none"/>
                <w:lang w:val="en-US" w:eastAsia="zh-CN" w:bidi="ar"/>
              </w:rPr>
              <w:t>2</w:t>
            </w:r>
            <w:r>
              <w:rPr>
                <w:rFonts w:hint="eastAsia" w:eastAsia="黑体" w:cs="Times New Roman"/>
                <w:b/>
                <w:bCs/>
                <w:color w:val="auto"/>
                <w:kern w:val="0"/>
                <w:sz w:val="28"/>
                <w:szCs w:val="28"/>
                <w:highlight w:val="none"/>
                <w:lang w:val="en-US" w:eastAsia="zh-CN" w:bidi="ar"/>
              </w:rPr>
              <w:t>1</w:t>
            </w:r>
            <w:r>
              <w:rPr>
                <w:rFonts w:hint="default" w:ascii="Times New Roman" w:hAnsi="Times New Roman" w:eastAsia="黑体" w:cs="Times New Roman"/>
                <w:b/>
                <w:bCs/>
                <w:color w:val="auto"/>
                <w:kern w:val="0"/>
                <w:sz w:val="28"/>
                <w:szCs w:val="28"/>
                <w:highlight w:val="none"/>
                <w:lang w:val="en-US" w:eastAsia="zh-CN" w:bidi="ar"/>
              </w:rPr>
              <w:t xml:space="preserve"> </w:t>
            </w:r>
            <w:r>
              <w:rPr>
                <w:rFonts w:hint="default" w:ascii="Times New Roman" w:hAnsi="Times New Roman" w:eastAsia="黑体" w:cs="Times New Roman"/>
                <w:b/>
                <w:bCs/>
                <w:color w:val="auto"/>
                <w:kern w:val="0"/>
                <w:sz w:val="28"/>
                <w:szCs w:val="28"/>
                <w:highlight w:val="none"/>
                <w:lang w:bidi="ar"/>
              </w:rPr>
              <w:t xml:space="preserve"> </w:t>
            </w:r>
            <w:r>
              <w:rPr>
                <w:rFonts w:hint="default" w:ascii="Times New Roman" w:hAnsi="Times New Roman" w:eastAsia="黑体" w:cs="Times New Roman"/>
                <w:b/>
                <w:bCs/>
                <w:color w:val="auto"/>
                <w:kern w:val="0"/>
                <w:sz w:val="28"/>
                <w:szCs w:val="28"/>
                <w:highlight w:val="none"/>
                <w:lang w:val="en-US" w:eastAsia="zh-CN" w:bidi="ar"/>
              </w:rPr>
              <w:t>健康理县建设重点工程</w:t>
            </w:r>
          </w:p>
        </w:tc>
      </w:tr>
      <w:tr w14:paraId="616EC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tcPr>
          <w:p w14:paraId="02F375BC">
            <w:pPr>
              <w:keepNext w:val="0"/>
              <w:keepLines w:val="0"/>
              <w:pageBreakBefore w:val="0"/>
              <w:widowControl/>
              <w:numPr>
                <w:ilvl w:val="0"/>
                <w:numId w:val="13"/>
              </w:numPr>
              <w:kinsoku/>
              <w:wordWrap/>
              <w:overflowPunct/>
              <w:topLinePunct w:val="0"/>
              <w:autoSpaceDE/>
              <w:autoSpaceDN/>
              <w:bidi w:val="0"/>
              <w:adjustRightInd w:val="0"/>
              <w:snapToGrid w:val="0"/>
              <w:spacing w:line="440" w:lineRule="exact"/>
              <w:ind w:left="420" w:leftChars="0" w:hanging="420" w:firstLineChars="0"/>
              <w:jc w:val="left"/>
              <w:textAlignment w:val="auto"/>
              <w:rPr>
                <w:rFonts w:hint="default" w:ascii="Times New Roman" w:hAnsi="Times New Roman" w:eastAsia="仿宋_GB2312" w:cs="Times New Roman"/>
                <w:b w:val="0"/>
                <w:bCs w:val="0"/>
                <w:color w:val="auto"/>
                <w:kern w:val="2"/>
                <w:sz w:val="28"/>
                <w:szCs w:val="28"/>
                <w:highlight w:val="none"/>
                <w:lang w:val="en-US" w:eastAsia="zh-CN"/>
              </w:rPr>
            </w:pPr>
            <w:r>
              <w:rPr>
                <w:rFonts w:hint="default" w:ascii="Times New Roman" w:hAnsi="Times New Roman" w:eastAsia="仿宋_GB2312" w:cs="Times New Roman"/>
                <w:b/>
                <w:bCs/>
                <w:color w:val="auto"/>
                <w:kern w:val="2"/>
                <w:sz w:val="28"/>
                <w:szCs w:val="28"/>
                <w:highlight w:val="none"/>
                <w:lang w:val="en-US" w:eastAsia="zh-CN"/>
              </w:rPr>
              <w:t>医疗服务能力提升：</w:t>
            </w:r>
            <w:r>
              <w:rPr>
                <w:rFonts w:hint="eastAsia" w:cs="Times New Roman"/>
                <w:color w:val="auto"/>
                <w:sz w:val="28"/>
                <w:szCs w:val="28"/>
                <w:highlight w:val="none"/>
                <w:lang w:val="en-US" w:eastAsia="zh-CN"/>
              </w:rPr>
              <w:t>加快</w:t>
            </w:r>
            <w:r>
              <w:rPr>
                <w:rFonts w:hint="default" w:ascii="Times New Roman" w:hAnsi="Times New Roman" w:eastAsia="仿宋_GB2312" w:cs="Times New Roman"/>
                <w:color w:val="auto"/>
                <w:sz w:val="28"/>
                <w:szCs w:val="28"/>
                <w:highlight w:val="none"/>
                <w:lang w:val="en-US" w:eastAsia="zh-CN"/>
              </w:rPr>
              <w:t>推进理县县域医共体核心医疗机构提能建设</w:t>
            </w:r>
            <w:r>
              <w:rPr>
                <w:rFonts w:hint="eastAsia" w:cs="Times New Roman"/>
                <w:color w:val="auto"/>
                <w:sz w:val="28"/>
                <w:szCs w:val="28"/>
                <w:highlight w:val="none"/>
                <w:lang w:val="en-US" w:eastAsia="zh-CN"/>
              </w:rPr>
              <w:t>、</w:t>
            </w:r>
            <w:r>
              <w:rPr>
                <w:rFonts w:hint="default" w:ascii="Times New Roman" w:hAnsi="Times New Roman" w:eastAsia="仿宋_GB2312" w:cs="Times New Roman"/>
                <w:color w:val="auto"/>
                <w:sz w:val="28"/>
                <w:szCs w:val="28"/>
                <w:highlight w:val="none"/>
                <w:lang w:val="en-US" w:eastAsia="zh-CN"/>
              </w:rPr>
              <w:t>理县人民医院新住院大楼、理县孟屯河谷医养康养中心建设、理县米亚罗红叶康养中心建设、理县医养结合综合项目、理县县域重点专科能力提升、基层医疗机构改造、县乡一体县域急救体系建设、村级卫生服务体系建设、理县医共体总医院设备更新等项目前期工作。</w:t>
            </w:r>
          </w:p>
          <w:p w14:paraId="6DEFE3A4">
            <w:pPr>
              <w:keepNext w:val="0"/>
              <w:keepLines w:val="0"/>
              <w:pageBreakBefore w:val="0"/>
              <w:widowControl/>
              <w:numPr>
                <w:ilvl w:val="0"/>
                <w:numId w:val="13"/>
              </w:numPr>
              <w:kinsoku/>
              <w:wordWrap/>
              <w:overflowPunct/>
              <w:topLinePunct w:val="0"/>
              <w:autoSpaceDE/>
              <w:autoSpaceDN/>
              <w:bidi w:val="0"/>
              <w:adjustRightInd w:val="0"/>
              <w:snapToGrid w:val="0"/>
              <w:spacing w:line="440" w:lineRule="exact"/>
              <w:ind w:left="420" w:leftChars="0" w:hanging="420" w:firstLineChars="0"/>
              <w:jc w:val="left"/>
              <w:textAlignment w:val="auto"/>
              <w:rPr>
                <w:rFonts w:hint="default" w:ascii="Times New Roman" w:hAnsi="Times New Roman" w:eastAsia="仿宋_GB2312" w:cs="Times New Roman"/>
                <w:b/>
                <w:bCs/>
                <w:color w:val="auto"/>
                <w:kern w:val="2"/>
                <w:sz w:val="28"/>
                <w:szCs w:val="28"/>
                <w:highlight w:val="none"/>
                <w:lang w:val="en-US" w:eastAsia="zh-CN"/>
              </w:rPr>
            </w:pPr>
            <w:r>
              <w:rPr>
                <w:rFonts w:hint="default" w:ascii="Times New Roman" w:hAnsi="Times New Roman" w:eastAsia="仿宋_GB2312" w:cs="Times New Roman"/>
                <w:b/>
                <w:bCs/>
                <w:color w:val="auto"/>
                <w:kern w:val="2"/>
                <w:sz w:val="28"/>
                <w:szCs w:val="28"/>
                <w:highlight w:val="none"/>
                <w:lang w:val="en-US" w:eastAsia="zh-CN"/>
              </w:rPr>
              <w:t>公共卫生能力建设：</w:t>
            </w:r>
            <w:r>
              <w:rPr>
                <w:rFonts w:hint="default" w:ascii="Times New Roman" w:hAnsi="Times New Roman" w:eastAsia="仿宋_GB2312" w:cs="Times New Roman"/>
                <w:color w:val="auto"/>
                <w:sz w:val="28"/>
                <w:szCs w:val="28"/>
                <w:highlight w:val="none"/>
                <w:lang w:val="en-US" w:eastAsia="zh-CN"/>
              </w:rPr>
              <w:t>推进理县疾病预防控制中心卫生应急处置能力建设和疾控机构标准化建设</w:t>
            </w:r>
            <w:r>
              <w:rPr>
                <w:rFonts w:hint="eastAsia" w:cs="Times New Roman"/>
                <w:color w:val="auto"/>
                <w:sz w:val="28"/>
                <w:szCs w:val="28"/>
                <w:highlight w:val="none"/>
                <w:lang w:val="en-US" w:eastAsia="zh-CN"/>
              </w:rPr>
              <w:t>。</w:t>
            </w:r>
          </w:p>
          <w:p w14:paraId="65AFDB44">
            <w:pPr>
              <w:keepNext w:val="0"/>
              <w:keepLines w:val="0"/>
              <w:pageBreakBefore w:val="0"/>
              <w:widowControl/>
              <w:numPr>
                <w:ilvl w:val="0"/>
                <w:numId w:val="13"/>
              </w:numPr>
              <w:kinsoku/>
              <w:wordWrap/>
              <w:overflowPunct/>
              <w:topLinePunct w:val="0"/>
              <w:autoSpaceDE/>
              <w:autoSpaceDN/>
              <w:bidi w:val="0"/>
              <w:adjustRightInd w:val="0"/>
              <w:snapToGrid w:val="0"/>
              <w:spacing w:line="440" w:lineRule="exact"/>
              <w:ind w:left="420" w:leftChars="0" w:hanging="420" w:firstLineChars="0"/>
              <w:jc w:val="left"/>
              <w:textAlignment w:val="auto"/>
              <w:rPr>
                <w:rFonts w:hint="default" w:ascii="Times New Roman" w:hAnsi="Times New Roman" w:eastAsia="仿宋_GB2312" w:cs="Times New Roman"/>
                <w:color w:val="auto"/>
                <w:sz w:val="32"/>
                <w:szCs w:val="22"/>
                <w:highlight w:val="none"/>
                <w:lang w:eastAsia="zh-CN"/>
              </w:rPr>
            </w:pPr>
            <w:r>
              <w:rPr>
                <w:rFonts w:hint="default" w:ascii="Times New Roman" w:hAnsi="Times New Roman" w:eastAsia="仿宋_GB2312" w:cs="Times New Roman"/>
                <w:b/>
                <w:bCs/>
                <w:color w:val="auto"/>
                <w:kern w:val="2"/>
                <w:sz w:val="28"/>
                <w:szCs w:val="28"/>
                <w:highlight w:val="none"/>
                <w:lang w:val="en-US" w:eastAsia="zh-CN"/>
              </w:rPr>
              <w:t>中藏羌医药传承发展：</w:t>
            </w:r>
            <w:r>
              <w:rPr>
                <w:rFonts w:hint="default" w:ascii="Times New Roman" w:hAnsi="Times New Roman" w:eastAsia="仿宋_GB2312" w:cs="Times New Roman"/>
                <w:b w:val="0"/>
                <w:bCs w:val="0"/>
                <w:color w:val="auto"/>
                <w:kern w:val="2"/>
                <w:sz w:val="28"/>
                <w:szCs w:val="28"/>
                <w:highlight w:val="none"/>
                <w:lang w:val="en-US" w:eastAsia="zh-CN"/>
              </w:rPr>
              <w:t>推进县中医藏医医院服务能力提升、县中医藏医医院第二院区建设等项目前期工作。</w:t>
            </w:r>
          </w:p>
        </w:tc>
      </w:tr>
    </w:tbl>
    <w:p w14:paraId="75331152">
      <w:pPr>
        <w:keepNext/>
        <w:widowControl w:val="0"/>
        <w:numPr>
          <w:ilvl w:val="0"/>
          <w:numId w:val="1"/>
        </w:numPr>
        <w:bidi w:val="0"/>
        <w:snapToGrid w:val="0"/>
        <w:spacing w:before="100" w:beforeLines="100" w:after="100" w:afterLines="100" w:line="560" w:lineRule="exact"/>
        <w:ind w:left="0" w:leftChars="0" w:firstLine="0" w:firstLineChars="0"/>
        <w:jc w:val="center"/>
        <w:outlineLvl w:val="1"/>
        <w:rPr>
          <w:rFonts w:hint="default" w:ascii="Times New Roman" w:hAnsi="Times New Roman" w:eastAsia="黑体" w:cs="Times New Roman"/>
          <w:color w:val="auto"/>
          <w:kern w:val="2"/>
          <w:sz w:val="32"/>
          <w:szCs w:val="24"/>
          <w:highlight w:val="none"/>
          <w:lang w:val="en-US" w:eastAsia="zh-CN" w:bidi="ar-SA"/>
        </w:rPr>
      </w:pPr>
      <w:r>
        <w:rPr>
          <w:rFonts w:hint="default" w:ascii="Times New Roman" w:hAnsi="Times New Roman" w:eastAsia="黑体" w:cs="Times New Roman"/>
          <w:color w:val="auto"/>
          <w:kern w:val="2"/>
          <w:sz w:val="32"/>
          <w:szCs w:val="24"/>
          <w:highlight w:val="none"/>
          <w:lang w:val="en-US" w:eastAsia="zh-CN" w:bidi="ar-SA"/>
        </w:rPr>
        <w:t xml:space="preserve"> </w:t>
      </w:r>
      <w:bookmarkStart w:id="556" w:name="_Toc28082"/>
      <w:bookmarkStart w:id="557" w:name="_Toc9820"/>
      <w:bookmarkStart w:id="558" w:name="_Toc32376"/>
      <w:bookmarkStart w:id="559" w:name="_Toc21142"/>
      <w:r>
        <w:rPr>
          <w:rFonts w:hint="default" w:ascii="Times New Roman" w:hAnsi="Times New Roman" w:eastAsia="黑体" w:cs="Times New Roman"/>
          <w:color w:val="auto"/>
          <w:kern w:val="2"/>
          <w:sz w:val="32"/>
          <w:szCs w:val="24"/>
          <w:highlight w:val="none"/>
          <w:lang w:val="en-US" w:eastAsia="zh-CN" w:bidi="ar-SA"/>
        </w:rPr>
        <w:fldChar w:fldCharType="begin"/>
      </w:r>
      <w:r>
        <w:rPr>
          <w:rFonts w:hint="default" w:ascii="Times New Roman" w:hAnsi="Times New Roman" w:eastAsia="黑体" w:cs="Times New Roman"/>
          <w:color w:val="auto"/>
          <w:kern w:val="2"/>
          <w:sz w:val="32"/>
          <w:szCs w:val="24"/>
          <w:highlight w:val="none"/>
          <w:lang w:val="en-US" w:eastAsia="zh-CN" w:bidi="ar-SA"/>
        </w:rPr>
        <w:instrText xml:space="preserve"> HYPERLINK \l _Toc223 </w:instrText>
      </w:r>
      <w:r>
        <w:rPr>
          <w:rFonts w:hint="default" w:ascii="Times New Roman" w:hAnsi="Times New Roman" w:eastAsia="黑体" w:cs="Times New Roman"/>
          <w:color w:val="auto"/>
          <w:kern w:val="2"/>
          <w:sz w:val="32"/>
          <w:szCs w:val="24"/>
          <w:highlight w:val="none"/>
          <w:lang w:val="en-US" w:eastAsia="zh-CN" w:bidi="ar-SA"/>
        </w:rPr>
        <w:fldChar w:fldCharType="separate"/>
      </w:r>
      <w:r>
        <w:rPr>
          <w:rFonts w:hint="default" w:ascii="Times New Roman" w:hAnsi="Times New Roman" w:eastAsia="黑体" w:cs="Times New Roman"/>
          <w:color w:val="auto"/>
          <w:kern w:val="2"/>
          <w:sz w:val="32"/>
          <w:szCs w:val="24"/>
          <w:highlight w:val="none"/>
          <w:lang w:val="en-US" w:eastAsia="zh-CN" w:bidi="ar-SA"/>
        </w:rPr>
        <w:fldChar w:fldCharType="begin"/>
      </w:r>
      <w:r>
        <w:rPr>
          <w:rFonts w:hint="default" w:ascii="Times New Roman" w:hAnsi="Times New Roman" w:eastAsia="黑体" w:cs="Times New Roman"/>
          <w:color w:val="auto"/>
          <w:kern w:val="2"/>
          <w:sz w:val="32"/>
          <w:szCs w:val="24"/>
          <w:highlight w:val="none"/>
          <w:lang w:val="en-US" w:eastAsia="zh-CN" w:bidi="ar-SA"/>
        </w:rPr>
        <w:instrText xml:space="preserve"> HYPERLINK \l _Toc1391 </w:instrText>
      </w:r>
      <w:r>
        <w:rPr>
          <w:rFonts w:hint="default" w:ascii="Times New Roman" w:hAnsi="Times New Roman" w:eastAsia="黑体" w:cs="Times New Roman"/>
          <w:color w:val="auto"/>
          <w:kern w:val="2"/>
          <w:sz w:val="32"/>
          <w:szCs w:val="24"/>
          <w:highlight w:val="none"/>
          <w:lang w:val="en-US" w:eastAsia="zh-CN" w:bidi="ar-SA"/>
        </w:rPr>
        <w:fldChar w:fldCharType="separate"/>
      </w:r>
      <w:r>
        <w:rPr>
          <w:rFonts w:hint="default" w:ascii="Times New Roman" w:hAnsi="Times New Roman" w:eastAsia="黑体" w:cs="Times New Roman"/>
          <w:color w:val="auto"/>
          <w:kern w:val="2"/>
          <w:sz w:val="32"/>
          <w:szCs w:val="24"/>
          <w:highlight w:val="none"/>
          <w:lang w:val="en-US" w:eastAsia="zh-CN" w:bidi="ar-SA"/>
        </w:rPr>
        <w:t>提高社会保障覆盖程度</w:t>
      </w:r>
      <w:r>
        <w:rPr>
          <w:rFonts w:hint="default" w:ascii="Times New Roman" w:hAnsi="Times New Roman" w:eastAsia="黑体" w:cs="Times New Roman"/>
          <w:color w:val="auto"/>
          <w:kern w:val="2"/>
          <w:sz w:val="32"/>
          <w:szCs w:val="24"/>
          <w:highlight w:val="none"/>
          <w:lang w:val="en-US" w:eastAsia="zh-CN" w:bidi="ar-SA"/>
        </w:rPr>
        <w:fldChar w:fldCharType="end"/>
      </w:r>
      <w:r>
        <w:rPr>
          <w:rFonts w:hint="default" w:ascii="Times New Roman" w:hAnsi="Times New Roman" w:eastAsia="黑体" w:cs="Times New Roman"/>
          <w:color w:val="auto"/>
          <w:kern w:val="2"/>
          <w:sz w:val="32"/>
          <w:szCs w:val="24"/>
          <w:highlight w:val="none"/>
          <w:lang w:val="en-US" w:eastAsia="zh-CN" w:bidi="ar-SA"/>
        </w:rPr>
        <w:fldChar w:fldCharType="end"/>
      </w:r>
      <w:bookmarkEnd w:id="556"/>
      <w:bookmarkEnd w:id="557"/>
      <w:bookmarkEnd w:id="558"/>
      <w:bookmarkEnd w:id="559"/>
    </w:p>
    <w:p w14:paraId="65B365AB">
      <w:pPr>
        <w:keepNext/>
        <w:widowControl w:val="0"/>
        <w:numPr>
          <w:ilvl w:val="0"/>
          <w:numId w:val="38"/>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560" w:name="_Toc16447"/>
      <w:bookmarkStart w:id="561" w:name="_Toc23490"/>
      <w:bookmarkStart w:id="562" w:name="_Toc11209"/>
      <w:bookmarkStart w:id="563" w:name="_Toc15891"/>
      <w:r>
        <w:rPr>
          <w:rFonts w:hint="default" w:ascii="Times New Roman" w:hAnsi="Times New Roman" w:eastAsia="楷体_GB2312" w:cs="Times New Roman"/>
          <w:b/>
          <w:bCs w:val="0"/>
          <w:color w:val="auto"/>
          <w:kern w:val="2"/>
          <w:sz w:val="32"/>
          <w:szCs w:val="32"/>
          <w:highlight w:val="none"/>
          <w:lang w:val="en-US" w:eastAsia="zh-CN" w:bidi="ar-SA"/>
        </w:rPr>
        <w:t>完善社会保险制度</w:t>
      </w:r>
      <w:bookmarkEnd w:id="560"/>
      <w:bookmarkEnd w:id="561"/>
      <w:bookmarkEnd w:id="562"/>
      <w:bookmarkEnd w:id="563"/>
    </w:p>
    <w:p w14:paraId="68C096D7">
      <w:pPr>
        <w:bidi w:val="0"/>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color w:val="auto"/>
          <w:sz w:val="32"/>
          <w:szCs w:val="22"/>
          <w:highlight w:val="none"/>
          <w:lang w:val="en-US" w:eastAsia="zh-CN"/>
        </w:rPr>
        <w:t>全面实施全民参保计划，重点推动农民工、灵活就业人员、新业态从业人员等群体参保，扩大社会保险覆盖面。贯彻落实基本养老、基本医疗保险筹资和待遇调整机制，逐步提高城乡居民基本养老保险基础养老金。加快发展多层次多支柱养老保险体系，扩大年金制度覆盖范围，推行个人养老金制度。发挥各类商业保险补充保障作用。严格执行企业职工基本养老保险全国统筹制度，纵深推进工伤保险省级统筹，稳步推进城乡居民基本养老保险基金州级统筹，做好新就业形态人员职业伤害保障试点工作。稳步推进渐进式延迟法定退休年龄改革。全面加大社保基金监管力度。</w:t>
      </w:r>
    </w:p>
    <w:p w14:paraId="1D1FBDB5">
      <w:pPr>
        <w:keepNext/>
        <w:widowControl w:val="0"/>
        <w:numPr>
          <w:ilvl w:val="0"/>
          <w:numId w:val="38"/>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564" w:name="_Toc28667"/>
      <w:bookmarkStart w:id="565" w:name="_Toc31614"/>
      <w:bookmarkStart w:id="566" w:name="_Toc5035"/>
      <w:bookmarkStart w:id="567" w:name="_Toc23982"/>
      <w:r>
        <w:rPr>
          <w:rFonts w:hint="default" w:ascii="Times New Roman" w:hAnsi="Times New Roman" w:eastAsia="楷体_GB2312" w:cs="Times New Roman"/>
          <w:b/>
          <w:bCs w:val="0"/>
          <w:color w:val="auto"/>
          <w:kern w:val="2"/>
          <w:sz w:val="32"/>
          <w:szCs w:val="32"/>
          <w:highlight w:val="none"/>
          <w:lang w:val="en-US" w:eastAsia="zh-CN" w:bidi="ar-SA"/>
        </w:rPr>
        <w:t>优化社会救助体系</w:t>
      </w:r>
      <w:bookmarkEnd w:id="564"/>
      <w:bookmarkEnd w:id="565"/>
      <w:bookmarkEnd w:id="566"/>
      <w:bookmarkEnd w:id="567"/>
    </w:p>
    <w:p w14:paraId="6BED2621">
      <w:pPr>
        <w:bidi w:val="0"/>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color w:val="auto"/>
          <w:sz w:val="32"/>
          <w:szCs w:val="22"/>
          <w:highlight w:val="none"/>
          <w:lang w:val="en-US" w:eastAsia="zh-CN"/>
        </w:rPr>
        <w:t>健全社会救助体系，形成以基本生活救助、专项社会救助、急难社会救助为主体，以社会力量参与为补充，覆盖全面、分层分类、综合高效的社会救助格局。用好低收入人口动态监测信息平台，完善主动发现机制，常态化开展动态监测。根据低收入人</w:t>
      </w:r>
      <w:r>
        <w:rPr>
          <w:rFonts w:hint="eastAsia" w:cs="Times New Roman"/>
          <w:color w:val="auto"/>
          <w:sz w:val="32"/>
          <w:szCs w:val="22"/>
          <w:highlight w:val="none"/>
          <w:lang w:val="en-US" w:eastAsia="zh-CN"/>
        </w:rPr>
        <w:t>群</w:t>
      </w:r>
      <w:r>
        <w:rPr>
          <w:rFonts w:hint="default" w:ascii="Times New Roman" w:hAnsi="Times New Roman" w:eastAsia="仿宋_GB2312" w:cs="Times New Roman"/>
          <w:color w:val="auto"/>
          <w:sz w:val="32"/>
          <w:szCs w:val="22"/>
          <w:highlight w:val="none"/>
          <w:lang w:val="en-US" w:eastAsia="zh-CN"/>
        </w:rPr>
        <w:t>困难程度和困难类型，分层分类提供常态化救助帮扶，推广“互联网+社会救助”服务模式。扎实开展基本生活救助，统筹做好医疗、教育、住房、就业、受灾人员等专项社会救助，强化急难社会救助，积极发展服务类社会救助，做好其他救助帮扶，鼓励开展慈善帮扶。探索建立失能人员社会保障和关爱服务体系，加大对特困人员救助供养力度，保障困难群众的基本生活权益。支持慈善事业高质量发展，畅通公益慈善力量参与社会救助渠道，提高社会救助资金使用效益。继续支持残疾人事业，加强无障碍环境建设，精准落实残疾人两项补贴政策。</w:t>
      </w:r>
    </w:p>
    <w:p w14:paraId="383AAB6A">
      <w:pPr>
        <w:keepNext/>
        <w:widowControl w:val="0"/>
        <w:numPr>
          <w:ilvl w:val="0"/>
          <w:numId w:val="38"/>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568" w:name="_Toc11320"/>
      <w:bookmarkStart w:id="569" w:name="_Toc19622"/>
      <w:bookmarkStart w:id="570" w:name="_Toc17100"/>
      <w:bookmarkStart w:id="571" w:name="_Toc4630"/>
      <w:r>
        <w:rPr>
          <w:rFonts w:hint="default" w:ascii="Times New Roman" w:hAnsi="Times New Roman" w:eastAsia="楷体_GB2312" w:cs="Times New Roman"/>
          <w:b/>
          <w:bCs w:val="0"/>
          <w:color w:val="auto"/>
          <w:kern w:val="2"/>
          <w:sz w:val="32"/>
          <w:szCs w:val="32"/>
          <w:highlight w:val="none"/>
          <w:lang w:val="en-US" w:eastAsia="zh-CN" w:bidi="ar-SA"/>
        </w:rPr>
        <w:t>健全社会福利体系</w:t>
      </w:r>
      <w:bookmarkEnd w:id="568"/>
      <w:bookmarkEnd w:id="569"/>
      <w:bookmarkEnd w:id="570"/>
      <w:bookmarkEnd w:id="571"/>
    </w:p>
    <w:p w14:paraId="7DE62B82">
      <w:pPr>
        <w:bidi w:val="0"/>
        <w:spacing w:line="560" w:lineRule="exact"/>
        <w:ind w:firstLine="640" w:firstLineChars="200"/>
        <w:rPr>
          <w:rFonts w:hint="default" w:ascii="Times New Roman" w:hAnsi="Times New Roman" w:eastAsia="仿宋_GB2312" w:cs="Times New Roman"/>
          <w:b w:val="0"/>
          <w:bCs w:val="0"/>
          <w:color w:val="auto"/>
          <w:sz w:val="32"/>
          <w:szCs w:val="32"/>
          <w:highlight w:val="none"/>
          <w:vertAlign w:val="baseline"/>
          <w:lang w:val="en-US" w:eastAsia="zh-CN"/>
        </w:rPr>
      </w:pPr>
      <w:r>
        <w:rPr>
          <w:rFonts w:hint="default" w:ascii="Times New Roman" w:hAnsi="Times New Roman" w:eastAsia="仿宋_GB2312" w:cs="Times New Roman"/>
          <w:color w:val="auto"/>
          <w:sz w:val="32"/>
          <w:szCs w:val="22"/>
          <w:highlight w:val="none"/>
          <w:lang w:val="en-US" w:eastAsia="zh-CN"/>
        </w:rPr>
        <w:t>继续深入实施“两纲”，健全保障妇女儿童合法权益制度，推动妇女儿童事业高质量发展。坚持男女平等基本国策，贯彻落实妇女发展纲要，优化妇女发展环境，拓宽妇女就业渠道，严厉打击侵害妇女权益的违法犯罪行为，强化妇女健康管理和服务保障体系。实施儿童发展纲要，优化儿童发展环境，开展留守儿童和困境儿童关爱服务质量提升行动，完善学校家庭社会</w:t>
      </w:r>
      <w:r>
        <w:rPr>
          <w:rFonts w:hint="eastAsia" w:cs="Times New Roman"/>
          <w:color w:val="auto"/>
          <w:sz w:val="32"/>
          <w:szCs w:val="22"/>
          <w:highlight w:val="none"/>
          <w:lang w:val="en-US" w:eastAsia="zh-CN"/>
        </w:rPr>
        <w:t>协同</w:t>
      </w:r>
      <w:r>
        <w:rPr>
          <w:rFonts w:hint="default" w:ascii="Times New Roman" w:hAnsi="Times New Roman" w:eastAsia="仿宋_GB2312" w:cs="Times New Roman"/>
          <w:color w:val="auto"/>
          <w:sz w:val="32"/>
          <w:szCs w:val="22"/>
          <w:highlight w:val="none"/>
          <w:lang w:val="en-US" w:eastAsia="zh-CN"/>
        </w:rPr>
        <w:t>育人机制，全面提升儿童综合素质。加强未成年人保护，示范打造理县未成年人保护中心，严厉打击侵害未成年人合法权益的行为主体，深化未成年人犯罪预防治理。健全退役军人服务保障体系，全力做好思政引领、安置就业、拥军优抚、帮扶解困、权益保障等工作。建设烈士陵园、双拥国防广场（公园），大力弘扬英烈精神。加快生态公墓建设，提升改造殡仪服务站。</w:t>
      </w:r>
      <w:r>
        <w:rPr>
          <w:rFonts w:hint="default" w:ascii="Times New Roman" w:hAnsi="Times New Roman" w:eastAsia="仿宋_GB2312" w:cs="Times New Roman"/>
          <w:b w:val="0"/>
          <w:bCs w:val="0"/>
          <w:color w:val="auto"/>
          <w:sz w:val="32"/>
          <w:szCs w:val="32"/>
          <w:highlight w:val="none"/>
          <w:vertAlign w:val="baseline"/>
          <w:lang w:val="en-US" w:eastAsia="zh-CN"/>
        </w:rPr>
        <w:t>加大公共租赁住房建设力度，适度建设经济适用房。</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157E5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shd w:val="clear" w:color="auto" w:fill="7F7F7F" w:themeFill="text1" w:themeFillTint="7F"/>
          </w:tcPr>
          <w:p w14:paraId="3FD3E8CA">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center"/>
              <w:rPr>
                <w:rFonts w:hint="default" w:ascii="Times New Roman" w:hAnsi="Times New Roman" w:eastAsia="黑体" w:cs="Times New Roman"/>
                <w:b/>
                <w:bCs/>
                <w:color w:val="auto"/>
                <w:kern w:val="0"/>
                <w:sz w:val="28"/>
                <w:szCs w:val="28"/>
                <w:highlight w:val="none"/>
                <w:lang w:val="en-US" w:eastAsia="zh-CN" w:bidi="ar"/>
              </w:rPr>
            </w:pPr>
            <w:r>
              <w:rPr>
                <w:rFonts w:hint="default" w:ascii="Times New Roman" w:hAnsi="Times New Roman" w:eastAsia="黑体" w:cs="Times New Roman"/>
                <w:b/>
                <w:bCs/>
                <w:color w:val="auto"/>
                <w:kern w:val="0"/>
                <w:sz w:val="28"/>
                <w:szCs w:val="28"/>
                <w:highlight w:val="none"/>
                <w:lang w:bidi="ar"/>
              </w:rPr>
              <w:t>专栏</w:t>
            </w:r>
            <w:r>
              <w:rPr>
                <w:rFonts w:hint="default" w:ascii="Times New Roman" w:hAnsi="Times New Roman" w:eastAsia="黑体" w:cs="Times New Roman"/>
                <w:b/>
                <w:bCs/>
                <w:color w:val="auto"/>
                <w:kern w:val="0"/>
                <w:sz w:val="28"/>
                <w:szCs w:val="28"/>
                <w:highlight w:val="none"/>
                <w:lang w:val="en-US" w:eastAsia="zh-CN" w:bidi="ar"/>
              </w:rPr>
              <w:t>2</w:t>
            </w:r>
            <w:r>
              <w:rPr>
                <w:rFonts w:hint="eastAsia" w:eastAsia="黑体" w:cs="Times New Roman"/>
                <w:b/>
                <w:bCs/>
                <w:color w:val="auto"/>
                <w:kern w:val="0"/>
                <w:sz w:val="28"/>
                <w:szCs w:val="28"/>
                <w:highlight w:val="none"/>
                <w:lang w:val="en-US" w:eastAsia="zh-CN" w:bidi="ar"/>
              </w:rPr>
              <w:t>2</w:t>
            </w:r>
            <w:r>
              <w:rPr>
                <w:rFonts w:hint="default" w:ascii="Times New Roman" w:hAnsi="Times New Roman" w:eastAsia="黑体" w:cs="Times New Roman"/>
                <w:b/>
                <w:bCs/>
                <w:color w:val="auto"/>
                <w:kern w:val="0"/>
                <w:sz w:val="28"/>
                <w:szCs w:val="28"/>
                <w:highlight w:val="none"/>
                <w:lang w:val="en-US" w:eastAsia="zh-CN" w:bidi="ar"/>
              </w:rPr>
              <w:t xml:space="preserve"> </w:t>
            </w:r>
            <w:r>
              <w:rPr>
                <w:rFonts w:hint="default" w:ascii="Times New Roman" w:hAnsi="Times New Roman" w:eastAsia="黑体" w:cs="Times New Roman"/>
                <w:b/>
                <w:bCs/>
                <w:color w:val="auto"/>
                <w:kern w:val="0"/>
                <w:sz w:val="28"/>
                <w:szCs w:val="28"/>
                <w:highlight w:val="none"/>
                <w:lang w:bidi="ar"/>
              </w:rPr>
              <w:t xml:space="preserve"> </w:t>
            </w:r>
            <w:r>
              <w:rPr>
                <w:rFonts w:hint="default" w:ascii="Times New Roman" w:hAnsi="Times New Roman" w:eastAsia="黑体" w:cs="Times New Roman"/>
                <w:b/>
                <w:bCs/>
                <w:color w:val="auto"/>
                <w:kern w:val="0"/>
                <w:sz w:val="28"/>
                <w:szCs w:val="28"/>
                <w:highlight w:val="none"/>
                <w:lang w:val="en-US" w:eastAsia="zh-CN" w:bidi="ar"/>
              </w:rPr>
              <w:t>社会保障重点工程</w:t>
            </w:r>
          </w:p>
        </w:tc>
      </w:tr>
      <w:tr w14:paraId="5E9DE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tcPr>
          <w:p w14:paraId="799A8D27">
            <w:pPr>
              <w:keepNext w:val="0"/>
              <w:keepLines w:val="0"/>
              <w:pageBreakBefore w:val="0"/>
              <w:widowControl/>
              <w:numPr>
                <w:ilvl w:val="0"/>
                <w:numId w:val="13"/>
              </w:numPr>
              <w:kinsoku/>
              <w:wordWrap/>
              <w:overflowPunct/>
              <w:topLinePunct w:val="0"/>
              <w:autoSpaceDE/>
              <w:autoSpaceDN/>
              <w:bidi w:val="0"/>
              <w:adjustRightInd w:val="0"/>
              <w:snapToGrid w:val="0"/>
              <w:spacing w:line="440" w:lineRule="exact"/>
              <w:ind w:left="420" w:leftChars="0" w:hanging="420" w:firstLineChars="0"/>
              <w:jc w:val="left"/>
              <w:textAlignment w:val="auto"/>
              <w:rPr>
                <w:rFonts w:hint="default" w:ascii="Times New Roman" w:hAnsi="Times New Roman" w:eastAsia="仿宋_GB2312" w:cs="Times New Roman"/>
                <w:b/>
                <w:bCs/>
                <w:color w:val="auto"/>
                <w:kern w:val="2"/>
                <w:sz w:val="28"/>
                <w:szCs w:val="28"/>
                <w:highlight w:val="none"/>
                <w:lang w:val="en-US" w:eastAsia="zh-CN"/>
              </w:rPr>
            </w:pPr>
            <w:r>
              <w:rPr>
                <w:rFonts w:hint="default" w:ascii="Times New Roman" w:hAnsi="Times New Roman" w:eastAsia="仿宋_GB2312" w:cs="Times New Roman"/>
                <w:b/>
                <w:bCs/>
                <w:color w:val="auto"/>
                <w:kern w:val="2"/>
                <w:sz w:val="28"/>
                <w:szCs w:val="28"/>
                <w:highlight w:val="none"/>
                <w:lang w:val="en-US" w:eastAsia="zh-CN"/>
              </w:rPr>
              <w:t>社会福利：</w:t>
            </w:r>
            <w:r>
              <w:rPr>
                <w:rFonts w:hint="eastAsia" w:cs="Times New Roman"/>
                <w:b w:val="0"/>
                <w:bCs w:val="0"/>
                <w:color w:val="auto"/>
                <w:kern w:val="2"/>
                <w:sz w:val="28"/>
                <w:szCs w:val="28"/>
                <w:highlight w:val="none"/>
                <w:lang w:val="en-US" w:eastAsia="zh-CN"/>
              </w:rPr>
              <w:t>1.</w:t>
            </w:r>
            <w:r>
              <w:rPr>
                <w:rFonts w:hint="default" w:ascii="Times New Roman" w:hAnsi="Times New Roman" w:eastAsia="仿宋_GB2312" w:cs="Times New Roman"/>
                <w:b w:val="0"/>
                <w:bCs w:val="0"/>
                <w:color w:val="auto"/>
                <w:kern w:val="2"/>
                <w:sz w:val="28"/>
                <w:szCs w:val="28"/>
                <w:highlight w:val="none"/>
                <w:lang w:val="en-US" w:eastAsia="zh-CN"/>
              </w:rPr>
              <w:t>实施</w:t>
            </w:r>
            <w:r>
              <w:rPr>
                <w:rFonts w:hint="default" w:ascii="Times New Roman" w:hAnsi="Times New Roman" w:eastAsia="仿宋_GB2312" w:cs="Times New Roman"/>
                <w:color w:val="auto"/>
                <w:sz w:val="28"/>
                <w:szCs w:val="28"/>
                <w:highlight w:val="none"/>
              </w:rPr>
              <w:t>农村公益性公墓建设</w:t>
            </w:r>
            <w:r>
              <w:rPr>
                <w:rFonts w:hint="default" w:ascii="Times New Roman" w:hAnsi="Times New Roman" w:eastAsia="仿宋_GB2312" w:cs="Times New Roman"/>
                <w:color w:val="auto"/>
                <w:sz w:val="28"/>
                <w:szCs w:val="28"/>
                <w:highlight w:val="none"/>
                <w:lang w:eastAsia="zh-CN"/>
              </w:rPr>
              <w:t>、</w:t>
            </w:r>
            <w:r>
              <w:rPr>
                <w:rFonts w:hint="default" w:ascii="Times New Roman" w:hAnsi="Times New Roman" w:eastAsia="仿宋_GB2312" w:cs="Times New Roman"/>
                <w:color w:val="auto"/>
                <w:sz w:val="28"/>
                <w:szCs w:val="28"/>
                <w:highlight w:val="none"/>
              </w:rPr>
              <w:t>理县地名文化暨标识标牌建设项目</w:t>
            </w:r>
            <w:r>
              <w:rPr>
                <w:rFonts w:hint="default" w:ascii="Times New Roman" w:hAnsi="Times New Roman" w:eastAsia="仿宋_GB2312" w:cs="Times New Roman"/>
                <w:color w:val="auto"/>
                <w:sz w:val="28"/>
                <w:szCs w:val="28"/>
                <w:highlight w:val="none"/>
                <w:lang w:eastAsia="zh-CN"/>
              </w:rPr>
              <w:t>。</w:t>
            </w:r>
            <w:r>
              <w:rPr>
                <w:rFonts w:hint="eastAsia" w:cs="Times New Roman"/>
                <w:color w:val="auto"/>
                <w:sz w:val="28"/>
                <w:szCs w:val="28"/>
                <w:highlight w:val="none"/>
                <w:lang w:val="en-US" w:eastAsia="zh-CN"/>
              </w:rPr>
              <w:t>2.</w:t>
            </w:r>
            <w:r>
              <w:rPr>
                <w:rFonts w:hint="default" w:ascii="Times New Roman" w:hAnsi="Times New Roman" w:eastAsia="仿宋_GB2312" w:cs="Times New Roman"/>
                <w:color w:val="auto"/>
                <w:sz w:val="28"/>
                <w:szCs w:val="28"/>
                <w:highlight w:val="none"/>
                <w:lang w:val="en-US" w:eastAsia="zh-CN"/>
              </w:rPr>
              <w:t>推进</w:t>
            </w:r>
            <w:r>
              <w:rPr>
                <w:rFonts w:hint="default" w:ascii="Times New Roman" w:hAnsi="Times New Roman" w:eastAsia="仿宋_GB2312" w:cs="Times New Roman"/>
                <w:color w:val="auto"/>
                <w:sz w:val="28"/>
                <w:szCs w:val="28"/>
                <w:highlight w:val="none"/>
              </w:rPr>
              <w:t>理县公墓建设</w:t>
            </w:r>
            <w:r>
              <w:rPr>
                <w:rFonts w:hint="default" w:ascii="Times New Roman" w:hAnsi="Times New Roman" w:eastAsia="仿宋_GB2312" w:cs="Times New Roman"/>
                <w:color w:val="auto"/>
                <w:sz w:val="28"/>
                <w:szCs w:val="28"/>
                <w:highlight w:val="none"/>
                <w:lang w:eastAsia="zh-CN"/>
              </w:rPr>
              <w:t>、</w:t>
            </w:r>
            <w:r>
              <w:rPr>
                <w:rFonts w:hint="default" w:ascii="Times New Roman" w:hAnsi="Times New Roman" w:eastAsia="仿宋_GB2312" w:cs="Times New Roman"/>
                <w:color w:val="auto"/>
                <w:sz w:val="28"/>
                <w:szCs w:val="28"/>
                <w:highlight w:val="none"/>
              </w:rPr>
              <w:t>理县烈士陵园提升改造</w:t>
            </w:r>
            <w:r>
              <w:rPr>
                <w:rFonts w:hint="default" w:ascii="Times New Roman" w:hAnsi="Times New Roman" w:eastAsia="仿宋_GB2312" w:cs="Times New Roman"/>
                <w:color w:val="auto"/>
                <w:sz w:val="28"/>
                <w:szCs w:val="28"/>
                <w:highlight w:val="none"/>
                <w:lang w:eastAsia="zh-CN"/>
              </w:rPr>
              <w:t>、</w:t>
            </w:r>
            <w:r>
              <w:rPr>
                <w:rFonts w:hint="default" w:ascii="Times New Roman" w:hAnsi="Times New Roman" w:eastAsia="仿宋_GB2312" w:cs="Times New Roman"/>
                <w:color w:val="auto"/>
                <w:sz w:val="28"/>
                <w:szCs w:val="28"/>
                <w:highlight w:val="none"/>
              </w:rPr>
              <w:t>理县双拥国防广场（公园）建设</w:t>
            </w:r>
            <w:r>
              <w:rPr>
                <w:rFonts w:hint="default" w:ascii="Times New Roman" w:hAnsi="Times New Roman" w:eastAsia="仿宋_GB2312" w:cs="Times New Roman"/>
                <w:color w:val="auto"/>
                <w:sz w:val="28"/>
                <w:szCs w:val="28"/>
                <w:highlight w:val="none"/>
                <w:lang w:eastAsia="zh-CN"/>
              </w:rPr>
              <w:t>、</w:t>
            </w:r>
            <w:r>
              <w:rPr>
                <w:rFonts w:hint="default" w:ascii="Times New Roman" w:hAnsi="Times New Roman" w:eastAsia="仿宋_GB2312" w:cs="Times New Roman"/>
                <w:color w:val="auto"/>
                <w:sz w:val="28"/>
                <w:szCs w:val="28"/>
                <w:highlight w:val="none"/>
              </w:rPr>
              <w:t>红色文化站点建设</w:t>
            </w:r>
            <w:r>
              <w:rPr>
                <w:rFonts w:hint="default" w:ascii="Times New Roman" w:hAnsi="Times New Roman" w:eastAsia="仿宋_GB2312" w:cs="Times New Roman"/>
                <w:color w:val="auto"/>
                <w:sz w:val="28"/>
                <w:szCs w:val="28"/>
                <w:highlight w:val="none"/>
                <w:lang w:val="en-US" w:eastAsia="zh-CN"/>
              </w:rPr>
              <w:t>等项目前期工作。</w:t>
            </w:r>
          </w:p>
          <w:p w14:paraId="2502374E">
            <w:pPr>
              <w:keepNext w:val="0"/>
              <w:keepLines w:val="0"/>
              <w:pageBreakBefore w:val="0"/>
              <w:widowControl/>
              <w:numPr>
                <w:ilvl w:val="0"/>
                <w:numId w:val="13"/>
              </w:numPr>
              <w:kinsoku/>
              <w:wordWrap/>
              <w:overflowPunct/>
              <w:topLinePunct w:val="0"/>
              <w:autoSpaceDE/>
              <w:autoSpaceDN/>
              <w:bidi w:val="0"/>
              <w:adjustRightInd w:val="0"/>
              <w:snapToGrid w:val="0"/>
              <w:spacing w:line="440" w:lineRule="exact"/>
              <w:ind w:left="420" w:leftChars="0" w:hanging="420" w:firstLineChars="0"/>
              <w:jc w:val="left"/>
              <w:textAlignment w:val="auto"/>
              <w:rPr>
                <w:rFonts w:hint="default" w:ascii="Times New Roman" w:hAnsi="Times New Roman" w:eastAsia="仿宋_GB2312" w:cs="Times New Roman"/>
                <w:color w:val="auto"/>
                <w:sz w:val="32"/>
                <w:szCs w:val="22"/>
                <w:highlight w:val="none"/>
                <w:lang w:eastAsia="zh-CN"/>
              </w:rPr>
            </w:pPr>
            <w:r>
              <w:rPr>
                <w:rFonts w:hint="default" w:ascii="Times New Roman" w:hAnsi="Times New Roman" w:eastAsia="仿宋_GB2312" w:cs="Times New Roman"/>
                <w:b/>
                <w:bCs/>
                <w:color w:val="auto"/>
                <w:kern w:val="2"/>
                <w:sz w:val="28"/>
                <w:szCs w:val="28"/>
                <w:highlight w:val="none"/>
                <w:lang w:val="en-US" w:eastAsia="zh-CN"/>
              </w:rPr>
              <w:t>住房保障：</w:t>
            </w:r>
            <w:r>
              <w:rPr>
                <w:rFonts w:hint="default" w:ascii="Times New Roman" w:hAnsi="Times New Roman" w:eastAsia="仿宋_GB2312" w:cs="Times New Roman"/>
                <w:b w:val="0"/>
                <w:bCs w:val="0"/>
                <w:color w:val="auto"/>
                <w:kern w:val="2"/>
                <w:sz w:val="28"/>
                <w:szCs w:val="28"/>
                <w:highlight w:val="none"/>
                <w:lang w:val="en-US" w:eastAsia="zh-CN"/>
              </w:rPr>
              <w:t>实施理县保障性租赁住房建设项目（一期）。推进理县保障性租赁住房建设项目（二期）前期工作。</w:t>
            </w:r>
          </w:p>
        </w:tc>
      </w:tr>
    </w:tbl>
    <w:p w14:paraId="23537C02">
      <w:pPr>
        <w:keepNext/>
        <w:widowControl w:val="0"/>
        <w:numPr>
          <w:ilvl w:val="0"/>
          <w:numId w:val="1"/>
        </w:numPr>
        <w:bidi w:val="0"/>
        <w:snapToGrid w:val="0"/>
        <w:spacing w:before="100" w:beforeLines="100" w:after="100" w:afterLines="100" w:line="560" w:lineRule="exact"/>
        <w:ind w:left="0" w:leftChars="0" w:firstLine="0" w:firstLineChars="0"/>
        <w:jc w:val="center"/>
        <w:outlineLvl w:val="1"/>
        <w:rPr>
          <w:rFonts w:hint="default" w:ascii="Times New Roman" w:hAnsi="Times New Roman" w:eastAsia="黑体" w:cs="Times New Roman"/>
          <w:color w:val="auto"/>
          <w:kern w:val="2"/>
          <w:sz w:val="32"/>
          <w:szCs w:val="24"/>
          <w:highlight w:val="none"/>
          <w:lang w:val="en-US" w:eastAsia="zh-CN" w:bidi="ar-SA"/>
        </w:rPr>
      </w:pPr>
      <w:r>
        <w:rPr>
          <w:rFonts w:hint="default" w:ascii="Times New Roman" w:hAnsi="Times New Roman" w:eastAsia="黑体" w:cs="Times New Roman"/>
          <w:color w:val="auto"/>
          <w:kern w:val="2"/>
          <w:sz w:val="32"/>
          <w:szCs w:val="24"/>
          <w:highlight w:val="none"/>
          <w:lang w:val="en-US" w:eastAsia="zh-CN" w:bidi="ar-SA"/>
        </w:rPr>
        <w:t xml:space="preserve"> </w:t>
      </w:r>
      <w:bookmarkStart w:id="572" w:name="_Toc9508"/>
      <w:bookmarkStart w:id="573" w:name="_Toc782"/>
      <w:bookmarkStart w:id="574" w:name="_Toc1744"/>
      <w:bookmarkStart w:id="575" w:name="_Toc1540"/>
      <w:r>
        <w:rPr>
          <w:rFonts w:hint="default" w:ascii="Times New Roman" w:hAnsi="Times New Roman" w:eastAsia="黑体" w:cs="Times New Roman"/>
          <w:color w:val="auto"/>
          <w:kern w:val="2"/>
          <w:sz w:val="32"/>
          <w:szCs w:val="24"/>
          <w:highlight w:val="none"/>
          <w:lang w:val="en-US" w:eastAsia="zh-CN" w:bidi="ar-SA"/>
        </w:rPr>
        <w:t>促进人口高质量发展</w:t>
      </w:r>
      <w:bookmarkEnd w:id="572"/>
      <w:bookmarkEnd w:id="573"/>
      <w:bookmarkEnd w:id="574"/>
      <w:bookmarkEnd w:id="575"/>
    </w:p>
    <w:p w14:paraId="6BCF662A">
      <w:pPr>
        <w:keepNext/>
        <w:widowControl w:val="0"/>
        <w:numPr>
          <w:ilvl w:val="0"/>
          <w:numId w:val="39"/>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576" w:name="_Toc11060"/>
      <w:bookmarkStart w:id="577" w:name="_Toc32741"/>
      <w:bookmarkStart w:id="578" w:name="_Toc3950"/>
      <w:bookmarkStart w:id="579" w:name="_Toc17414"/>
      <w:r>
        <w:rPr>
          <w:rFonts w:hint="default" w:ascii="Times New Roman" w:hAnsi="Times New Roman" w:eastAsia="楷体_GB2312" w:cs="Times New Roman"/>
          <w:b/>
          <w:bCs w:val="0"/>
          <w:color w:val="auto"/>
          <w:kern w:val="2"/>
          <w:sz w:val="32"/>
          <w:szCs w:val="32"/>
          <w:highlight w:val="none"/>
          <w:lang w:val="en-US" w:eastAsia="zh-CN" w:bidi="ar-SA"/>
        </w:rPr>
        <w:t>建设生育友好型社会</w:t>
      </w:r>
      <w:bookmarkEnd w:id="576"/>
      <w:bookmarkEnd w:id="577"/>
      <w:bookmarkEnd w:id="578"/>
      <w:bookmarkEnd w:id="579"/>
    </w:p>
    <w:p w14:paraId="2756140B">
      <w:pPr>
        <w:bidi w:val="0"/>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color w:val="auto"/>
          <w:sz w:val="32"/>
          <w:szCs w:val="22"/>
          <w:highlight w:val="none"/>
          <w:lang w:val="en-US" w:eastAsia="zh-CN"/>
        </w:rPr>
        <w:t>全面落实生育政策及配套支持措施，探索出台教育、住房、就业等支持措施，健全适应社会育幼需求的托育服务供给。加强生殖健康服务，深入实施母婴安全行动提升计划和出生缺陷防治能力提升计划。做优妇幼健康服务，加强妇幼保健院、综合医院的产科、儿科建设。积极开展普惠托育专项行动，建设理县托育服务中心，规范托育机构运营管理，支持社会举办托育机构。完善促进妇女就业政策，加强对女性劳动者特别是生育再就业女性的职业技能培训，督促用人单位依法依规落实对女职工特别是孕产期、哺乳期女职工的特殊劳动保护。</w:t>
      </w:r>
      <w:r>
        <w:rPr>
          <w:rFonts w:hint="default" w:ascii="Times New Roman" w:hAnsi="Times New Roman" w:eastAsia="仿宋_GB2312" w:cs="Times New Roman"/>
          <w:b w:val="0"/>
          <w:bCs w:val="0"/>
          <w:color w:val="auto"/>
          <w:sz w:val="32"/>
          <w:szCs w:val="32"/>
          <w:highlight w:val="none"/>
          <w:vertAlign w:val="baseline"/>
          <w:lang w:val="en-US" w:eastAsia="zh-CN"/>
        </w:rPr>
        <w:t>推进城乡环境适儿化改造，增设儿童友好型景观和设施，构建儿童友好成长空间。</w:t>
      </w:r>
      <w:r>
        <w:rPr>
          <w:rFonts w:hint="default" w:ascii="Times New Roman" w:hAnsi="Times New Roman" w:eastAsia="仿宋_GB2312" w:cs="Times New Roman"/>
          <w:color w:val="auto"/>
          <w:sz w:val="32"/>
          <w:szCs w:val="22"/>
          <w:highlight w:val="none"/>
          <w:lang w:val="en-US" w:eastAsia="zh-CN"/>
        </w:rPr>
        <w:t>倡导尊重生育的社会价值，提倡适龄婚育、优生优育，扎实推进婚俗改革和移风易俗，</w:t>
      </w:r>
      <w:r>
        <w:rPr>
          <w:rFonts w:hint="default" w:ascii="Times New Roman" w:hAnsi="Times New Roman" w:eastAsia="仿宋_GB2312" w:cs="Times New Roman"/>
          <w:color w:val="auto"/>
          <w:sz w:val="32"/>
          <w:szCs w:val="22"/>
          <w:highlight w:val="none"/>
        </w:rPr>
        <w:t>加强人口和生育政策宣传解读</w:t>
      </w:r>
      <w:r>
        <w:rPr>
          <w:rFonts w:hint="default" w:ascii="Times New Roman" w:hAnsi="Times New Roman" w:eastAsia="仿宋_GB2312" w:cs="Times New Roman"/>
          <w:color w:val="auto"/>
          <w:sz w:val="32"/>
          <w:szCs w:val="22"/>
          <w:highlight w:val="none"/>
          <w:lang w:val="en-US" w:eastAsia="zh-CN"/>
        </w:rPr>
        <w:t>，共同营造生育友好的社会氛围。完成计生奖扶、计生特扶资金发放和慰问工作，做好育儿补贴审核发放工作，着力提升民生保障水平。</w:t>
      </w:r>
    </w:p>
    <w:p w14:paraId="6E1C2E48">
      <w:pPr>
        <w:keepNext/>
        <w:widowControl w:val="0"/>
        <w:numPr>
          <w:ilvl w:val="0"/>
          <w:numId w:val="39"/>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580" w:name="_Toc8359"/>
      <w:bookmarkStart w:id="581" w:name="_Toc23268"/>
      <w:r>
        <w:rPr>
          <w:rFonts w:hint="default" w:ascii="Times New Roman" w:hAnsi="Times New Roman" w:eastAsia="楷体_GB2312" w:cs="Times New Roman"/>
          <w:b/>
          <w:bCs w:val="0"/>
          <w:color w:val="auto"/>
          <w:kern w:val="2"/>
          <w:sz w:val="32"/>
          <w:szCs w:val="32"/>
          <w:highlight w:val="none"/>
          <w:lang w:val="en-US" w:eastAsia="zh-CN" w:bidi="ar-SA"/>
        </w:rPr>
        <w:t>促进青少年全面发展</w:t>
      </w:r>
      <w:bookmarkEnd w:id="580"/>
      <w:bookmarkEnd w:id="581"/>
    </w:p>
    <w:p w14:paraId="043BBF75">
      <w:pPr>
        <w:bidi w:val="0"/>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color w:val="auto"/>
          <w:sz w:val="32"/>
          <w:szCs w:val="22"/>
          <w:highlight w:val="none"/>
          <w:lang w:val="en-US" w:eastAsia="zh-CN"/>
        </w:rPr>
        <w:t>全力推进青年发展型城市及县域建设。实施青年技能培训行动，鼓励青年参与健康照护、直播带货等新型职业。优化青年创业支持体系，实施青年电商培育和农村青年创业致富“领头雁”培养。完善青少年身心健康促进体系，开展医校合作共建青少年心理健康指导。维护青年劳动者合法权益，推动劳动关系协调处理，劳动保障监察执法和未成年人权益维护工作。</w:t>
      </w:r>
    </w:p>
    <w:p w14:paraId="530677CA">
      <w:pPr>
        <w:keepNext/>
        <w:widowControl w:val="0"/>
        <w:numPr>
          <w:ilvl w:val="0"/>
          <w:numId w:val="39"/>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582" w:name="_Toc3421"/>
      <w:bookmarkStart w:id="583" w:name="_Toc5300"/>
      <w:bookmarkStart w:id="584" w:name="_Toc29878"/>
      <w:bookmarkStart w:id="585" w:name="_Toc11052"/>
      <w:r>
        <w:rPr>
          <w:rFonts w:hint="default" w:ascii="Times New Roman" w:hAnsi="Times New Roman" w:eastAsia="楷体_GB2312" w:cs="Times New Roman"/>
          <w:b/>
          <w:bCs w:val="0"/>
          <w:color w:val="auto"/>
          <w:kern w:val="2"/>
          <w:sz w:val="32"/>
          <w:szCs w:val="32"/>
          <w:highlight w:val="none"/>
          <w:lang w:val="en-US" w:eastAsia="zh-CN" w:bidi="ar-SA"/>
        </w:rPr>
        <w:t>健全养老服务体系</w:t>
      </w:r>
      <w:bookmarkEnd w:id="582"/>
      <w:bookmarkEnd w:id="583"/>
      <w:bookmarkEnd w:id="584"/>
      <w:bookmarkEnd w:id="585"/>
    </w:p>
    <w:p w14:paraId="7B579193">
      <w:pPr>
        <w:bidi w:val="0"/>
        <w:spacing w:line="560" w:lineRule="exact"/>
        <w:ind w:firstLine="640" w:firstLineChars="200"/>
        <w:rPr>
          <w:rFonts w:hint="default" w:ascii="Times New Roman" w:hAnsi="Times New Roman" w:eastAsia="仿宋_GB2312" w:cs="Times New Roman"/>
          <w:b w:val="0"/>
          <w:bCs w:val="0"/>
          <w:color w:val="auto"/>
          <w:sz w:val="32"/>
          <w:szCs w:val="32"/>
          <w:highlight w:val="none"/>
          <w:vertAlign w:val="baseline"/>
          <w:lang w:val="en-US" w:eastAsia="zh-CN"/>
        </w:rPr>
      </w:pPr>
      <w:r>
        <w:rPr>
          <w:rFonts w:hint="default" w:ascii="Times New Roman" w:hAnsi="Times New Roman" w:eastAsia="仿宋_GB2312" w:cs="Times New Roman"/>
          <w:color w:val="auto"/>
          <w:sz w:val="32"/>
          <w:szCs w:val="22"/>
          <w:highlight w:val="none"/>
          <w:lang w:val="en-US" w:eastAsia="zh-CN"/>
        </w:rPr>
        <w:t>全面落实积极应对人口老龄化国家战略，根据人口年龄结构变动趋势，健全适应社会老龄化需求的养老服务供给。完善理县县、乡、村养老服务网络，建设区域性居家养老服务中心，</w:t>
      </w:r>
      <w:r>
        <w:rPr>
          <w:rFonts w:hint="default" w:ascii="Times New Roman" w:hAnsi="Times New Roman" w:eastAsia="仿宋_GB2312" w:cs="Times New Roman"/>
          <w:b w:val="0"/>
          <w:bCs w:val="0"/>
          <w:color w:val="auto"/>
          <w:sz w:val="32"/>
          <w:szCs w:val="32"/>
          <w:highlight w:val="none"/>
          <w:vertAlign w:val="baseline"/>
          <w:lang w:val="en-US" w:eastAsia="zh-CN"/>
        </w:rPr>
        <w:t>提升改造敬老院、日间照料中心、老年养护院和护理院等养老服务基础设施。发展社区居家养老，推行“社区﹢养老”服务模式，</w:t>
      </w:r>
      <w:r>
        <w:rPr>
          <w:rFonts w:hint="default" w:ascii="Times New Roman" w:hAnsi="Times New Roman" w:eastAsia="仿宋_GB2312" w:cs="Times New Roman"/>
          <w:color w:val="auto"/>
          <w:sz w:val="32"/>
          <w:szCs w:val="22"/>
          <w:highlight w:val="none"/>
          <w:lang w:val="en-US" w:eastAsia="zh-CN"/>
        </w:rPr>
        <w:t>逐步构建居家社区机构相协调、医养康养相结合的养老服务体系</w:t>
      </w:r>
      <w:r>
        <w:rPr>
          <w:rFonts w:hint="default" w:ascii="Times New Roman" w:hAnsi="Times New Roman" w:eastAsia="仿宋_GB2312" w:cs="Times New Roman"/>
          <w:b w:val="0"/>
          <w:bCs w:val="0"/>
          <w:color w:val="auto"/>
          <w:sz w:val="32"/>
          <w:szCs w:val="32"/>
          <w:highlight w:val="none"/>
          <w:vertAlign w:val="baseline"/>
          <w:lang w:val="en-US" w:eastAsia="zh-CN"/>
        </w:rPr>
        <w:t>。</w:t>
      </w:r>
      <w:r>
        <w:rPr>
          <w:rFonts w:hint="default" w:ascii="Times New Roman" w:hAnsi="Times New Roman" w:eastAsia="仿宋_GB2312" w:cs="Times New Roman"/>
          <w:color w:val="auto"/>
          <w:sz w:val="32"/>
          <w:szCs w:val="22"/>
          <w:highlight w:val="none"/>
          <w:lang w:val="en-US" w:eastAsia="zh-CN"/>
        </w:rPr>
        <w:t>推进医养康养结合发展，支持公立医院建设老年医学科，加强老年医学科门诊和病区适老化改造，为老年人提供医疗、康复、护理服务。鼓励支持民办医疗机构进驻养老服务机构开展医养合作。推进家庭适老化改造，支持老旧小区加装电梯，加强无障碍环境建设。积极发展老年教育，开展符合民族地区老年人需要的、形式多样的老年文体活动。深化拓展“银龄行动”，创造适合老年人的多样化、个性化就业岗位，大力发展银发经济。</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68852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shd w:val="clear" w:color="auto" w:fill="7F7F7F" w:themeFill="text1" w:themeFillTint="7F"/>
          </w:tcPr>
          <w:p w14:paraId="005CCA43">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center"/>
              <w:rPr>
                <w:rFonts w:hint="default" w:ascii="Times New Roman" w:hAnsi="Times New Roman" w:eastAsia="黑体" w:cs="Times New Roman"/>
                <w:b/>
                <w:bCs/>
                <w:color w:val="auto"/>
                <w:kern w:val="0"/>
                <w:sz w:val="28"/>
                <w:szCs w:val="28"/>
                <w:highlight w:val="none"/>
                <w:lang w:val="en-US" w:eastAsia="zh-CN" w:bidi="ar"/>
              </w:rPr>
            </w:pPr>
            <w:r>
              <w:rPr>
                <w:rFonts w:hint="default" w:ascii="Times New Roman" w:hAnsi="Times New Roman" w:eastAsia="黑体" w:cs="Times New Roman"/>
                <w:b/>
                <w:bCs/>
                <w:color w:val="auto"/>
                <w:kern w:val="0"/>
                <w:sz w:val="28"/>
                <w:szCs w:val="28"/>
                <w:highlight w:val="none"/>
                <w:lang w:bidi="ar"/>
              </w:rPr>
              <w:t>专栏</w:t>
            </w:r>
            <w:r>
              <w:rPr>
                <w:rFonts w:hint="default" w:ascii="Times New Roman" w:hAnsi="Times New Roman" w:eastAsia="黑体" w:cs="Times New Roman"/>
                <w:b/>
                <w:bCs/>
                <w:color w:val="auto"/>
                <w:kern w:val="0"/>
                <w:sz w:val="28"/>
                <w:szCs w:val="28"/>
                <w:highlight w:val="none"/>
                <w:lang w:val="en-US" w:eastAsia="zh-CN" w:bidi="ar"/>
              </w:rPr>
              <w:t>2</w:t>
            </w:r>
            <w:r>
              <w:rPr>
                <w:rFonts w:hint="eastAsia" w:eastAsia="黑体" w:cs="Times New Roman"/>
                <w:b/>
                <w:bCs/>
                <w:color w:val="auto"/>
                <w:kern w:val="0"/>
                <w:sz w:val="28"/>
                <w:szCs w:val="28"/>
                <w:highlight w:val="none"/>
                <w:lang w:val="en-US" w:eastAsia="zh-CN" w:bidi="ar"/>
              </w:rPr>
              <w:t>3</w:t>
            </w:r>
            <w:r>
              <w:rPr>
                <w:rFonts w:hint="default" w:ascii="Times New Roman" w:hAnsi="Times New Roman" w:eastAsia="黑体" w:cs="Times New Roman"/>
                <w:b/>
                <w:bCs/>
                <w:color w:val="auto"/>
                <w:kern w:val="0"/>
                <w:sz w:val="28"/>
                <w:szCs w:val="28"/>
                <w:highlight w:val="none"/>
                <w:lang w:val="en-US" w:eastAsia="zh-CN" w:bidi="ar"/>
              </w:rPr>
              <w:t xml:space="preserve"> </w:t>
            </w:r>
            <w:r>
              <w:rPr>
                <w:rFonts w:hint="default" w:ascii="Times New Roman" w:hAnsi="Times New Roman" w:eastAsia="黑体" w:cs="Times New Roman"/>
                <w:b/>
                <w:bCs/>
                <w:color w:val="auto"/>
                <w:kern w:val="0"/>
                <w:sz w:val="28"/>
                <w:szCs w:val="28"/>
                <w:highlight w:val="none"/>
                <w:lang w:bidi="ar"/>
              </w:rPr>
              <w:t xml:space="preserve"> 人口高质量发展重点</w:t>
            </w:r>
            <w:r>
              <w:rPr>
                <w:rFonts w:hint="default" w:ascii="Times New Roman" w:hAnsi="Times New Roman" w:eastAsia="黑体" w:cs="Times New Roman"/>
                <w:b/>
                <w:bCs/>
                <w:color w:val="auto"/>
                <w:kern w:val="0"/>
                <w:sz w:val="28"/>
                <w:szCs w:val="28"/>
                <w:highlight w:val="none"/>
                <w:lang w:val="en-US" w:eastAsia="zh-CN" w:bidi="ar"/>
              </w:rPr>
              <w:t>工程</w:t>
            </w:r>
          </w:p>
        </w:tc>
      </w:tr>
      <w:tr w14:paraId="01FC1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tcPr>
          <w:p w14:paraId="002FECD4">
            <w:pPr>
              <w:keepNext w:val="0"/>
              <w:keepLines w:val="0"/>
              <w:pageBreakBefore w:val="0"/>
              <w:widowControl/>
              <w:numPr>
                <w:ilvl w:val="0"/>
                <w:numId w:val="13"/>
              </w:numPr>
              <w:kinsoku/>
              <w:wordWrap/>
              <w:overflowPunct/>
              <w:topLinePunct w:val="0"/>
              <w:autoSpaceDE/>
              <w:autoSpaceDN/>
              <w:bidi w:val="0"/>
              <w:adjustRightInd w:val="0"/>
              <w:snapToGrid w:val="0"/>
              <w:spacing w:line="440" w:lineRule="exact"/>
              <w:ind w:left="420" w:leftChars="0" w:hanging="420" w:firstLineChars="0"/>
              <w:jc w:val="left"/>
              <w:textAlignment w:val="auto"/>
              <w:rPr>
                <w:rFonts w:hint="default" w:ascii="Times New Roman" w:hAnsi="Times New Roman" w:eastAsia="仿宋_GB2312" w:cs="Times New Roman"/>
                <w:b/>
                <w:bCs/>
                <w:color w:val="auto"/>
                <w:kern w:val="2"/>
                <w:sz w:val="28"/>
                <w:szCs w:val="28"/>
                <w:highlight w:val="none"/>
                <w:lang w:val="en-US" w:eastAsia="zh-CN"/>
              </w:rPr>
            </w:pPr>
            <w:r>
              <w:rPr>
                <w:rFonts w:hint="default" w:ascii="Times New Roman" w:hAnsi="Times New Roman" w:eastAsia="仿宋_GB2312" w:cs="Times New Roman"/>
                <w:b/>
                <w:bCs/>
                <w:color w:val="auto"/>
                <w:kern w:val="2"/>
                <w:sz w:val="28"/>
                <w:szCs w:val="28"/>
                <w:highlight w:val="none"/>
                <w:lang w:val="en-US" w:eastAsia="zh-CN"/>
              </w:rPr>
              <w:t>妇幼保障体系：</w:t>
            </w:r>
            <w:r>
              <w:rPr>
                <w:rFonts w:hint="default" w:ascii="Times New Roman" w:hAnsi="Times New Roman" w:eastAsia="仿宋_GB2312" w:cs="Times New Roman"/>
                <w:b w:val="0"/>
                <w:bCs w:val="0"/>
                <w:color w:val="auto"/>
                <w:kern w:val="2"/>
                <w:sz w:val="28"/>
                <w:szCs w:val="28"/>
                <w:highlight w:val="none"/>
                <w:lang w:val="en-US" w:eastAsia="zh-CN"/>
              </w:rPr>
              <w:t>推进</w:t>
            </w:r>
            <w:r>
              <w:rPr>
                <w:rFonts w:hint="default" w:ascii="Times New Roman" w:hAnsi="Times New Roman" w:eastAsia="仿宋_GB2312" w:cs="Times New Roman"/>
                <w:color w:val="auto"/>
                <w:sz w:val="28"/>
                <w:szCs w:val="28"/>
                <w:highlight w:val="none"/>
              </w:rPr>
              <w:t>理县妇幼保健院综合能力提升</w:t>
            </w:r>
            <w:r>
              <w:rPr>
                <w:rFonts w:hint="default" w:ascii="Times New Roman" w:hAnsi="Times New Roman" w:eastAsia="仿宋_GB2312" w:cs="Times New Roman"/>
                <w:color w:val="auto"/>
                <w:sz w:val="28"/>
                <w:szCs w:val="28"/>
                <w:highlight w:val="none"/>
                <w:lang w:eastAsia="zh-CN"/>
              </w:rPr>
              <w:t>。</w:t>
            </w:r>
          </w:p>
          <w:p w14:paraId="2B0F227F">
            <w:pPr>
              <w:keepNext w:val="0"/>
              <w:keepLines w:val="0"/>
              <w:pageBreakBefore w:val="0"/>
              <w:widowControl/>
              <w:numPr>
                <w:ilvl w:val="0"/>
                <w:numId w:val="13"/>
              </w:numPr>
              <w:kinsoku/>
              <w:wordWrap/>
              <w:overflowPunct/>
              <w:topLinePunct w:val="0"/>
              <w:autoSpaceDE/>
              <w:autoSpaceDN/>
              <w:bidi w:val="0"/>
              <w:adjustRightInd w:val="0"/>
              <w:snapToGrid w:val="0"/>
              <w:spacing w:line="440" w:lineRule="exact"/>
              <w:ind w:left="420" w:leftChars="0" w:hanging="420" w:firstLineChars="0"/>
              <w:jc w:val="left"/>
              <w:textAlignment w:val="auto"/>
              <w:rPr>
                <w:rFonts w:hint="default" w:ascii="Times New Roman" w:hAnsi="Times New Roman" w:eastAsia="仿宋_GB2312" w:cs="Times New Roman"/>
                <w:b/>
                <w:bCs/>
                <w:color w:val="auto"/>
                <w:kern w:val="2"/>
                <w:sz w:val="28"/>
                <w:szCs w:val="28"/>
                <w:highlight w:val="none"/>
                <w:lang w:val="en-US" w:eastAsia="zh-CN"/>
              </w:rPr>
            </w:pPr>
            <w:r>
              <w:rPr>
                <w:rFonts w:hint="default" w:ascii="Times New Roman" w:hAnsi="Times New Roman" w:eastAsia="仿宋_GB2312" w:cs="Times New Roman"/>
                <w:b/>
                <w:bCs/>
                <w:color w:val="auto"/>
                <w:kern w:val="2"/>
                <w:sz w:val="28"/>
                <w:szCs w:val="28"/>
                <w:highlight w:val="none"/>
                <w:lang w:val="en-US" w:eastAsia="zh-CN"/>
              </w:rPr>
              <w:t>托育服务体系：</w:t>
            </w:r>
            <w:r>
              <w:rPr>
                <w:rFonts w:hint="default" w:ascii="Times New Roman" w:hAnsi="Times New Roman" w:eastAsia="仿宋_GB2312" w:cs="Times New Roman"/>
                <w:b w:val="0"/>
                <w:bCs w:val="0"/>
                <w:color w:val="auto"/>
                <w:kern w:val="2"/>
                <w:sz w:val="28"/>
                <w:szCs w:val="28"/>
                <w:highlight w:val="none"/>
                <w:lang w:val="en-US" w:eastAsia="zh-CN"/>
              </w:rPr>
              <w:t>新建理县托育服务中心。</w:t>
            </w:r>
          </w:p>
          <w:p w14:paraId="352FAF0F">
            <w:pPr>
              <w:keepNext w:val="0"/>
              <w:keepLines w:val="0"/>
              <w:pageBreakBefore w:val="0"/>
              <w:widowControl/>
              <w:numPr>
                <w:ilvl w:val="0"/>
                <w:numId w:val="13"/>
              </w:numPr>
              <w:kinsoku/>
              <w:wordWrap/>
              <w:overflowPunct/>
              <w:topLinePunct w:val="0"/>
              <w:autoSpaceDE/>
              <w:autoSpaceDN/>
              <w:bidi w:val="0"/>
              <w:adjustRightInd w:val="0"/>
              <w:snapToGrid w:val="0"/>
              <w:spacing w:line="440" w:lineRule="exact"/>
              <w:ind w:left="420" w:leftChars="0" w:hanging="420" w:firstLineChars="0"/>
              <w:jc w:val="left"/>
              <w:textAlignment w:val="auto"/>
              <w:rPr>
                <w:rFonts w:hint="default" w:ascii="Times New Roman" w:hAnsi="Times New Roman" w:eastAsia="仿宋_GB2312" w:cs="Times New Roman"/>
                <w:color w:val="auto"/>
                <w:sz w:val="32"/>
                <w:szCs w:val="22"/>
                <w:highlight w:val="none"/>
                <w:lang w:eastAsia="zh-CN"/>
              </w:rPr>
            </w:pPr>
            <w:r>
              <w:rPr>
                <w:rFonts w:hint="default" w:ascii="Times New Roman" w:hAnsi="Times New Roman" w:eastAsia="仿宋_GB2312" w:cs="Times New Roman"/>
                <w:b/>
                <w:bCs/>
                <w:color w:val="auto"/>
                <w:kern w:val="2"/>
                <w:sz w:val="28"/>
                <w:szCs w:val="28"/>
                <w:highlight w:val="none"/>
                <w:lang w:val="en-US" w:eastAsia="zh-CN"/>
              </w:rPr>
              <w:t>养老服务体系：</w:t>
            </w:r>
            <w:r>
              <w:rPr>
                <w:rFonts w:hint="default" w:ascii="Times New Roman" w:hAnsi="Times New Roman" w:eastAsia="仿宋_GB2312" w:cs="Times New Roman"/>
                <w:b w:val="0"/>
                <w:bCs w:val="0"/>
                <w:color w:val="auto"/>
                <w:kern w:val="2"/>
                <w:sz w:val="28"/>
                <w:szCs w:val="28"/>
                <w:highlight w:val="none"/>
                <w:lang w:val="en-US" w:eastAsia="zh-CN"/>
              </w:rPr>
              <w:t>实施理县县、乡、村养老服务网络建设</w:t>
            </w:r>
            <w:r>
              <w:rPr>
                <w:rFonts w:hint="eastAsia" w:cs="Times New Roman"/>
                <w:b w:val="0"/>
                <w:bCs w:val="0"/>
                <w:color w:val="auto"/>
                <w:kern w:val="2"/>
                <w:sz w:val="28"/>
                <w:szCs w:val="28"/>
                <w:highlight w:val="none"/>
                <w:lang w:val="en-US" w:eastAsia="zh-CN"/>
              </w:rPr>
              <w:t>、</w:t>
            </w:r>
            <w:r>
              <w:rPr>
                <w:rFonts w:hint="default" w:ascii="Times New Roman" w:hAnsi="Times New Roman" w:eastAsia="仿宋_GB2312" w:cs="Times New Roman"/>
                <w:b w:val="0"/>
                <w:bCs w:val="0"/>
                <w:color w:val="auto"/>
                <w:kern w:val="2"/>
                <w:sz w:val="28"/>
                <w:szCs w:val="28"/>
                <w:highlight w:val="none"/>
                <w:lang w:val="en-US" w:eastAsia="zh-CN"/>
              </w:rPr>
              <w:t>理县老年养护院护理能力提升</w:t>
            </w:r>
            <w:r>
              <w:rPr>
                <w:rFonts w:hint="eastAsia" w:cs="Times New Roman"/>
                <w:b w:val="0"/>
                <w:bCs w:val="0"/>
                <w:color w:val="auto"/>
                <w:kern w:val="2"/>
                <w:sz w:val="28"/>
                <w:szCs w:val="28"/>
                <w:highlight w:val="none"/>
                <w:lang w:val="en-US" w:eastAsia="zh-CN"/>
              </w:rPr>
              <w:t>、</w:t>
            </w:r>
            <w:r>
              <w:rPr>
                <w:rFonts w:hint="default" w:ascii="Times New Roman" w:hAnsi="Times New Roman" w:eastAsia="仿宋_GB2312" w:cs="Times New Roman"/>
                <w:b w:val="0"/>
                <w:bCs w:val="0"/>
                <w:color w:val="auto"/>
                <w:kern w:val="2"/>
                <w:sz w:val="28"/>
                <w:szCs w:val="28"/>
                <w:highlight w:val="none"/>
                <w:lang w:val="en-US" w:eastAsia="zh-CN"/>
              </w:rPr>
              <w:t>理县区域性居家养老建设、理县智慧化居家养老体系建设</w:t>
            </w:r>
            <w:r>
              <w:rPr>
                <w:rFonts w:hint="eastAsia" w:cs="Times New Roman"/>
                <w:b w:val="0"/>
                <w:bCs w:val="0"/>
                <w:color w:val="auto"/>
                <w:kern w:val="2"/>
                <w:sz w:val="28"/>
                <w:szCs w:val="28"/>
                <w:highlight w:val="none"/>
                <w:lang w:val="en-US" w:eastAsia="zh-CN"/>
              </w:rPr>
              <w:t>等</w:t>
            </w:r>
            <w:r>
              <w:rPr>
                <w:rFonts w:hint="default" w:ascii="Times New Roman" w:hAnsi="Times New Roman" w:eastAsia="仿宋_GB2312" w:cs="Times New Roman"/>
                <w:b w:val="0"/>
                <w:bCs w:val="0"/>
                <w:color w:val="auto"/>
                <w:kern w:val="2"/>
                <w:sz w:val="28"/>
                <w:szCs w:val="28"/>
                <w:highlight w:val="none"/>
                <w:lang w:val="en-US" w:eastAsia="zh-CN"/>
              </w:rPr>
              <w:t>项目。</w:t>
            </w:r>
          </w:p>
        </w:tc>
      </w:tr>
    </w:tbl>
    <w:p w14:paraId="21C536EF">
      <w:pPr>
        <w:bidi w:val="0"/>
        <w:rPr>
          <w:rFonts w:hint="default" w:ascii="Times New Roman" w:hAnsi="Times New Roman" w:cs="Times New Roman"/>
          <w:color w:val="auto"/>
          <w:highlight w:val="none"/>
          <w:lang w:val="en-US" w:eastAsia="zh-CN"/>
        </w:rPr>
        <w:sectPr>
          <w:pgSz w:w="11906" w:h="16838"/>
          <w:pgMar w:top="2098" w:right="1474" w:bottom="1984" w:left="1587" w:header="851" w:footer="992" w:gutter="0"/>
          <w:pgNumType w:fmt="numberInDash"/>
          <w:cols w:space="0" w:num="1"/>
          <w:rtlGutter w:val="0"/>
          <w:docGrid w:type="lines" w:linePitch="439" w:charSpace="0"/>
        </w:sectPr>
      </w:pPr>
    </w:p>
    <w:p w14:paraId="13800747">
      <w:pPr>
        <w:keepNext w:val="0"/>
        <w:keepLines w:val="0"/>
        <w:pageBreakBefore w:val="0"/>
        <w:widowControl w:val="0"/>
        <w:numPr>
          <w:ilvl w:val="0"/>
          <w:numId w:val="3"/>
        </w:numPr>
        <w:kinsoku/>
        <w:wordWrap/>
        <w:overflowPunct/>
        <w:topLinePunct w:val="0"/>
        <w:autoSpaceDE/>
        <w:autoSpaceDN/>
        <w:bidi w:val="0"/>
        <w:adjustRightInd/>
        <w:snapToGrid w:val="0"/>
        <w:spacing w:before="313" w:beforeLines="100" w:after="313" w:afterLines="100" w:line="560" w:lineRule="exact"/>
        <w:ind w:left="0" w:leftChars="0" w:firstLine="0" w:firstLineChars="0"/>
        <w:jc w:val="center"/>
        <w:textAlignment w:val="auto"/>
        <w:outlineLvl w:val="0"/>
        <w:rPr>
          <w:rFonts w:hint="default" w:ascii="Times New Roman" w:hAnsi="Times New Roman" w:eastAsia="方正小标宋简体" w:cs="Times New Roman"/>
          <w:color w:val="auto"/>
          <w:kern w:val="2"/>
          <w:sz w:val="36"/>
          <w:szCs w:val="22"/>
          <w:highlight w:val="none"/>
          <w:lang w:val="en-US" w:eastAsia="zh-CN" w:bidi="ar-SA"/>
        </w:rPr>
      </w:pPr>
      <w:bookmarkStart w:id="586" w:name="_Toc26744"/>
      <w:bookmarkStart w:id="587" w:name="_Toc26461"/>
      <w:r>
        <w:rPr>
          <w:rFonts w:hint="default" w:ascii="Times New Roman" w:hAnsi="Times New Roman" w:eastAsia="方正小标宋简体" w:cs="Times New Roman"/>
          <w:color w:val="auto"/>
          <w:kern w:val="2"/>
          <w:sz w:val="36"/>
          <w:szCs w:val="22"/>
          <w:highlight w:val="none"/>
          <w:lang w:val="en-US" w:eastAsia="zh-CN" w:bidi="ar-SA"/>
        </w:rPr>
        <w:t xml:space="preserve"> </w:t>
      </w:r>
      <w:bookmarkStart w:id="588" w:name="_Toc22735"/>
      <w:bookmarkStart w:id="589" w:name="_Toc23496"/>
      <w:r>
        <w:rPr>
          <w:rFonts w:hint="default" w:ascii="Times New Roman" w:hAnsi="Times New Roman" w:eastAsia="方正小标宋简体" w:cs="Times New Roman"/>
          <w:color w:val="auto"/>
          <w:kern w:val="2"/>
          <w:sz w:val="44"/>
          <w:szCs w:val="44"/>
          <w:highlight w:val="none"/>
          <w:lang w:val="en-US" w:eastAsia="zh-CN" w:bidi="ar-SA"/>
        </w:rPr>
        <w:t>强化文化人才科技支撑，激发经济社会发展动能</w:t>
      </w:r>
      <w:bookmarkEnd w:id="586"/>
      <w:bookmarkEnd w:id="587"/>
      <w:bookmarkEnd w:id="588"/>
      <w:bookmarkEnd w:id="589"/>
    </w:p>
    <w:p w14:paraId="0DEEF633">
      <w:pPr>
        <w:bidi w:val="0"/>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color w:val="auto"/>
          <w:sz w:val="32"/>
          <w:szCs w:val="22"/>
          <w:highlight w:val="none"/>
          <w:lang w:val="en-US" w:eastAsia="zh-CN"/>
        </w:rPr>
        <w:t>贯彻文化铸魂、人才筑基、科技赋能发展战略，大力繁荣文化事业和文化产业，激发人才创新活力，强化科技驱动力量，全面提升理县经济社会发展软实力，加快培育高质量发展新动能。</w:t>
      </w:r>
    </w:p>
    <w:p w14:paraId="7D5C695E">
      <w:pPr>
        <w:keepNext/>
        <w:widowControl w:val="0"/>
        <w:numPr>
          <w:ilvl w:val="0"/>
          <w:numId w:val="1"/>
        </w:numPr>
        <w:bidi w:val="0"/>
        <w:snapToGrid w:val="0"/>
        <w:spacing w:before="100" w:beforeLines="100" w:after="100" w:afterLines="100" w:line="560" w:lineRule="exact"/>
        <w:ind w:left="0" w:leftChars="0" w:firstLine="0" w:firstLineChars="0"/>
        <w:jc w:val="center"/>
        <w:outlineLvl w:val="1"/>
        <w:rPr>
          <w:rFonts w:hint="default" w:ascii="Times New Roman" w:hAnsi="Times New Roman" w:eastAsia="黑体" w:cs="Times New Roman"/>
          <w:color w:val="auto"/>
          <w:kern w:val="2"/>
          <w:sz w:val="32"/>
          <w:szCs w:val="24"/>
          <w:highlight w:val="none"/>
          <w:lang w:val="en-US" w:eastAsia="zh-CN" w:bidi="ar-SA"/>
        </w:rPr>
      </w:pPr>
      <w:bookmarkStart w:id="590" w:name="_Toc24041"/>
      <w:bookmarkStart w:id="591" w:name="_Toc2105"/>
      <w:r>
        <w:rPr>
          <w:rFonts w:hint="default" w:ascii="Times New Roman" w:hAnsi="Times New Roman" w:eastAsia="黑体" w:cs="Times New Roman"/>
          <w:color w:val="auto"/>
          <w:kern w:val="2"/>
          <w:sz w:val="32"/>
          <w:szCs w:val="24"/>
          <w:highlight w:val="none"/>
          <w:lang w:val="en-US" w:eastAsia="zh-CN" w:bidi="ar-SA"/>
        </w:rPr>
        <w:t xml:space="preserve"> </w:t>
      </w:r>
      <w:bookmarkStart w:id="592" w:name="_Toc4566"/>
      <w:bookmarkStart w:id="593" w:name="_Toc519"/>
      <w:r>
        <w:rPr>
          <w:rFonts w:hint="default" w:ascii="Times New Roman" w:hAnsi="Times New Roman" w:eastAsia="黑体" w:cs="Times New Roman"/>
          <w:color w:val="auto"/>
          <w:kern w:val="2"/>
          <w:sz w:val="32"/>
          <w:szCs w:val="24"/>
          <w:highlight w:val="none"/>
          <w:lang w:val="en-US" w:eastAsia="zh-CN" w:bidi="ar-SA"/>
        </w:rPr>
        <w:fldChar w:fldCharType="begin"/>
      </w:r>
      <w:r>
        <w:rPr>
          <w:rFonts w:hint="default" w:ascii="Times New Roman" w:hAnsi="Times New Roman" w:eastAsia="黑体" w:cs="Times New Roman"/>
          <w:color w:val="auto"/>
          <w:kern w:val="2"/>
          <w:sz w:val="32"/>
          <w:szCs w:val="24"/>
          <w:highlight w:val="none"/>
          <w:lang w:val="en-US" w:eastAsia="zh-CN" w:bidi="ar-SA"/>
        </w:rPr>
        <w:instrText xml:space="preserve"> HYPERLINK \l _Toc223 </w:instrText>
      </w:r>
      <w:r>
        <w:rPr>
          <w:rFonts w:hint="default" w:ascii="Times New Roman" w:hAnsi="Times New Roman" w:eastAsia="黑体" w:cs="Times New Roman"/>
          <w:color w:val="auto"/>
          <w:kern w:val="2"/>
          <w:sz w:val="32"/>
          <w:szCs w:val="24"/>
          <w:highlight w:val="none"/>
          <w:lang w:val="en-US" w:eastAsia="zh-CN" w:bidi="ar-SA"/>
        </w:rPr>
        <w:fldChar w:fldCharType="separate"/>
      </w:r>
      <w:r>
        <w:rPr>
          <w:rFonts w:hint="default" w:ascii="Times New Roman" w:hAnsi="Times New Roman" w:eastAsia="黑体" w:cs="Times New Roman"/>
          <w:color w:val="auto"/>
          <w:kern w:val="2"/>
          <w:sz w:val="32"/>
          <w:szCs w:val="24"/>
          <w:highlight w:val="none"/>
          <w:lang w:val="en-US" w:eastAsia="zh-CN" w:bidi="ar-SA"/>
        </w:rPr>
        <w:fldChar w:fldCharType="begin"/>
      </w:r>
      <w:r>
        <w:rPr>
          <w:rFonts w:hint="default" w:ascii="Times New Roman" w:hAnsi="Times New Roman" w:eastAsia="黑体" w:cs="Times New Roman"/>
          <w:color w:val="auto"/>
          <w:kern w:val="2"/>
          <w:sz w:val="32"/>
          <w:szCs w:val="24"/>
          <w:highlight w:val="none"/>
          <w:lang w:val="en-US" w:eastAsia="zh-CN" w:bidi="ar-SA"/>
        </w:rPr>
        <w:instrText xml:space="preserve"> HYPERLINK \l _Toc1391 </w:instrText>
      </w:r>
      <w:r>
        <w:rPr>
          <w:rFonts w:hint="default" w:ascii="Times New Roman" w:hAnsi="Times New Roman" w:eastAsia="黑体" w:cs="Times New Roman"/>
          <w:color w:val="auto"/>
          <w:kern w:val="2"/>
          <w:sz w:val="32"/>
          <w:szCs w:val="24"/>
          <w:highlight w:val="none"/>
          <w:lang w:val="en-US" w:eastAsia="zh-CN" w:bidi="ar-SA"/>
        </w:rPr>
        <w:fldChar w:fldCharType="separate"/>
      </w:r>
      <w:r>
        <w:rPr>
          <w:rFonts w:hint="default" w:ascii="Times New Roman" w:hAnsi="Times New Roman" w:eastAsia="黑体" w:cs="Times New Roman"/>
          <w:color w:val="auto"/>
          <w:kern w:val="2"/>
          <w:sz w:val="32"/>
          <w:szCs w:val="24"/>
          <w:highlight w:val="none"/>
          <w:lang w:val="en-US" w:eastAsia="zh-CN" w:bidi="ar-SA"/>
        </w:rPr>
        <w:t>提升文化综合实力水平</w:t>
      </w:r>
      <w:r>
        <w:rPr>
          <w:rFonts w:hint="default" w:ascii="Times New Roman" w:hAnsi="Times New Roman" w:eastAsia="黑体" w:cs="Times New Roman"/>
          <w:color w:val="auto"/>
          <w:kern w:val="2"/>
          <w:sz w:val="32"/>
          <w:szCs w:val="24"/>
          <w:highlight w:val="none"/>
          <w:lang w:val="en-US" w:eastAsia="zh-CN" w:bidi="ar-SA"/>
        </w:rPr>
        <w:fldChar w:fldCharType="end"/>
      </w:r>
      <w:r>
        <w:rPr>
          <w:rFonts w:hint="default" w:ascii="Times New Roman" w:hAnsi="Times New Roman" w:eastAsia="黑体" w:cs="Times New Roman"/>
          <w:color w:val="auto"/>
          <w:kern w:val="2"/>
          <w:sz w:val="32"/>
          <w:szCs w:val="24"/>
          <w:highlight w:val="none"/>
          <w:lang w:val="en-US" w:eastAsia="zh-CN" w:bidi="ar-SA"/>
        </w:rPr>
        <w:fldChar w:fldCharType="end"/>
      </w:r>
      <w:bookmarkEnd w:id="590"/>
      <w:bookmarkEnd w:id="591"/>
      <w:bookmarkEnd w:id="592"/>
      <w:bookmarkEnd w:id="593"/>
    </w:p>
    <w:p w14:paraId="5DD2D60E">
      <w:pPr>
        <w:keepNext/>
        <w:widowControl w:val="0"/>
        <w:numPr>
          <w:ilvl w:val="0"/>
          <w:numId w:val="40"/>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594" w:name="_Toc12015"/>
      <w:bookmarkStart w:id="595" w:name="_Toc1742"/>
      <w:bookmarkStart w:id="596" w:name="_Toc26210"/>
      <w:bookmarkStart w:id="597" w:name="_Toc1843"/>
      <w:r>
        <w:rPr>
          <w:rFonts w:hint="default" w:ascii="Times New Roman" w:hAnsi="Times New Roman" w:eastAsia="楷体_GB2312" w:cs="Times New Roman"/>
          <w:b/>
          <w:bCs w:val="0"/>
          <w:color w:val="auto"/>
          <w:kern w:val="2"/>
          <w:sz w:val="32"/>
          <w:szCs w:val="32"/>
          <w:highlight w:val="none"/>
          <w:lang w:val="en-US" w:eastAsia="zh-CN" w:bidi="ar-SA"/>
        </w:rPr>
        <w:t>持续提高社会文明程度</w:t>
      </w:r>
      <w:bookmarkEnd w:id="594"/>
      <w:bookmarkEnd w:id="595"/>
      <w:bookmarkEnd w:id="596"/>
      <w:bookmarkEnd w:id="597"/>
    </w:p>
    <w:p w14:paraId="5F14551A">
      <w:pPr>
        <w:bidi w:val="0"/>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color w:val="auto"/>
          <w:sz w:val="32"/>
          <w:szCs w:val="22"/>
          <w:highlight w:val="none"/>
          <w:lang w:val="en-US" w:eastAsia="zh-CN"/>
        </w:rPr>
        <w:t>加强思想道德建设，推动形成适应新时代要求的思想观念、精神面貌、文明风尚、行为规范，推进全社会文明程度显著提高。巩固宣传思想文化阵地，加强爱国主义、集体主义、社会主义教育，积极开展全民阅读行动，加强修史修志工作，深入推进移风易俗行动，引导群众自觉抵制腐朽落后文化侵蚀。深入实施公民道德建设工程和文明创建工程，推进社会公德、职业道德、家庭美德、个人品德建设，弘扬诚信文化，建立健全社会信用体系，健全志愿服务体系，广泛开展志愿服务关爱行动，加强家庭、家教、家风建设。加强网络文明建设，发展积极健康的网络文化，健全互联网管理体制和工作机制，形成正面引导和依法管理相结合的网络舆论工作格局，完善互联网监管体系。</w:t>
      </w:r>
    </w:p>
    <w:p w14:paraId="48FD3EDF">
      <w:pPr>
        <w:keepNext/>
        <w:widowControl w:val="0"/>
        <w:numPr>
          <w:ilvl w:val="0"/>
          <w:numId w:val="40"/>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598" w:name="_Toc28747"/>
      <w:bookmarkStart w:id="599" w:name="_Toc18464"/>
      <w:bookmarkStart w:id="600" w:name="_Toc31972"/>
      <w:bookmarkStart w:id="601" w:name="_Toc4327"/>
      <w:r>
        <w:rPr>
          <w:rFonts w:hint="default" w:ascii="Times New Roman" w:hAnsi="Times New Roman" w:eastAsia="楷体_GB2312" w:cs="Times New Roman"/>
          <w:b/>
          <w:bCs w:val="0"/>
          <w:color w:val="auto"/>
          <w:kern w:val="2"/>
          <w:sz w:val="32"/>
          <w:szCs w:val="32"/>
          <w:highlight w:val="none"/>
          <w:lang w:val="en-US" w:eastAsia="zh-CN" w:bidi="ar-SA"/>
        </w:rPr>
        <w:t>传承弘扬优秀传统文化</w:t>
      </w:r>
      <w:bookmarkEnd w:id="598"/>
      <w:bookmarkEnd w:id="599"/>
      <w:bookmarkEnd w:id="600"/>
      <w:bookmarkEnd w:id="601"/>
    </w:p>
    <w:p w14:paraId="315B4637">
      <w:pPr>
        <w:bidi w:val="0"/>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color w:val="auto"/>
          <w:sz w:val="32"/>
          <w:szCs w:val="22"/>
          <w:highlight w:val="none"/>
          <w:lang w:val="en-US" w:eastAsia="zh-CN"/>
        </w:rPr>
        <w:t>研究制定保护藏羌特色传统文化的有效机制，加强重点文化遗迹、重点文物、历史文化名镇名村、历史建筑保护建设，推进文化典籍数字化和整理出版工作。建立符合理县实际的非物质文化遗产保护制度和保护体系，加大藏羌织绣、羌族羊皮鼓舞、花儿纳吉情歌、羌族口弦等非物质文化遗产保护传承力度，加强非遗传承利用，推进非遗传承基地、传习所建设，持续培养非遗传承人。加强红色资源开发与保护，加快建设长征国家文化公园（理县段），推进红色文化遗址保护、文物修复，宣讲红色文化故事，建设红色文化场景。大力挖掘利用历史文化，扎实推进第三轮县志编修和《中国共产党四川省理县历史》（1978-2012）编纂出版工作，同时推进乡镇志、村志编纂出版工作，加强历史文化资源转化和利用。</w:t>
      </w:r>
    </w:p>
    <w:p w14:paraId="2D9609C3">
      <w:pPr>
        <w:keepNext/>
        <w:widowControl w:val="0"/>
        <w:numPr>
          <w:ilvl w:val="0"/>
          <w:numId w:val="40"/>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602" w:name="_Toc25343"/>
      <w:bookmarkStart w:id="603" w:name="_Toc13033"/>
      <w:bookmarkStart w:id="604" w:name="_Toc7922"/>
      <w:bookmarkStart w:id="605" w:name="_Toc5399"/>
      <w:r>
        <w:rPr>
          <w:rFonts w:hint="default" w:ascii="Times New Roman" w:hAnsi="Times New Roman" w:eastAsia="楷体_GB2312" w:cs="Times New Roman"/>
          <w:b/>
          <w:bCs w:val="0"/>
          <w:color w:val="auto"/>
          <w:kern w:val="2"/>
          <w:sz w:val="32"/>
          <w:szCs w:val="32"/>
          <w:highlight w:val="none"/>
          <w:lang w:val="en-US" w:eastAsia="zh-CN" w:bidi="ar-SA"/>
        </w:rPr>
        <w:t>提升公共文化服务水平</w:t>
      </w:r>
      <w:bookmarkEnd w:id="602"/>
      <w:bookmarkEnd w:id="603"/>
      <w:bookmarkEnd w:id="604"/>
      <w:bookmarkEnd w:id="605"/>
    </w:p>
    <w:p w14:paraId="0CB6A9CC">
      <w:pPr>
        <w:bidi w:val="0"/>
        <w:spacing w:line="560" w:lineRule="exact"/>
        <w:ind w:firstLine="640" w:firstLineChars="200"/>
        <w:rPr>
          <w:rFonts w:hint="default" w:ascii="Times New Roman" w:hAnsi="Times New Roman" w:eastAsia="方正小标宋简体" w:cs="Times New Roman"/>
          <w:b w:val="0"/>
          <w:bCs/>
          <w:color w:val="auto"/>
          <w:sz w:val="32"/>
          <w:szCs w:val="32"/>
          <w:highlight w:val="none"/>
          <w:lang w:val="en-US" w:eastAsia="zh-CN"/>
        </w:rPr>
      </w:pPr>
      <w:r>
        <w:rPr>
          <w:rFonts w:hint="default" w:ascii="Times New Roman" w:hAnsi="Times New Roman" w:eastAsia="仿宋_GB2312" w:cs="Times New Roman"/>
          <w:color w:val="auto"/>
          <w:sz w:val="32"/>
          <w:szCs w:val="22"/>
          <w:highlight w:val="none"/>
          <w:lang w:val="en-US" w:eastAsia="zh-CN"/>
        </w:rPr>
        <w:t>完善公共文化服务设施网络，实施公共文化服务设施“补短板、提品质”工程，强化重要文化和自然遗产、非物质文化遗产系统性保护，完善县博物馆、图书馆、文化馆、体育馆、科技馆、非遗展陈馆和文化活动中心、新时代文明实践中心功能，加快推进农家书屋、村史馆、文明实践中心等村镇综合性文化服务中心建设。推动公共文化服务资源共享，完善公共文化服务设施免费开放保障机制，鼓励县</w:t>
      </w:r>
      <w:r>
        <w:rPr>
          <w:rFonts w:hint="eastAsia" w:cs="Times New Roman"/>
          <w:color w:val="auto"/>
          <w:sz w:val="32"/>
          <w:szCs w:val="22"/>
          <w:highlight w:val="none"/>
          <w:lang w:val="en-US" w:eastAsia="zh-CN"/>
        </w:rPr>
        <w:t>、</w:t>
      </w:r>
      <w:r>
        <w:rPr>
          <w:rFonts w:hint="default" w:ascii="Times New Roman" w:hAnsi="Times New Roman" w:eastAsia="仿宋_GB2312" w:cs="Times New Roman"/>
          <w:color w:val="auto"/>
          <w:sz w:val="32"/>
          <w:szCs w:val="22"/>
          <w:highlight w:val="none"/>
          <w:lang w:val="en-US" w:eastAsia="zh-CN"/>
        </w:rPr>
        <w:t>乡</w:t>
      </w:r>
      <w:r>
        <w:rPr>
          <w:rFonts w:hint="eastAsia" w:cs="Times New Roman"/>
          <w:color w:val="auto"/>
          <w:sz w:val="32"/>
          <w:szCs w:val="22"/>
          <w:highlight w:val="none"/>
          <w:lang w:val="en-US" w:eastAsia="zh-CN"/>
        </w:rPr>
        <w:t>、</w:t>
      </w:r>
      <w:r>
        <w:rPr>
          <w:rFonts w:hint="default" w:ascii="Times New Roman" w:hAnsi="Times New Roman" w:eastAsia="仿宋_GB2312" w:cs="Times New Roman"/>
          <w:color w:val="auto"/>
          <w:sz w:val="32"/>
          <w:szCs w:val="22"/>
          <w:highlight w:val="none"/>
          <w:lang w:val="en-US" w:eastAsia="zh-CN"/>
        </w:rPr>
        <w:t>村三级图书馆、文化活动中心等机构开展交流合作，畅通优质文化资源流通，推动优质文化服务向基层延伸覆盖，提升公共文化服务效能。扩大优质文化产品供给，精准对接人民群众需求，提高公共文化服务供需的匹配程度，引导各类社会组织、文化企业等参与提供公共文化服务，多渠道提升文化服务能力，提高公共文化服务数字化水平，扩大数字文化服务覆盖面，打造发展自然文化、民俗文化、节庆文化、饮食文化等文化品牌。</w:t>
      </w:r>
    </w:p>
    <w:p w14:paraId="6BA0081B">
      <w:pPr>
        <w:keepNext/>
        <w:widowControl w:val="0"/>
        <w:numPr>
          <w:ilvl w:val="0"/>
          <w:numId w:val="40"/>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606" w:name="_Toc17599"/>
      <w:bookmarkStart w:id="607" w:name="_Toc7632"/>
      <w:bookmarkStart w:id="608" w:name="_Toc18317"/>
      <w:bookmarkStart w:id="609" w:name="_Toc29811"/>
      <w:r>
        <w:rPr>
          <w:rFonts w:hint="default" w:ascii="Times New Roman" w:hAnsi="Times New Roman" w:eastAsia="楷体_GB2312" w:cs="Times New Roman"/>
          <w:b/>
          <w:bCs w:val="0"/>
          <w:color w:val="auto"/>
          <w:kern w:val="2"/>
          <w:sz w:val="32"/>
          <w:szCs w:val="32"/>
          <w:highlight w:val="none"/>
          <w:lang w:val="en-US" w:eastAsia="zh-CN" w:bidi="ar-SA"/>
        </w:rPr>
        <w:t>培育壮大特色文化产业</w:t>
      </w:r>
      <w:bookmarkEnd w:id="606"/>
      <w:bookmarkEnd w:id="607"/>
      <w:bookmarkEnd w:id="608"/>
      <w:bookmarkEnd w:id="609"/>
    </w:p>
    <w:p w14:paraId="00FCF96A">
      <w:pPr>
        <w:bidi w:val="0"/>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color w:val="auto"/>
          <w:sz w:val="32"/>
          <w:szCs w:val="22"/>
          <w:highlight w:val="none"/>
          <w:lang w:val="en-US" w:eastAsia="zh-CN"/>
        </w:rPr>
        <w:t>积极发展特色文化产业</w:t>
      </w:r>
      <w:bookmarkStart w:id="610" w:name="_Toc386"/>
      <w:r>
        <w:rPr>
          <w:rFonts w:hint="default" w:ascii="Times New Roman" w:hAnsi="Times New Roman" w:eastAsia="仿宋_GB2312" w:cs="Times New Roman"/>
          <w:color w:val="auto"/>
          <w:sz w:val="32"/>
          <w:szCs w:val="22"/>
          <w:highlight w:val="none"/>
          <w:lang w:val="en-US" w:eastAsia="zh-CN"/>
        </w:rPr>
        <w:t>，构建“文化+旅游+创意”产业融合模式，加强优质文化作品创作，开发多元化文化产品，创新文化消费场景，培育新型文化企业，打造文艺创作、生产、展演和消费产业链。</w:t>
      </w:r>
      <w:bookmarkEnd w:id="610"/>
      <w:r>
        <w:rPr>
          <w:rFonts w:hint="default" w:ascii="Times New Roman" w:hAnsi="Times New Roman" w:eastAsia="仿宋_GB2312" w:cs="Times New Roman"/>
          <w:color w:val="auto"/>
          <w:sz w:val="32"/>
          <w:szCs w:val="22"/>
          <w:highlight w:val="none"/>
          <w:lang w:val="en-US" w:eastAsia="zh-CN"/>
        </w:rPr>
        <w:t>鼓励县内外文化机构挖掘藏羌文化资源，加强文化创意设计和产品研发，扶持奖励优秀文化产品创作生产，鼓励利用各种文化资源开展招商引资，支持县内文化企业和单位对外开展项目合作和文化交流。推动</w:t>
      </w:r>
      <w:r>
        <w:rPr>
          <w:rFonts w:hint="eastAsia" w:cs="Times New Roman"/>
          <w:color w:val="auto"/>
          <w:sz w:val="32"/>
          <w:szCs w:val="22"/>
          <w:highlight w:val="none"/>
          <w:lang w:val="en-US" w:eastAsia="zh-CN"/>
        </w:rPr>
        <w:t>文化和旅游</w:t>
      </w:r>
      <w:r>
        <w:rPr>
          <w:rFonts w:hint="default" w:ascii="Times New Roman" w:hAnsi="Times New Roman" w:eastAsia="仿宋_GB2312" w:cs="Times New Roman"/>
          <w:color w:val="auto"/>
          <w:sz w:val="32"/>
          <w:szCs w:val="22"/>
          <w:highlight w:val="none"/>
          <w:lang w:val="en-US" w:eastAsia="zh-CN"/>
        </w:rPr>
        <w:t>、</w:t>
      </w:r>
      <w:r>
        <w:rPr>
          <w:rFonts w:hint="eastAsia" w:cs="Times New Roman"/>
          <w:color w:val="auto"/>
          <w:sz w:val="32"/>
          <w:szCs w:val="22"/>
          <w:highlight w:val="none"/>
          <w:lang w:val="en-US" w:eastAsia="zh-CN"/>
        </w:rPr>
        <w:t>城市建设</w:t>
      </w:r>
      <w:r>
        <w:rPr>
          <w:rFonts w:hint="default" w:ascii="Times New Roman" w:hAnsi="Times New Roman" w:eastAsia="仿宋_GB2312" w:cs="Times New Roman"/>
          <w:color w:val="auto"/>
          <w:sz w:val="32"/>
          <w:szCs w:val="22"/>
          <w:highlight w:val="none"/>
          <w:lang w:val="en-US" w:eastAsia="zh-CN"/>
        </w:rPr>
        <w:t>的融合发展，统筹文化和旅游规划编制，促进文化产品直接延伸为旅游产品。创新文化传播方式，推动传统媒体和新兴媒体融合发展，打造一批具有强大传播力、公信力、影响力的现代新型传播媒体，繁荣发展文学艺术、新闻出版、广播影视、舞台艺术和网络文艺。加强文化生态建设，以打造藏羌文化品牌和文化地标为重点，积极推动文化标识统一化，建立健全现代文化市场体系，落实文化市场准入和退出机制。</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3FCED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shd w:val="clear" w:color="auto" w:fill="7F7F7F" w:themeFill="text1" w:themeFillTint="7F"/>
          </w:tcPr>
          <w:p w14:paraId="42F4C570">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center"/>
              <w:rPr>
                <w:rFonts w:hint="default" w:ascii="Times New Roman" w:hAnsi="Times New Roman" w:eastAsia="黑体" w:cs="Times New Roman"/>
                <w:b/>
                <w:bCs/>
                <w:color w:val="auto"/>
                <w:kern w:val="0"/>
                <w:sz w:val="28"/>
                <w:szCs w:val="28"/>
                <w:highlight w:val="none"/>
                <w:lang w:val="en-US" w:eastAsia="zh-CN" w:bidi="ar"/>
              </w:rPr>
            </w:pPr>
            <w:r>
              <w:rPr>
                <w:rFonts w:hint="default" w:ascii="Times New Roman" w:hAnsi="Times New Roman" w:eastAsia="黑体" w:cs="Times New Roman"/>
                <w:b/>
                <w:bCs/>
                <w:color w:val="auto"/>
                <w:kern w:val="0"/>
                <w:sz w:val="28"/>
                <w:szCs w:val="28"/>
                <w:highlight w:val="none"/>
                <w:lang w:bidi="ar"/>
              </w:rPr>
              <w:t>专栏</w:t>
            </w:r>
            <w:r>
              <w:rPr>
                <w:rFonts w:hint="default" w:ascii="Times New Roman" w:hAnsi="Times New Roman" w:eastAsia="黑体" w:cs="Times New Roman"/>
                <w:b/>
                <w:bCs/>
                <w:color w:val="auto"/>
                <w:kern w:val="0"/>
                <w:sz w:val="28"/>
                <w:szCs w:val="28"/>
                <w:highlight w:val="none"/>
                <w:lang w:val="en-US" w:eastAsia="zh-CN" w:bidi="ar"/>
              </w:rPr>
              <w:t>2</w:t>
            </w:r>
            <w:r>
              <w:rPr>
                <w:rFonts w:hint="eastAsia" w:eastAsia="黑体" w:cs="Times New Roman"/>
                <w:b/>
                <w:bCs/>
                <w:color w:val="auto"/>
                <w:kern w:val="0"/>
                <w:sz w:val="28"/>
                <w:szCs w:val="28"/>
                <w:highlight w:val="none"/>
                <w:lang w:val="en-US" w:eastAsia="zh-CN" w:bidi="ar"/>
              </w:rPr>
              <w:t>4</w:t>
            </w:r>
            <w:r>
              <w:rPr>
                <w:rFonts w:hint="default" w:ascii="Times New Roman" w:hAnsi="Times New Roman" w:eastAsia="黑体" w:cs="Times New Roman"/>
                <w:b/>
                <w:bCs/>
                <w:color w:val="auto"/>
                <w:kern w:val="0"/>
                <w:sz w:val="28"/>
                <w:szCs w:val="28"/>
                <w:highlight w:val="none"/>
                <w:lang w:val="en-US" w:eastAsia="zh-CN" w:bidi="ar"/>
              </w:rPr>
              <w:t xml:space="preserve"> </w:t>
            </w:r>
            <w:r>
              <w:rPr>
                <w:rFonts w:hint="default" w:ascii="Times New Roman" w:hAnsi="Times New Roman" w:eastAsia="黑体" w:cs="Times New Roman"/>
                <w:b/>
                <w:bCs/>
                <w:color w:val="auto"/>
                <w:kern w:val="0"/>
                <w:sz w:val="28"/>
                <w:szCs w:val="28"/>
                <w:highlight w:val="none"/>
                <w:lang w:bidi="ar"/>
              </w:rPr>
              <w:t xml:space="preserve"> </w:t>
            </w:r>
            <w:r>
              <w:rPr>
                <w:rFonts w:hint="default" w:ascii="Times New Roman" w:hAnsi="Times New Roman" w:eastAsia="黑体" w:cs="Times New Roman"/>
                <w:b/>
                <w:bCs/>
                <w:color w:val="auto"/>
                <w:kern w:val="0"/>
                <w:sz w:val="28"/>
                <w:szCs w:val="28"/>
                <w:highlight w:val="none"/>
                <w:lang w:val="en-US" w:eastAsia="zh-CN" w:bidi="ar"/>
              </w:rPr>
              <w:t>提升文化综合实力水平重点工程</w:t>
            </w:r>
          </w:p>
        </w:tc>
      </w:tr>
      <w:tr w14:paraId="0C890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tcPr>
          <w:p w14:paraId="56907F2D">
            <w:pPr>
              <w:keepNext w:val="0"/>
              <w:keepLines w:val="0"/>
              <w:pageBreakBefore w:val="0"/>
              <w:widowControl/>
              <w:numPr>
                <w:ilvl w:val="0"/>
                <w:numId w:val="13"/>
              </w:numPr>
              <w:kinsoku/>
              <w:wordWrap/>
              <w:overflowPunct/>
              <w:topLinePunct w:val="0"/>
              <w:autoSpaceDE/>
              <w:autoSpaceDN/>
              <w:bidi w:val="0"/>
              <w:adjustRightInd w:val="0"/>
              <w:snapToGrid w:val="0"/>
              <w:spacing w:line="440" w:lineRule="exact"/>
              <w:ind w:left="420" w:leftChars="0" w:hanging="420" w:firstLineChars="0"/>
              <w:jc w:val="left"/>
              <w:textAlignment w:val="auto"/>
              <w:rPr>
                <w:rFonts w:hint="default" w:ascii="Times New Roman" w:hAnsi="Times New Roman" w:eastAsia="仿宋_GB2312" w:cs="Times New Roman"/>
                <w:color w:val="auto"/>
                <w:kern w:val="2"/>
                <w:sz w:val="28"/>
                <w:szCs w:val="28"/>
                <w:highlight w:val="none"/>
                <w:lang w:eastAsia="zh-CN"/>
              </w:rPr>
            </w:pPr>
            <w:r>
              <w:rPr>
                <w:rFonts w:hint="default" w:ascii="Times New Roman" w:hAnsi="Times New Roman" w:eastAsia="仿宋_GB2312" w:cs="Times New Roman"/>
                <w:b/>
                <w:bCs/>
                <w:color w:val="auto"/>
                <w:kern w:val="2"/>
                <w:sz w:val="28"/>
                <w:szCs w:val="28"/>
                <w:highlight w:val="none"/>
                <w:lang w:eastAsia="zh-CN"/>
              </w:rPr>
              <w:t>公共文化设施：</w:t>
            </w:r>
            <w:r>
              <w:rPr>
                <w:rFonts w:hint="eastAsia" w:cs="Times New Roman"/>
                <w:b w:val="0"/>
                <w:bCs w:val="0"/>
                <w:color w:val="auto"/>
                <w:kern w:val="2"/>
                <w:sz w:val="28"/>
                <w:szCs w:val="28"/>
                <w:highlight w:val="none"/>
                <w:lang w:val="en-US" w:eastAsia="zh-CN"/>
              </w:rPr>
              <w:t>1.</w:t>
            </w:r>
            <w:r>
              <w:rPr>
                <w:rFonts w:hint="default" w:ascii="Times New Roman" w:hAnsi="Times New Roman" w:eastAsia="仿宋_GB2312" w:cs="Times New Roman"/>
                <w:color w:val="auto"/>
                <w:kern w:val="2"/>
                <w:sz w:val="28"/>
                <w:szCs w:val="28"/>
                <w:highlight w:val="none"/>
                <w:lang w:val="en-US" w:eastAsia="zh-CN"/>
              </w:rPr>
              <w:t>实施</w:t>
            </w:r>
            <w:r>
              <w:rPr>
                <w:rFonts w:hint="default" w:ascii="Times New Roman" w:hAnsi="Times New Roman" w:eastAsia="仿宋_GB2312" w:cs="Times New Roman"/>
                <w:color w:val="auto"/>
                <w:kern w:val="2"/>
                <w:sz w:val="28"/>
                <w:szCs w:val="28"/>
                <w:highlight w:val="none"/>
                <w:lang w:eastAsia="zh-CN"/>
              </w:rPr>
              <w:t>“文润乡野</w:t>
            </w:r>
            <w:r>
              <w:rPr>
                <w:rFonts w:hint="default" w:ascii="Times New Roman" w:hAnsi="Times New Roman" w:eastAsia="仿宋_GB2312" w:cs="Times New Roman"/>
                <w:color w:val="auto"/>
                <w:sz w:val="32"/>
                <w:szCs w:val="22"/>
                <w:highlight w:val="none"/>
                <w:lang w:val="en-US" w:eastAsia="zh-CN"/>
              </w:rPr>
              <w:t>·</w:t>
            </w:r>
            <w:r>
              <w:rPr>
                <w:rFonts w:hint="default" w:ascii="Times New Roman" w:hAnsi="Times New Roman" w:eastAsia="仿宋_GB2312" w:cs="Times New Roman"/>
                <w:color w:val="auto"/>
                <w:kern w:val="2"/>
                <w:sz w:val="28"/>
                <w:szCs w:val="28"/>
                <w:highlight w:val="none"/>
                <w:lang w:eastAsia="zh-CN"/>
              </w:rPr>
              <w:t>智联未来”乡村文化振兴三维赋能计划</w:t>
            </w:r>
            <w:r>
              <w:rPr>
                <w:rFonts w:hint="eastAsia" w:cs="Times New Roman"/>
                <w:color w:val="auto"/>
                <w:kern w:val="2"/>
                <w:sz w:val="28"/>
                <w:szCs w:val="28"/>
                <w:highlight w:val="none"/>
                <w:lang w:eastAsia="zh-CN"/>
              </w:rPr>
              <w:t>。</w:t>
            </w:r>
            <w:r>
              <w:rPr>
                <w:rFonts w:hint="eastAsia" w:cs="Times New Roman"/>
                <w:color w:val="auto"/>
                <w:kern w:val="2"/>
                <w:sz w:val="28"/>
                <w:szCs w:val="28"/>
                <w:highlight w:val="none"/>
                <w:lang w:val="en-US" w:eastAsia="zh-CN"/>
              </w:rPr>
              <w:t>2.</w:t>
            </w:r>
            <w:r>
              <w:rPr>
                <w:rFonts w:hint="default" w:ascii="Times New Roman" w:hAnsi="Times New Roman" w:eastAsia="仿宋_GB2312" w:cs="Times New Roman"/>
                <w:color w:val="auto"/>
                <w:kern w:val="2"/>
                <w:sz w:val="28"/>
                <w:szCs w:val="28"/>
                <w:highlight w:val="none"/>
                <w:lang w:val="en-US" w:eastAsia="zh-CN"/>
              </w:rPr>
              <w:t>推进</w:t>
            </w:r>
            <w:r>
              <w:rPr>
                <w:rFonts w:hint="default" w:ascii="Times New Roman" w:hAnsi="Times New Roman" w:eastAsia="仿宋_GB2312" w:cs="Times New Roman"/>
                <w:color w:val="auto"/>
                <w:kern w:val="2"/>
                <w:sz w:val="28"/>
                <w:szCs w:val="28"/>
                <w:highlight w:val="none"/>
                <w:lang w:eastAsia="zh-CN"/>
              </w:rPr>
              <w:t>理县公共文化服务能力提升</w:t>
            </w:r>
            <w:r>
              <w:rPr>
                <w:rFonts w:hint="eastAsia" w:cs="Times New Roman"/>
                <w:color w:val="auto"/>
                <w:kern w:val="2"/>
                <w:sz w:val="28"/>
                <w:szCs w:val="28"/>
                <w:highlight w:val="none"/>
                <w:lang w:eastAsia="zh-CN"/>
              </w:rPr>
              <w:t>、县级新华书店升级改造</w:t>
            </w:r>
            <w:r>
              <w:rPr>
                <w:rFonts w:hint="eastAsia" w:cs="Times New Roman"/>
                <w:color w:val="auto"/>
                <w:kern w:val="2"/>
                <w:sz w:val="28"/>
                <w:szCs w:val="28"/>
                <w:highlight w:val="none"/>
                <w:lang w:val="en-US" w:eastAsia="zh-CN"/>
              </w:rPr>
              <w:t>等项目前期工作</w:t>
            </w:r>
            <w:r>
              <w:rPr>
                <w:rFonts w:hint="default" w:ascii="Times New Roman" w:hAnsi="Times New Roman" w:eastAsia="仿宋_GB2312" w:cs="Times New Roman"/>
                <w:color w:val="auto"/>
                <w:kern w:val="2"/>
                <w:sz w:val="28"/>
                <w:szCs w:val="28"/>
                <w:highlight w:val="none"/>
                <w:lang w:eastAsia="zh-CN"/>
              </w:rPr>
              <w:t>。</w:t>
            </w:r>
          </w:p>
          <w:p w14:paraId="55F4F681">
            <w:pPr>
              <w:keepNext w:val="0"/>
              <w:keepLines w:val="0"/>
              <w:pageBreakBefore w:val="0"/>
              <w:widowControl/>
              <w:numPr>
                <w:ilvl w:val="0"/>
                <w:numId w:val="13"/>
              </w:numPr>
              <w:kinsoku/>
              <w:wordWrap/>
              <w:overflowPunct/>
              <w:topLinePunct w:val="0"/>
              <w:autoSpaceDE/>
              <w:autoSpaceDN/>
              <w:bidi w:val="0"/>
              <w:adjustRightInd w:val="0"/>
              <w:snapToGrid w:val="0"/>
              <w:spacing w:line="440" w:lineRule="exact"/>
              <w:ind w:left="420" w:leftChars="0" w:hanging="420" w:firstLineChars="0"/>
              <w:jc w:val="left"/>
              <w:textAlignment w:val="auto"/>
              <w:rPr>
                <w:rFonts w:hint="default" w:ascii="Times New Roman" w:hAnsi="Times New Roman" w:eastAsia="仿宋_GB2312" w:cs="Times New Roman"/>
                <w:color w:val="auto"/>
                <w:kern w:val="2"/>
                <w:sz w:val="28"/>
                <w:szCs w:val="28"/>
                <w:highlight w:val="none"/>
                <w:lang w:eastAsia="zh-CN"/>
              </w:rPr>
            </w:pPr>
            <w:r>
              <w:rPr>
                <w:rFonts w:hint="default" w:ascii="Times New Roman" w:hAnsi="Times New Roman" w:eastAsia="仿宋_GB2312" w:cs="Times New Roman"/>
                <w:b/>
                <w:bCs/>
                <w:color w:val="auto"/>
                <w:kern w:val="2"/>
                <w:sz w:val="28"/>
                <w:szCs w:val="28"/>
                <w:highlight w:val="none"/>
                <w:lang w:eastAsia="zh-CN"/>
              </w:rPr>
              <w:t>文化传承和保护：</w:t>
            </w:r>
            <w:r>
              <w:rPr>
                <w:rFonts w:hint="eastAsia" w:cs="Times New Roman"/>
                <w:b/>
                <w:bCs/>
                <w:color w:val="auto"/>
                <w:kern w:val="2"/>
                <w:sz w:val="28"/>
                <w:szCs w:val="28"/>
                <w:highlight w:val="none"/>
                <w:lang w:val="en-US" w:eastAsia="zh-CN"/>
              </w:rPr>
              <w:t>1.</w:t>
            </w:r>
            <w:r>
              <w:rPr>
                <w:rFonts w:hint="default" w:ascii="Times New Roman" w:hAnsi="Times New Roman" w:eastAsia="仿宋_GB2312" w:cs="Times New Roman"/>
                <w:b w:val="0"/>
                <w:bCs w:val="0"/>
                <w:color w:val="auto"/>
                <w:kern w:val="2"/>
                <w:sz w:val="28"/>
                <w:szCs w:val="28"/>
                <w:highlight w:val="none"/>
                <w:lang w:val="en-US" w:eastAsia="zh-CN"/>
              </w:rPr>
              <w:t>实施</w:t>
            </w:r>
            <w:r>
              <w:rPr>
                <w:rFonts w:hint="default" w:ascii="Times New Roman" w:hAnsi="Times New Roman" w:eastAsia="仿宋_GB2312" w:cs="Times New Roman"/>
                <w:color w:val="auto"/>
                <w:kern w:val="2"/>
                <w:sz w:val="28"/>
                <w:szCs w:val="28"/>
                <w:highlight w:val="none"/>
                <w:lang w:eastAsia="zh-CN"/>
              </w:rPr>
              <w:t>藏羌走廊文艺品牌提升、朴头镇朴头村乡村旅游基础设施建设</w:t>
            </w:r>
            <w:r>
              <w:rPr>
                <w:rFonts w:hint="eastAsia" w:cs="Times New Roman"/>
                <w:color w:val="auto"/>
                <w:kern w:val="2"/>
                <w:sz w:val="28"/>
                <w:szCs w:val="28"/>
                <w:highlight w:val="none"/>
                <w:lang w:eastAsia="zh-CN"/>
              </w:rPr>
              <w:t>、</w:t>
            </w:r>
            <w:r>
              <w:rPr>
                <w:rFonts w:hint="default" w:ascii="Times New Roman" w:hAnsi="Times New Roman" w:eastAsia="仿宋_GB2312" w:cs="Times New Roman"/>
                <w:color w:val="auto"/>
                <w:kern w:val="2"/>
                <w:sz w:val="28"/>
                <w:szCs w:val="28"/>
                <w:highlight w:val="none"/>
                <w:lang w:eastAsia="zh-CN"/>
              </w:rPr>
              <w:t>下孟乡文化遗产保护利用、桃坪镇红色文化传承与保护</w:t>
            </w:r>
            <w:r>
              <w:rPr>
                <w:rFonts w:hint="default" w:ascii="Times New Roman" w:hAnsi="Times New Roman" w:eastAsia="仿宋_GB2312" w:cs="Times New Roman"/>
                <w:color w:val="auto"/>
                <w:kern w:val="2"/>
                <w:sz w:val="28"/>
                <w:szCs w:val="28"/>
                <w:highlight w:val="none"/>
                <w:lang w:val="en-US" w:eastAsia="zh-CN"/>
              </w:rPr>
              <w:t>等项目。</w:t>
            </w:r>
            <w:r>
              <w:rPr>
                <w:rFonts w:hint="eastAsia" w:cs="Times New Roman"/>
                <w:color w:val="auto"/>
                <w:kern w:val="2"/>
                <w:sz w:val="28"/>
                <w:szCs w:val="28"/>
                <w:highlight w:val="none"/>
                <w:lang w:val="en-US" w:eastAsia="zh-CN"/>
              </w:rPr>
              <w:t>2.</w:t>
            </w:r>
            <w:r>
              <w:rPr>
                <w:rFonts w:hint="default" w:ascii="Times New Roman" w:hAnsi="Times New Roman" w:eastAsia="仿宋_GB2312" w:cs="Times New Roman"/>
                <w:color w:val="auto"/>
                <w:kern w:val="2"/>
                <w:sz w:val="28"/>
                <w:szCs w:val="28"/>
                <w:highlight w:val="none"/>
                <w:lang w:val="en-US" w:eastAsia="zh-CN"/>
              </w:rPr>
              <w:t>推进理县数字非遗传承与创新发展</w:t>
            </w:r>
            <w:r>
              <w:rPr>
                <w:rFonts w:hint="eastAsia" w:cs="Times New Roman"/>
                <w:color w:val="auto"/>
                <w:kern w:val="2"/>
                <w:sz w:val="28"/>
                <w:szCs w:val="28"/>
                <w:highlight w:val="none"/>
                <w:lang w:val="en-US" w:eastAsia="zh-CN"/>
              </w:rPr>
              <w:t>、蒲溪羌文化研习中心、理县羌文化体验中心提升改造、桃坪镇红色文化传承与保护、理县桃坪羌寨数字化提升、筹边楼综合保护利用、理县薛城镇产业环境提升、庄房村农文旅产业融合发展、桃坪羌寨-甘堡藏寨4A景区（薛城片区）配套基础设施建设、理县红色体验中心建设、理县下孟乡红色文化研学基地建设、朴头镇朴头村红军村配套设施建设、理县红女文化研学中心建设、理县传统村落保护修缮、理县历史文化传承保护</w:t>
            </w:r>
            <w:r>
              <w:rPr>
                <w:rFonts w:hint="default" w:ascii="Times New Roman" w:hAnsi="Times New Roman" w:eastAsia="仿宋_GB2312" w:cs="Times New Roman"/>
                <w:color w:val="auto"/>
                <w:sz w:val="28"/>
                <w:szCs w:val="28"/>
                <w:highlight w:val="none"/>
                <w:lang w:val="en-US" w:eastAsia="zh-CN"/>
              </w:rPr>
              <w:t>等</w:t>
            </w:r>
            <w:r>
              <w:rPr>
                <w:rFonts w:hint="default" w:ascii="Times New Roman" w:hAnsi="Times New Roman" w:eastAsia="仿宋_GB2312" w:cs="Times New Roman"/>
                <w:color w:val="auto"/>
                <w:sz w:val="28"/>
                <w:szCs w:val="28"/>
                <w:highlight w:val="none"/>
                <w:lang w:eastAsia="zh-CN"/>
              </w:rPr>
              <w:t>项目</w:t>
            </w:r>
            <w:r>
              <w:rPr>
                <w:rFonts w:hint="default" w:ascii="Times New Roman" w:hAnsi="Times New Roman" w:eastAsia="仿宋_GB2312" w:cs="Times New Roman"/>
                <w:color w:val="auto"/>
                <w:sz w:val="28"/>
                <w:szCs w:val="28"/>
                <w:highlight w:val="none"/>
                <w:lang w:val="en-US" w:eastAsia="zh-CN"/>
              </w:rPr>
              <w:t>前期工作。</w:t>
            </w:r>
          </w:p>
          <w:p w14:paraId="684631DD">
            <w:pPr>
              <w:keepNext w:val="0"/>
              <w:keepLines w:val="0"/>
              <w:pageBreakBefore w:val="0"/>
              <w:widowControl/>
              <w:numPr>
                <w:ilvl w:val="0"/>
                <w:numId w:val="13"/>
              </w:numPr>
              <w:kinsoku/>
              <w:wordWrap/>
              <w:overflowPunct/>
              <w:topLinePunct w:val="0"/>
              <w:autoSpaceDE/>
              <w:autoSpaceDN/>
              <w:bidi w:val="0"/>
              <w:adjustRightInd w:val="0"/>
              <w:snapToGrid w:val="0"/>
              <w:spacing w:line="440" w:lineRule="exact"/>
              <w:ind w:left="420" w:leftChars="0" w:hanging="420" w:firstLineChars="0"/>
              <w:jc w:val="left"/>
              <w:textAlignment w:val="auto"/>
              <w:rPr>
                <w:rFonts w:hint="default" w:ascii="Times New Roman" w:hAnsi="Times New Roman" w:eastAsia="仿宋_GB2312" w:cs="Times New Roman"/>
                <w:color w:val="auto"/>
                <w:kern w:val="2"/>
                <w:sz w:val="28"/>
                <w:szCs w:val="28"/>
                <w:highlight w:val="none"/>
                <w:lang w:eastAsia="zh-CN"/>
              </w:rPr>
            </w:pPr>
            <w:r>
              <w:rPr>
                <w:rFonts w:hint="default" w:ascii="Times New Roman" w:hAnsi="Times New Roman" w:eastAsia="仿宋_GB2312" w:cs="Times New Roman"/>
                <w:b/>
                <w:bCs/>
                <w:color w:val="auto"/>
                <w:kern w:val="2"/>
                <w:sz w:val="28"/>
                <w:szCs w:val="28"/>
                <w:highlight w:val="none"/>
                <w:lang w:val="en-US" w:eastAsia="zh-CN"/>
              </w:rPr>
              <w:t>文化产业：</w:t>
            </w:r>
            <w:r>
              <w:rPr>
                <w:rFonts w:hint="default" w:ascii="Times New Roman" w:hAnsi="Times New Roman" w:eastAsia="仿宋_GB2312" w:cs="Times New Roman"/>
                <w:color w:val="auto"/>
                <w:kern w:val="2"/>
                <w:sz w:val="28"/>
                <w:szCs w:val="28"/>
                <w:highlight w:val="none"/>
                <w:lang w:val="en-US" w:eastAsia="zh-CN"/>
              </w:rPr>
              <w:t>推进理县古羌文化展示建设、理县非遗产业园建设</w:t>
            </w:r>
            <w:r>
              <w:rPr>
                <w:rFonts w:hint="eastAsia" w:cs="Times New Roman"/>
                <w:color w:val="auto"/>
                <w:kern w:val="2"/>
                <w:sz w:val="28"/>
                <w:szCs w:val="28"/>
                <w:highlight w:val="none"/>
                <w:lang w:val="en-US" w:eastAsia="zh-CN"/>
              </w:rPr>
              <w:t>、理县上孟乡塔斯村非遗文化及民俗文化文旅融合产业提升示范、八角碉村民俗文化体验馆建设等</w:t>
            </w:r>
            <w:r>
              <w:rPr>
                <w:rFonts w:hint="default" w:ascii="Times New Roman" w:hAnsi="Times New Roman" w:eastAsia="仿宋_GB2312" w:cs="Times New Roman"/>
                <w:color w:val="auto"/>
                <w:kern w:val="2"/>
                <w:sz w:val="28"/>
                <w:szCs w:val="28"/>
                <w:highlight w:val="none"/>
                <w:lang w:val="en-US" w:eastAsia="zh-CN"/>
              </w:rPr>
              <w:t>项目前期工作</w:t>
            </w:r>
            <w:r>
              <w:rPr>
                <w:rFonts w:hint="default" w:ascii="Times New Roman" w:hAnsi="Times New Roman" w:eastAsia="仿宋_GB2312" w:cs="Times New Roman"/>
                <w:color w:val="auto"/>
                <w:kern w:val="2"/>
                <w:sz w:val="28"/>
                <w:szCs w:val="28"/>
                <w:highlight w:val="none"/>
                <w:lang w:eastAsia="zh-CN"/>
              </w:rPr>
              <w:t>。</w:t>
            </w:r>
          </w:p>
          <w:p w14:paraId="316CE05C">
            <w:pPr>
              <w:keepNext w:val="0"/>
              <w:keepLines w:val="0"/>
              <w:pageBreakBefore w:val="0"/>
              <w:widowControl/>
              <w:numPr>
                <w:ilvl w:val="0"/>
                <w:numId w:val="13"/>
              </w:numPr>
              <w:kinsoku/>
              <w:wordWrap/>
              <w:overflowPunct/>
              <w:topLinePunct w:val="0"/>
              <w:autoSpaceDE/>
              <w:autoSpaceDN/>
              <w:bidi w:val="0"/>
              <w:adjustRightInd w:val="0"/>
              <w:snapToGrid w:val="0"/>
              <w:spacing w:line="440" w:lineRule="exact"/>
              <w:ind w:left="420" w:leftChars="0" w:hanging="420" w:firstLineChars="0"/>
              <w:jc w:val="left"/>
              <w:textAlignment w:val="auto"/>
              <w:rPr>
                <w:rFonts w:hint="default" w:ascii="Times New Roman" w:hAnsi="Times New Roman" w:eastAsia="仿宋_GB2312" w:cs="Times New Roman"/>
                <w:color w:val="auto"/>
                <w:kern w:val="2"/>
                <w:sz w:val="28"/>
                <w:szCs w:val="28"/>
                <w:highlight w:val="none"/>
                <w:lang w:eastAsia="zh-CN"/>
              </w:rPr>
            </w:pPr>
            <w:r>
              <w:rPr>
                <w:rFonts w:hint="default" w:ascii="Times New Roman" w:hAnsi="Times New Roman" w:eastAsia="仿宋_GB2312" w:cs="Times New Roman"/>
                <w:b/>
                <w:bCs/>
                <w:color w:val="auto"/>
                <w:kern w:val="2"/>
                <w:sz w:val="28"/>
                <w:szCs w:val="28"/>
                <w:highlight w:val="none"/>
                <w:lang w:val="en-US" w:eastAsia="zh-CN"/>
              </w:rPr>
              <w:t>加强传播能力建设</w:t>
            </w:r>
            <w:r>
              <w:rPr>
                <w:rFonts w:hint="default" w:ascii="Times New Roman" w:hAnsi="Times New Roman" w:eastAsia="仿宋_GB2312" w:cs="Times New Roman"/>
                <w:color w:val="auto"/>
                <w:kern w:val="2"/>
                <w:sz w:val="28"/>
                <w:szCs w:val="28"/>
                <w:highlight w:val="none"/>
                <w:lang w:val="en-US" w:eastAsia="zh-CN"/>
              </w:rPr>
              <w:t>：</w:t>
            </w:r>
            <w:r>
              <w:rPr>
                <w:rFonts w:hint="eastAsia" w:cs="Times New Roman"/>
                <w:color w:val="auto"/>
                <w:kern w:val="2"/>
                <w:sz w:val="28"/>
                <w:szCs w:val="28"/>
                <w:highlight w:val="none"/>
                <w:lang w:val="en-US" w:eastAsia="zh-CN"/>
              </w:rPr>
              <w:t>1.</w:t>
            </w:r>
            <w:r>
              <w:rPr>
                <w:rFonts w:hint="default" w:ascii="Times New Roman" w:hAnsi="Times New Roman" w:eastAsia="仿宋_GB2312" w:cs="Times New Roman"/>
                <w:color w:val="auto"/>
                <w:kern w:val="2"/>
                <w:sz w:val="28"/>
                <w:szCs w:val="28"/>
                <w:highlight w:val="none"/>
                <w:lang w:val="en-US" w:eastAsia="zh-CN"/>
              </w:rPr>
              <w:t>实施</w:t>
            </w:r>
            <w:r>
              <w:rPr>
                <w:rFonts w:hint="default" w:ascii="Times New Roman" w:hAnsi="Times New Roman" w:eastAsia="仿宋_GB2312" w:cs="Times New Roman"/>
                <w:color w:val="auto"/>
                <w:kern w:val="2"/>
                <w:sz w:val="28"/>
                <w:szCs w:val="28"/>
                <w:highlight w:val="none"/>
                <w:lang w:eastAsia="zh-CN"/>
              </w:rPr>
              <w:t>“新时代</w:t>
            </w:r>
            <w:r>
              <w:rPr>
                <w:rFonts w:hint="default" w:ascii="Times New Roman" w:hAnsi="Times New Roman" w:eastAsia="仿宋_GB2312" w:cs="Times New Roman"/>
                <w:color w:val="auto"/>
                <w:sz w:val="32"/>
                <w:szCs w:val="22"/>
                <w:highlight w:val="none"/>
                <w:lang w:val="en-US" w:eastAsia="zh-CN"/>
              </w:rPr>
              <w:t>·</w:t>
            </w:r>
            <w:r>
              <w:rPr>
                <w:rFonts w:hint="default" w:ascii="Times New Roman" w:hAnsi="Times New Roman" w:eastAsia="仿宋_GB2312" w:cs="Times New Roman"/>
                <w:color w:val="auto"/>
                <w:kern w:val="2"/>
                <w:sz w:val="28"/>
                <w:szCs w:val="28"/>
                <w:highlight w:val="none"/>
                <w:lang w:eastAsia="zh-CN"/>
              </w:rPr>
              <w:t>新传播”全域宣传能力提升五年行动</w:t>
            </w:r>
            <w:r>
              <w:rPr>
                <w:rFonts w:hint="eastAsia" w:cs="Times New Roman"/>
                <w:color w:val="auto"/>
                <w:kern w:val="2"/>
                <w:sz w:val="28"/>
                <w:szCs w:val="28"/>
                <w:highlight w:val="none"/>
                <w:lang w:eastAsia="zh-CN"/>
              </w:rPr>
              <w:t>。</w:t>
            </w:r>
            <w:r>
              <w:rPr>
                <w:rFonts w:hint="eastAsia" w:cs="Times New Roman"/>
                <w:color w:val="auto"/>
                <w:kern w:val="2"/>
                <w:sz w:val="28"/>
                <w:szCs w:val="28"/>
                <w:highlight w:val="none"/>
                <w:lang w:val="en-US" w:eastAsia="zh-CN"/>
              </w:rPr>
              <w:t>2.</w:t>
            </w:r>
            <w:r>
              <w:rPr>
                <w:rFonts w:hint="default" w:ascii="Times New Roman" w:hAnsi="Times New Roman" w:eastAsia="仿宋_GB2312" w:cs="Times New Roman"/>
                <w:color w:val="auto"/>
                <w:kern w:val="2"/>
                <w:sz w:val="28"/>
                <w:szCs w:val="28"/>
                <w:highlight w:val="none"/>
                <w:lang w:val="en-US" w:eastAsia="zh-CN"/>
              </w:rPr>
              <w:t>推进理县</w:t>
            </w:r>
            <w:r>
              <w:rPr>
                <w:rFonts w:hint="default" w:ascii="Times New Roman" w:hAnsi="Times New Roman" w:eastAsia="仿宋_GB2312" w:cs="Times New Roman"/>
                <w:color w:val="auto"/>
                <w:kern w:val="2"/>
                <w:sz w:val="28"/>
                <w:szCs w:val="28"/>
                <w:highlight w:val="none"/>
                <w:lang w:eastAsia="zh-CN"/>
              </w:rPr>
              <w:t>融媒体中心设施设备更新改造</w:t>
            </w:r>
            <w:r>
              <w:rPr>
                <w:rFonts w:hint="eastAsia" w:cs="Times New Roman"/>
                <w:color w:val="auto"/>
                <w:kern w:val="2"/>
                <w:sz w:val="28"/>
                <w:szCs w:val="28"/>
                <w:highlight w:val="none"/>
                <w:lang w:eastAsia="zh-CN"/>
              </w:rPr>
              <w:t>、理县广电公共服务数字化智能化提升</w:t>
            </w:r>
            <w:r>
              <w:rPr>
                <w:rFonts w:hint="eastAsia" w:cs="Times New Roman"/>
                <w:color w:val="auto"/>
                <w:kern w:val="2"/>
                <w:sz w:val="28"/>
                <w:szCs w:val="28"/>
                <w:highlight w:val="none"/>
                <w:lang w:val="en-US" w:eastAsia="zh-CN"/>
              </w:rPr>
              <w:t>等</w:t>
            </w:r>
            <w:r>
              <w:rPr>
                <w:rFonts w:hint="eastAsia" w:cs="Times New Roman"/>
                <w:color w:val="auto"/>
                <w:kern w:val="2"/>
                <w:sz w:val="28"/>
                <w:szCs w:val="28"/>
                <w:highlight w:val="none"/>
                <w:lang w:eastAsia="zh-CN"/>
              </w:rPr>
              <w:t>项目</w:t>
            </w:r>
            <w:r>
              <w:rPr>
                <w:rFonts w:hint="default" w:ascii="Times New Roman" w:hAnsi="Times New Roman" w:eastAsia="仿宋_GB2312" w:cs="Times New Roman"/>
                <w:color w:val="auto"/>
                <w:kern w:val="2"/>
                <w:sz w:val="28"/>
                <w:szCs w:val="28"/>
                <w:highlight w:val="none"/>
                <w:lang w:val="en-US" w:eastAsia="zh-CN"/>
              </w:rPr>
              <w:t>前期工作</w:t>
            </w:r>
            <w:r>
              <w:rPr>
                <w:rFonts w:hint="default" w:ascii="Times New Roman" w:hAnsi="Times New Roman" w:eastAsia="仿宋_GB2312" w:cs="Times New Roman"/>
                <w:color w:val="auto"/>
                <w:kern w:val="2"/>
                <w:sz w:val="28"/>
                <w:szCs w:val="28"/>
                <w:highlight w:val="none"/>
                <w:lang w:eastAsia="zh-CN"/>
              </w:rPr>
              <w:t>。</w:t>
            </w:r>
          </w:p>
          <w:p w14:paraId="2995F582">
            <w:pPr>
              <w:keepNext w:val="0"/>
              <w:keepLines w:val="0"/>
              <w:pageBreakBefore w:val="0"/>
              <w:widowControl/>
              <w:numPr>
                <w:ilvl w:val="0"/>
                <w:numId w:val="13"/>
              </w:numPr>
              <w:kinsoku/>
              <w:wordWrap/>
              <w:overflowPunct/>
              <w:topLinePunct w:val="0"/>
              <w:autoSpaceDE/>
              <w:autoSpaceDN/>
              <w:bidi w:val="0"/>
              <w:adjustRightInd w:val="0"/>
              <w:snapToGrid w:val="0"/>
              <w:spacing w:line="440" w:lineRule="exact"/>
              <w:ind w:left="420" w:leftChars="0" w:hanging="420" w:firstLineChars="0"/>
              <w:jc w:val="left"/>
              <w:textAlignment w:val="auto"/>
              <w:rPr>
                <w:rFonts w:hint="default" w:ascii="Times New Roman" w:hAnsi="Times New Roman" w:eastAsia="仿宋_GB2312" w:cs="Times New Roman"/>
                <w:color w:val="auto"/>
                <w:kern w:val="2"/>
                <w:sz w:val="28"/>
                <w:szCs w:val="28"/>
                <w:highlight w:val="none"/>
                <w:lang w:eastAsia="zh-CN"/>
              </w:rPr>
            </w:pPr>
            <w:r>
              <w:rPr>
                <w:rFonts w:hint="default" w:cs="Times New Roman"/>
                <w:b/>
                <w:bCs/>
                <w:color w:val="auto"/>
                <w:kern w:val="2"/>
                <w:sz w:val="28"/>
                <w:szCs w:val="28"/>
                <w:highlight w:val="none"/>
                <w:lang w:val="en-US" w:eastAsia="zh-CN"/>
              </w:rPr>
              <w:t>其他：</w:t>
            </w:r>
            <w:r>
              <w:rPr>
                <w:rFonts w:hint="eastAsia" w:cs="Times New Roman"/>
                <w:color w:val="auto"/>
                <w:kern w:val="2"/>
                <w:sz w:val="28"/>
                <w:szCs w:val="28"/>
                <w:highlight w:val="none"/>
                <w:lang w:val="en-US" w:eastAsia="zh-CN"/>
              </w:rPr>
              <w:t>推进朴头山摩崖石刻维修、桃坪羌寨文物保护基础设施完善、直波碉楼—阿坝羌寨碉群修缮、直波碉楼--阿坝羌寨碉群安防工程、直波碉楼--阿坝羌寨碉群消防工程、高原珍稀植物园建设、青少年综合实践教育基地建设等项目</w:t>
            </w:r>
            <w:r>
              <w:rPr>
                <w:rFonts w:hint="default" w:ascii="Times New Roman" w:hAnsi="Times New Roman" w:eastAsia="仿宋_GB2312" w:cs="Times New Roman"/>
                <w:color w:val="auto"/>
                <w:kern w:val="2"/>
                <w:sz w:val="28"/>
                <w:szCs w:val="28"/>
                <w:highlight w:val="none"/>
                <w:lang w:val="en-US" w:eastAsia="zh-CN"/>
              </w:rPr>
              <w:t>前期工作</w:t>
            </w:r>
            <w:r>
              <w:rPr>
                <w:rFonts w:hint="eastAsia" w:cs="Times New Roman"/>
                <w:color w:val="auto"/>
                <w:kern w:val="2"/>
                <w:sz w:val="28"/>
                <w:szCs w:val="28"/>
                <w:highlight w:val="none"/>
                <w:lang w:eastAsia="zh-CN"/>
              </w:rPr>
              <w:t>。</w:t>
            </w:r>
          </w:p>
        </w:tc>
      </w:tr>
    </w:tbl>
    <w:p w14:paraId="0DFDFD2E">
      <w:pPr>
        <w:keepNext/>
        <w:widowControl w:val="0"/>
        <w:numPr>
          <w:ilvl w:val="0"/>
          <w:numId w:val="1"/>
        </w:numPr>
        <w:bidi w:val="0"/>
        <w:snapToGrid w:val="0"/>
        <w:spacing w:before="100" w:beforeLines="100" w:after="100" w:afterLines="100" w:line="560" w:lineRule="exact"/>
        <w:ind w:left="0" w:leftChars="0" w:firstLine="0" w:firstLineChars="0"/>
        <w:jc w:val="center"/>
        <w:outlineLvl w:val="1"/>
        <w:rPr>
          <w:rFonts w:hint="default" w:ascii="Times New Roman" w:hAnsi="Times New Roman" w:eastAsia="黑体" w:cs="Times New Roman"/>
          <w:color w:val="auto"/>
          <w:kern w:val="2"/>
          <w:sz w:val="32"/>
          <w:szCs w:val="24"/>
          <w:highlight w:val="none"/>
          <w:lang w:val="en-US" w:eastAsia="zh-CN" w:bidi="ar-SA"/>
        </w:rPr>
      </w:pPr>
      <w:bookmarkStart w:id="611" w:name="_Toc17783"/>
      <w:bookmarkStart w:id="612" w:name="_Toc21589"/>
      <w:r>
        <w:rPr>
          <w:rFonts w:hint="default" w:ascii="Times New Roman" w:hAnsi="Times New Roman" w:eastAsia="黑体" w:cs="Times New Roman"/>
          <w:color w:val="auto"/>
          <w:kern w:val="2"/>
          <w:sz w:val="32"/>
          <w:szCs w:val="24"/>
          <w:highlight w:val="none"/>
          <w:lang w:val="en-US" w:eastAsia="zh-CN" w:bidi="ar-SA"/>
        </w:rPr>
        <w:t xml:space="preserve"> </w:t>
      </w:r>
      <w:bookmarkStart w:id="613" w:name="_Toc24638"/>
      <w:bookmarkStart w:id="614" w:name="_Toc6200"/>
      <w:r>
        <w:rPr>
          <w:rFonts w:hint="default" w:ascii="Times New Roman" w:hAnsi="Times New Roman" w:eastAsia="黑体" w:cs="Times New Roman"/>
          <w:color w:val="auto"/>
          <w:kern w:val="2"/>
          <w:sz w:val="32"/>
          <w:szCs w:val="24"/>
          <w:highlight w:val="none"/>
          <w:lang w:val="en-US" w:eastAsia="zh-CN" w:bidi="ar-SA"/>
        </w:rPr>
        <w:fldChar w:fldCharType="begin"/>
      </w:r>
      <w:r>
        <w:rPr>
          <w:rFonts w:hint="default" w:ascii="Times New Roman" w:hAnsi="Times New Roman" w:eastAsia="黑体" w:cs="Times New Roman"/>
          <w:color w:val="auto"/>
          <w:kern w:val="2"/>
          <w:sz w:val="32"/>
          <w:szCs w:val="24"/>
          <w:highlight w:val="none"/>
          <w:lang w:val="en-US" w:eastAsia="zh-CN" w:bidi="ar-SA"/>
        </w:rPr>
        <w:instrText xml:space="preserve"> HYPERLINK \l _Toc223 </w:instrText>
      </w:r>
      <w:r>
        <w:rPr>
          <w:rFonts w:hint="default" w:ascii="Times New Roman" w:hAnsi="Times New Roman" w:eastAsia="黑体" w:cs="Times New Roman"/>
          <w:color w:val="auto"/>
          <w:kern w:val="2"/>
          <w:sz w:val="32"/>
          <w:szCs w:val="24"/>
          <w:highlight w:val="none"/>
          <w:lang w:val="en-US" w:eastAsia="zh-CN" w:bidi="ar-SA"/>
        </w:rPr>
        <w:fldChar w:fldCharType="separate"/>
      </w:r>
      <w:r>
        <w:rPr>
          <w:rFonts w:hint="default" w:ascii="Times New Roman" w:hAnsi="Times New Roman" w:eastAsia="黑体" w:cs="Times New Roman"/>
          <w:color w:val="auto"/>
          <w:kern w:val="2"/>
          <w:sz w:val="32"/>
          <w:szCs w:val="24"/>
          <w:highlight w:val="none"/>
          <w:lang w:val="en-US" w:eastAsia="zh-CN" w:bidi="ar-SA"/>
        </w:rPr>
        <w:fldChar w:fldCharType="begin"/>
      </w:r>
      <w:r>
        <w:rPr>
          <w:rFonts w:hint="default" w:ascii="Times New Roman" w:hAnsi="Times New Roman" w:eastAsia="黑体" w:cs="Times New Roman"/>
          <w:color w:val="auto"/>
          <w:kern w:val="2"/>
          <w:sz w:val="32"/>
          <w:szCs w:val="24"/>
          <w:highlight w:val="none"/>
          <w:lang w:val="en-US" w:eastAsia="zh-CN" w:bidi="ar-SA"/>
        </w:rPr>
        <w:instrText xml:space="preserve"> HYPERLINK \l _Toc1391 </w:instrText>
      </w:r>
      <w:r>
        <w:rPr>
          <w:rFonts w:hint="default" w:ascii="Times New Roman" w:hAnsi="Times New Roman" w:eastAsia="黑体" w:cs="Times New Roman"/>
          <w:color w:val="auto"/>
          <w:kern w:val="2"/>
          <w:sz w:val="32"/>
          <w:szCs w:val="24"/>
          <w:highlight w:val="none"/>
          <w:lang w:val="en-US" w:eastAsia="zh-CN" w:bidi="ar-SA"/>
        </w:rPr>
        <w:fldChar w:fldCharType="separate"/>
      </w:r>
      <w:r>
        <w:rPr>
          <w:rFonts w:hint="default" w:ascii="Times New Roman" w:hAnsi="Times New Roman" w:eastAsia="黑体" w:cs="Times New Roman"/>
          <w:color w:val="auto"/>
          <w:kern w:val="2"/>
          <w:sz w:val="32"/>
          <w:szCs w:val="24"/>
          <w:highlight w:val="none"/>
          <w:lang w:val="en-US" w:eastAsia="zh-CN" w:bidi="ar-SA"/>
        </w:rPr>
        <w:t>着力强化人才支撑力度</w:t>
      </w:r>
      <w:r>
        <w:rPr>
          <w:rFonts w:hint="default" w:ascii="Times New Roman" w:hAnsi="Times New Roman" w:eastAsia="黑体" w:cs="Times New Roman"/>
          <w:color w:val="auto"/>
          <w:kern w:val="2"/>
          <w:sz w:val="32"/>
          <w:szCs w:val="24"/>
          <w:highlight w:val="none"/>
          <w:lang w:val="en-US" w:eastAsia="zh-CN" w:bidi="ar-SA"/>
        </w:rPr>
        <w:fldChar w:fldCharType="end"/>
      </w:r>
      <w:r>
        <w:rPr>
          <w:rFonts w:hint="default" w:ascii="Times New Roman" w:hAnsi="Times New Roman" w:eastAsia="黑体" w:cs="Times New Roman"/>
          <w:color w:val="auto"/>
          <w:kern w:val="2"/>
          <w:sz w:val="32"/>
          <w:szCs w:val="24"/>
          <w:highlight w:val="none"/>
          <w:lang w:val="en-US" w:eastAsia="zh-CN" w:bidi="ar-SA"/>
        </w:rPr>
        <w:fldChar w:fldCharType="end"/>
      </w:r>
      <w:bookmarkEnd w:id="611"/>
      <w:bookmarkEnd w:id="612"/>
      <w:bookmarkEnd w:id="613"/>
      <w:bookmarkEnd w:id="614"/>
    </w:p>
    <w:p w14:paraId="746DAA8C">
      <w:pPr>
        <w:keepNext/>
        <w:widowControl w:val="0"/>
        <w:numPr>
          <w:ilvl w:val="0"/>
          <w:numId w:val="41"/>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615" w:name="_Toc11772"/>
      <w:bookmarkStart w:id="616" w:name="_Toc2203"/>
      <w:bookmarkStart w:id="617" w:name="_Toc14441"/>
      <w:bookmarkStart w:id="618" w:name="_Toc16506"/>
      <w:r>
        <w:rPr>
          <w:rFonts w:hint="default" w:ascii="Times New Roman" w:hAnsi="Times New Roman" w:eastAsia="楷体_GB2312" w:cs="Times New Roman"/>
          <w:b/>
          <w:bCs w:val="0"/>
          <w:color w:val="auto"/>
          <w:kern w:val="2"/>
          <w:sz w:val="32"/>
          <w:szCs w:val="32"/>
          <w:highlight w:val="none"/>
          <w:lang w:val="en-US" w:eastAsia="zh-CN" w:bidi="ar-SA"/>
        </w:rPr>
        <w:t>做好人才引育留用</w:t>
      </w:r>
      <w:bookmarkEnd w:id="615"/>
      <w:bookmarkEnd w:id="616"/>
      <w:bookmarkEnd w:id="617"/>
      <w:bookmarkEnd w:id="618"/>
    </w:p>
    <w:p w14:paraId="5E70C1DA">
      <w:pPr>
        <w:bidi w:val="0"/>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color w:val="auto"/>
          <w:sz w:val="32"/>
          <w:szCs w:val="22"/>
          <w:highlight w:val="none"/>
          <w:lang w:val="en-US" w:eastAsia="zh-CN"/>
        </w:rPr>
        <w:t>加强人才培育引进，制定急需紧缺专业人才目录，实施“高层次人才引进计划”“柔性引才计划”，全面统筹推进各类人才队伍建设。围绕重点产业发展方向，制定对产业领军人才、工程技术人才的倾斜政策，建立科研院所与地方合作共建机制，依托职业学院和实训基地，加快培养应用型、技能型人才。加强干部队伍思想淬炼、政治历练、实践锻炼、专业训练，加大基层少数民族、村官培训和挂职锻炼工作力度，建设一支高素质专业化干部队伍。加强少数民族专业技术人才、企业经营管理人才、高技能人才和领军人才的培育。用好东西部扶贫协作、省内结对帮扶平台，加大本土人才培养，鼓励重点领域人才创新创业，推动人才向基层、向各产业一线流动，鼓励引导人才到艰苦边远地区和基层一线创新创业。推进教育领域“县管校聘”和卫生领域“县管乡用”改革，建立健全基层教育、医疗卫生人才队伍培养制度，稳定农村教师队伍和基层医疗卫生人才队伍。</w:t>
      </w:r>
    </w:p>
    <w:p w14:paraId="7655699F">
      <w:pPr>
        <w:keepNext/>
        <w:widowControl w:val="0"/>
        <w:numPr>
          <w:ilvl w:val="0"/>
          <w:numId w:val="41"/>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619" w:name="_Toc2865"/>
      <w:bookmarkStart w:id="620" w:name="_Toc15179"/>
      <w:bookmarkStart w:id="621" w:name="_Toc21927"/>
      <w:bookmarkStart w:id="622" w:name="_Toc27576"/>
      <w:r>
        <w:rPr>
          <w:rFonts w:hint="default" w:ascii="Times New Roman" w:hAnsi="Times New Roman" w:eastAsia="楷体_GB2312" w:cs="Times New Roman"/>
          <w:b/>
          <w:bCs w:val="0"/>
          <w:color w:val="auto"/>
          <w:kern w:val="2"/>
          <w:sz w:val="32"/>
          <w:szCs w:val="32"/>
          <w:highlight w:val="none"/>
          <w:lang w:val="en-US" w:eastAsia="zh-CN" w:bidi="ar-SA"/>
        </w:rPr>
        <w:t>优化人才发展环境</w:t>
      </w:r>
      <w:bookmarkEnd w:id="619"/>
      <w:bookmarkEnd w:id="620"/>
      <w:bookmarkEnd w:id="621"/>
      <w:bookmarkEnd w:id="622"/>
    </w:p>
    <w:p w14:paraId="79360E2C">
      <w:pPr>
        <w:bidi w:val="0"/>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color w:val="auto"/>
          <w:sz w:val="32"/>
          <w:szCs w:val="22"/>
          <w:highlight w:val="none"/>
          <w:lang w:val="en-US" w:eastAsia="zh-CN"/>
        </w:rPr>
        <w:t>强化人才激励机制，实施更加积极、更加开放、更加有效的人才政策，探索建立以政府奖励为导向、用人单位和社会力量奖励为主体的人才奖励体系。完善人才有序流动机制，促进人才区域合理布局，深化东中西部人才协作，打通高校、科研院所和企业人才交流通道。完善人才评价机制，建立以创新能力、质量、实效、贡献为导向的人才评价体系，优化岗位配置，充分发挥人才价值。促进人才与市场对接，推进人才平台建设，建设人才交流中心、人才孵化基地和人才党群服务中心“三位一体”平台。健全人才保障机制，优化各类人才配偶就业、薪酬待遇、职位职称、养老医疗、子女入学、住房安居等保障政策。</w:t>
      </w:r>
    </w:p>
    <w:p w14:paraId="13D98FD8">
      <w:pPr>
        <w:keepNext/>
        <w:widowControl w:val="0"/>
        <w:numPr>
          <w:ilvl w:val="0"/>
          <w:numId w:val="1"/>
        </w:numPr>
        <w:bidi w:val="0"/>
        <w:snapToGrid w:val="0"/>
        <w:spacing w:before="100" w:beforeLines="100" w:after="100" w:afterLines="100" w:line="560" w:lineRule="exact"/>
        <w:ind w:left="0" w:leftChars="0" w:firstLine="0" w:firstLineChars="0"/>
        <w:jc w:val="center"/>
        <w:outlineLvl w:val="1"/>
        <w:rPr>
          <w:rFonts w:hint="default" w:ascii="Times New Roman" w:hAnsi="Times New Roman" w:eastAsia="黑体" w:cs="Times New Roman"/>
          <w:color w:val="auto"/>
          <w:kern w:val="2"/>
          <w:sz w:val="32"/>
          <w:szCs w:val="24"/>
          <w:highlight w:val="none"/>
          <w:lang w:val="en-US" w:eastAsia="zh-CN" w:bidi="ar-SA"/>
        </w:rPr>
      </w:pPr>
      <w:bookmarkStart w:id="623" w:name="_Toc3973"/>
      <w:bookmarkStart w:id="624" w:name="_Toc31471"/>
      <w:r>
        <w:rPr>
          <w:rFonts w:hint="default" w:ascii="Times New Roman" w:hAnsi="Times New Roman" w:eastAsia="黑体" w:cs="Times New Roman"/>
          <w:color w:val="auto"/>
          <w:kern w:val="2"/>
          <w:sz w:val="32"/>
          <w:szCs w:val="24"/>
          <w:highlight w:val="none"/>
          <w:lang w:val="en-US" w:eastAsia="zh-CN" w:bidi="ar-SA"/>
        </w:rPr>
        <w:t xml:space="preserve"> </w:t>
      </w:r>
      <w:bookmarkStart w:id="625" w:name="_Toc31725"/>
      <w:bookmarkStart w:id="626" w:name="_Toc7482"/>
      <w:r>
        <w:rPr>
          <w:rFonts w:hint="default" w:ascii="Times New Roman" w:hAnsi="Times New Roman" w:eastAsia="黑体" w:cs="Times New Roman"/>
          <w:color w:val="auto"/>
          <w:kern w:val="2"/>
          <w:sz w:val="32"/>
          <w:szCs w:val="24"/>
          <w:highlight w:val="none"/>
          <w:lang w:val="en-US" w:eastAsia="zh-CN" w:bidi="ar-SA"/>
        </w:rPr>
        <w:fldChar w:fldCharType="begin"/>
      </w:r>
      <w:r>
        <w:rPr>
          <w:rFonts w:hint="default" w:ascii="Times New Roman" w:hAnsi="Times New Roman" w:eastAsia="黑体" w:cs="Times New Roman"/>
          <w:color w:val="auto"/>
          <w:kern w:val="2"/>
          <w:sz w:val="32"/>
          <w:szCs w:val="24"/>
          <w:highlight w:val="none"/>
          <w:lang w:val="en-US" w:eastAsia="zh-CN" w:bidi="ar-SA"/>
        </w:rPr>
        <w:instrText xml:space="preserve"> HYPERLINK \l _Toc223 </w:instrText>
      </w:r>
      <w:r>
        <w:rPr>
          <w:rFonts w:hint="default" w:ascii="Times New Roman" w:hAnsi="Times New Roman" w:eastAsia="黑体" w:cs="Times New Roman"/>
          <w:color w:val="auto"/>
          <w:kern w:val="2"/>
          <w:sz w:val="32"/>
          <w:szCs w:val="24"/>
          <w:highlight w:val="none"/>
          <w:lang w:val="en-US" w:eastAsia="zh-CN" w:bidi="ar-SA"/>
        </w:rPr>
        <w:fldChar w:fldCharType="separate"/>
      </w:r>
      <w:r>
        <w:rPr>
          <w:rFonts w:hint="default" w:ascii="Times New Roman" w:hAnsi="Times New Roman" w:eastAsia="黑体" w:cs="Times New Roman"/>
          <w:color w:val="auto"/>
          <w:kern w:val="2"/>
          <w:sz w:val="32"/>
          <w:szCs w:val="24"/>
          <w:highlight w:val="none"/>
          <w:lang w:val="en-US" w:eastAsia="zh-CN" w:bidi="ar-SA"/>
        </w:rPr>
        <w:fldChar w:fldCharType="begin"/>
      </w:r>
      <w:r>
        <w:rPr>
          <w:rFonts w:hint="default" w:ascii="Times New Roman" w:hAnsi="Times New Roman" w:eastAsia="黑体" w:cs="Times New Roman"/>
          <w:color w:val="auto"/>
          <w:kern w:val="2"/>
          <w:sz w:val="32"/>
          <w:szCs w:val="24"/>
          <w:highlight w:val="none"/>
          <w:lang w:val="en-US" w:eastAsia="zh-CN" w:bidi="ar-SA"/>
        </w:rPr>
        <w:instrText xml:space="preserve"> HYPERLINK \l _Toc1391 </w:instrText>
      </w:r>
      <w:r>
        <w:rPr>
          <w:rFonts w:hint="default" w:ascii="Times New Roman" w:hAnsi="Times New Roman" w:eastAsia="黑体" w:cs="Times New Roman"/>
          <w:color w:val="auto"/>
          <w:kern w:val="2"/>
          <w:sz w:val="32"/>
          <w:szCs w:val="24"/>
          <w:highlight w:val="none"/>
          <w:lang w:val="en-US" w:eastAsia="zh-CN" w:bidi="ar-SA"/>
        </w:rPr>
        <w:fldChar w:fldCharType="separate"/>
      </w:r>
      <w:r>
        <w:rPr>
          <w:rFonts w:hint="default" w:ascii="Times New Roman" w:hAnsi="Times New Roman" w:eastAsia="黑体" w:cs="Times New Roman"/>
          <w:color w:val="auto"/>
          <w:kern w:val="2"/>
          <w:sz w:val="32"/>
          <w:szCs w:val="24"/>
          <w:highlight w:val="none"/>
          <w:lang w:val="en-US" w:eastAsia="zh-CN" w:bidi="ar-SA"/>
        </w:rPr>
        <w:t>加强科技创新能力建设</w:t>
      </w:r>
      <w:r>
        <w:rPr>
          <w:rFonts w:hint="default" w:ascii="Times New Roman" w:hAnsi="Times New Roman" w:eastAsia="黑体" w:cs="Times New Roman"/>
          <w:color w:val="auto"/>
          <w:kern w:val="2"/>
          <w:sz w:val="32"/>
          <w:szCs w:val="24"/>
          <w:highlight w:val="none"/>
          <w:lang w:val="en-US" w:eastAsia="zh-CN" w:bidi="ar-SA"/>
        </w:rPr>
        <w:fldChar w:fldCharType="end"/>
      </w:r>
      <w:r>
        <w:rPr>
          <w:rFonts w:hint="default" w:ascii="Times New Roman" w:hAnsi="Times New Roman" w:eastAsia="黑体" w:cs="Times New Roman"/>
          <w:color w:val="auto"/>
          <w:kern w:val="2"/>
          <w:sz w:val="32"/>
          <w:szCs w:val="24"/>
          <w:highlight w:val="none"/>
          <w:lang w:val="en-US" w:eastAsia="zh-CN" w:bidi="ar-SA"/>
        </w:rPr>
        <w:fldChar w:fldCharType="end"/>
      </w:r>
      <w:bookmarkEnd w:id="623"/>
      <w:bookmarkEnd w:id="624"/>
      <w:bookmarkEnd w:id="625"/>
      <w:bookmarkEnd w:id="626"/>
    </w:p>
    <w:p w14:paraId="71497D9E">
      <w:pPr>
        <w:keepNext/>
        <w:widowControl w:val="0"/>
        <w:numPr>
          <w:ilvl w:val="0"/>
          <w:numId w:val="42"/>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bookmarkStart w:id="627" w:name="_Toc31020"/>
      <w:bookmarkStart w:id="628" w:name="_Toc5599"/>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629" w:name="_Toc20854"/>
      <w:bookmarkStart w:id="630" w:name="_Toc26806"/>
      <w:r>
        <w:rPr>
          <w:rFonts w:hint="default" w:ascii="Times New Roman" w:hAnsi="Times New Roman" w:eastAsia="楷体_GB2312" w:cs="Times New Roman"/>
          <w:b/>
          <w:bCs w:val="0"/>
          <w:color w:val="auto"/>
          <w:kern w:val="2"/>
          <w:sz w:val="32"/>
          <w:szCs w:val="32"/>
          <w:highlight w:val="none"/>
          <w:lang w:val="en-US" w:eastAsia="zh-CN" w:bidi="ar-SA"/>
        </w:rPr>
        <w:t>提高企业创新能力</w:t>
      </w:r>
      <w:bookmarkEnd w:id="627"/>
      <w:bookmarkEnd w:id="629"/>
      <w:bookmarkEnd w:id="630"/>
    </w:p>
    <w:p w14:paraId="0D5339C8">
      <w:pPr>
        <w:bidi w:val="0"/>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color w:val="auto"/>
          <w:sz w:val="32"/>
          <w:szCs w:val="22"/>
          <w:highlight w:val="none"/>
          <w:lang w:val="en-US" w:eastAsia="zh-CN"/>
        </w:rPr>
        <w:t>强化企业科技创新主体地位，促进创新要素向企业集聚，增强企业创新能力、创新活力和创新实力。深入开展科技创新型企业培育行动，着力构建科技企业“微成长、小升高、高变强”梯次引育体系，加大高新技术企业培育力度，依托园区平台发展高新技术产业，力争培育2-3家高新技术企业。鼓励企业加大科技研发投入，深化本地企业与高校、科研院所建立长期合作关系。强化科技创新区域合作，积极推动对口支援、帮扶地区科技交流与合作，支持企业依托对口帮扶机制在创新资源富集地区建设科创飞地。</w:t>
      </w:r>
    </w:p>
    <w:p w14:paraId="443B16AC">
      <w:pPr>
        <w:keepNext/>
        <w:widowControl w:val="0"/>
        <w:numPr>
          <w:ilvl w:val="0"/>
          <w:numId w:val="19"/>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bookmarkStart w:id="631" w:name="_Toc5454"/>
      <w:bookmarkStart w:id="632" w:name="_Toc7483"/>
      <w:bookmarkStart w:id="633" w:name="_Toc29465"/>
      <w:r>
        <w:rPr>
          <w:rFonts w:hint="default" w:ascii="Times New Roman" w:hAnsi="Times New Roman" w:eastAsia="楷体_GB2312" w:cs="Times New Roman"/>
          <w:b/>
          <w:bCs w:val="0"/>
          <w:color w:val="auto"/>
          <w:kern w:val="2"/>
          <w:sz w:val="32"/>
          <w:szCs w:val="32"/>
          <w:highlight w:val="none"/>
          <w:lang w:val="en-US" w:eastAsia="zh-CN" w:bidi="ar-SA"/>
        </w:rPr>
        <w:t>促进科技成果应用</w:t>
      </w:r>
      <w:bookmarkEnd w:id="628"/>
      <w:bookmarkEnd w:id="631"/>
      <w:bookmarkEnd w:id="632"/>
      <w:bookmarkEnd w:id="633"/>
    </w:p>
    <w:p w14:paraId="4AAD38ED">
      <w:pPr>
        <w:bidi w:val="0"/>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color w:val="auto"/>
          <w:sz w:val="32"/>
          <w:szCs w:val="22"/>
          <w:highlight w:val="none"/>
          <w:lang w:val="en-US" w:eastAsia="zh-CN"/>
        </w:rPr>
        <w:t>精准对接产业发展需要，农牧业聚焦引进推广新品种、新装备，生态工业聚焦加强电力衍生科技应用，服务业聚焦科技赋能融合创新，推动先进成熟适用技术成果的广泛应用。建立健全适用技术推广服务体系，加大成果引进转化力度，实施一批新技术、新产品、新装备的产业化项目。深化产学研用协同创新，推动多元主体协同发力，支持高校、科研机构和企业联合共建实验基地，积极推进科技成果共享。建立健全科技成果转化工作机制，构建长效服务机制，鼓励成立专门从事科技成果转化的管理服务机构，布局建设通用性或行业性技术创新服务平台，提升技术市场信息公共服务。</w:t>
      </w:r>
    </w:p>
    <w:p w14:paraId="718ED27C">
      <w:pPr>
        <w:keepNext/>
        <w:widowControl w:val="0"/>
        <w:numPr>
          <w:ilvl w:val="0"/>
          <w:numId w:val="19"/>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634" w:name="_Toc507"/>
      <w:bookmarkStart w:id="635" w:name="_Toc1954"/>
      <w:bookmarkStart w:id="636" w:name="_Toc11739"/>
      <w:r>
        <w:rPr>
          <w:rFonts w:hint="default" w:ascii="Times New Roman" w:hAnsi="Times New Roman" w:eastAsia="楷体_GB2312" w:cs="Times New Roman"/>
          <w:b/>
          <w:bCs w:val="0"/>
          <w:color w:val="auto"/>
          <w:kern w:val="2"/>
          <w:sz w:val="32"/>
          <w:szCs w:val="32"/>
          <w:highlight w:val="none"/>
          <w:lang w:val="en-US" w:eastAsia="zh-CN" w:bidi="ar-SA"/>
        </w:rPr>
        <w:t>营造良好创新环境</w:t>
      </w:r>
      <w:bookmarkEnd w:id="634"/>
      <w:bookmarkEnd w:id="635"/>
      <w:bookmarkEnd w:id="636"/>
    </w:p>
    <w:p w14:paraId="50408EE7">
      <w:pPr>
        <w:bidi w:val="0"/>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color w:val="auto"/>
          <w:sz w:val="32"/>
          <w:szCs w:val="22"/>
          <w:highlight w:val="none"/>
          <w:lang w:val="en-US" w:eastAsia="zh-CN"/>
        </w:rPr>
        <w:t>推进创新创业服务平台建设，促进资源开放共享和高效利用，深入实施知识产权强企强县工程，营造支持创新创业创造的良好生态。优化创新转化政策环境，加快完善激励和保护创新的制度体系，围绕创新链梳理政策链、资金链、人才链，加强创新创业服务，推动创新政策与产业、土地、金融、人才等支持政策相衔接，构建有利于创新发展的政策环境。完善政府采购制度，加大政府采购对创新成果产业化的支持力度，积极探索试行创新产品与服务远期约定政府购买制度。</w:t>
      </w:r>
    </w:p>
    <w:p w14:paraId="596E2692">
      <w:pPr>
        <w:bidi w:val="0"/>
        <w:rPr>
          <w:rFonts w:hint="default" w:ascii="Times New Roman" w:hAnsi="Times New Roman" w:cs="Times New Roman"/>
          <w:color w:val="auto"/>
          <w:highlight w:val="none"/>
          <w:lang w:val="en-US" w:eastAsia="zh-CN"/>
        </w:rPr>
        <w:sectPr>
          <w:pgSz w:w="11906" w:h="16838"/>
          <w:pgMar w:top="2098" w:right="1474" w:bottom="1984" w:left="1587" w:header="851" w:footer="992" w:gutter="0"/>
          <w:pgNumType w:fmt="numberInDash"/>
          <w:cols w:space="0" w:num="1"/>
          <w:rtlGutter w:val="0"/>
          <w:docGrid w:type="lines" w:linePitch="439" w:charSpace="0"/>
        </w:sectPr>
      </w:pPr>
    </w:p>
    <w:p w14:paraId="71E98D5F">
      <w:pPr>
        <w:keepNext w:val="0"/>
        <w:keepLines w:val="0"/>
        <w:pageBreakBefore w:val="0"/>
        <w:widowControl w:val="0"/>
        <w:numPr>
          <w:ilvl w:val="0"/>
          <w:numId w:val="3"/>
        </w:numPr>
        <w:kinsoku/>
        <w:wordWrap/>
        <w:overflowPunct/>
        <w:topLinePunct w:val="0"/>
        <w:autoSpaceDE/>
        <w:autoSpaceDN/>
        <w:bidi w:val="0"/>
        <w:adjustRightInd/>
        <w:snapToGrid w:val="0"/>
        <w:spacing w:before="313" w:beforeLines="100" w:after="313" w:afterLines="100" w:line="560" w:lineRule="exact"/>
        <w:ind w:left="0" w:leftChars="0" w:firstLine="0" w:firstLineChars="0"/>
        <w:jc w:val="center"/>
        <w:textAlignment w:val="auto"/>
        <w:outlineLvl w:val="0"/>
        <w:rPr>
          <w:rFonts w:hint="default" w:ascii="Times New Roman" w:hAnsi="Times New Roman" w:eastAsia="方正小标宋简体" w:cs="Times New Roman"/>
          <w:color w:val="auto"/>
          <w:kern w:val="2"/>
          <w:sz w:val="36"/>
          <w:szCs w:val="22"/>
          <w:highlight w:val="none"/>
          <w:lang w:val="en-US" w:eastAsia="zh-CN" w:bidi="ar-SA"/>
        </w:rPr>
      </w:pPr>
      <w:r>
        <w:rPr>
          <w:rFonts w:hint="default" w:ascii="Times New Roman" w:hAnsi="Times New Roman" w:eastAsia="方正小标宋简体" w:cs="Times New Roman"/>
          <w:color w:val="auto"/>
          <w:kern w:val="2"/>
          <w:sz w:val="36"/>
          <w:szCs w:val="22"/>
          <w:highlight w:val="none"/>
          <w:lang w:val="en-US" w:eastAsia="zh-CN" w:bidi="ar-SA"/>
        </w:rPr>
        <w:t xml:space="preserve"> </w:t>
      </w:r>
      <w:bookmarkStart w:id="637" w:name="_Toc13307"/>
      <w:bookmarkStart w:id="638" w:name="_Toc735"/>
      <w:bookmarkStart w:id="639" w:name="_Toc20100"/>
      <w:bookmarkStart w:id="640" w:name="_Toc6825"/>
      <w:r>
        <w:rPr>
          <w:rFonts w:hint="default" w:ascii="Times New Roman" w:hAnsi="Times New Roman" w:eastAsia="方正小标宋简体" w:cs="Times New Roman"/>
          <w:color w:val="auto"/>
          <w:kern w:val="2"/>
          <w:sz w:val="44"/>
          <w:szCs w:val="44"/>
          <w:highlight w:val="none"/>
          <w:lang w:val="en-US" w:eastAsia="zh-CN" w:bidi="ar-SA"/>
        </w:rPr>
        <w:t>推行社会治理精细举措，维护安定团结稳定大局</w:t>
      </w:r>
      <w:bookmarkEnd w:id="637"/>
      <w:bookmarkEnd w:id="638"/>
      <w:bookmarkEnd w:id="639"/>
      <w:bookmarkEnd w:id="640"/>
    </w:p>
    <w:p w14:paraId="3D4C528B">
      <w:pPr>
        <w:bidi w:val="0"/>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color w:val="auto"/>
          <w:sz w:val="32"/>
          <w:szCs w:val="22"/>
          <w:highlight w:val="none"/>
          <w:lang w:val="en-US" w:eastAsia="zh-CN"/>
        </w:rPr>
        <w:t>统筹发展和安全，全面贯彻总体国家安全观，增进民族团结，促进宗教和睦，牢固掌握反分裂斗争的主动权，统筹做好保安全、防风险、守底线工作，提高防范和抵御安全风险能力，维护国家政治安全和社会长治久安。</w:t>
      </w:r>
    </w:p>
    <w:p w14:paraId="3B898AD8">
      <w:pPr>
        <w:keepNext/>
        <w:widowControl w:val="0"/>
        <w:numPr>
          <w:ilvl w:val="0"/>
          <w:numId w:val="1"/>
        </w:numPr>
        <w:bidi w:val="0"/>
        <w:snapToGrid w:val="0"/>
        <w:spacing w:before="100" w:beforeLines="100" w:after="100" w:afterLines="100" w:line="560" w:lineRule="exact"/>
        <w:ind w:left="0" w:leftChars="0" w:firstLine="0" w:firstLineChars="0"/>
        <w:jc w:val="center"/>
        <w:outlineLvl w:val="1"/>
        <w:rPr>
          <w:rFonts w:hint="default" w:ascii="Times New Roman" w:hAnsi="Times New Roman" w:eastAsia="黑体" w:cs="Times New Roman"/>
          <w:color w:val="auto"/>
          <w:kern w:val="2"/>
          <w:sz w:val="32"/>
          <w:szCs w:val="24"/>
          <w:highlight w:val="none"/>
          <w:lang w:val="en-US" w:eastAsia="zh-CN" w:bidi="ar-SA"/>
        </w:rPr>
      </w:pPr>
      <w:r>
        <w:rPr>
          <w:rFonts w:hint="default" w:ascii="Times New Roman" w:hAnsi="Times New Roman" w:eastAsia="黑体" w:cs="Times New Roman"/>
          <w:color w:val="auto"/>
          <w:kern w:val="2"/>
          <w:sz w:val="32"/>
          <w:szCs w:val="24"/>
          <w:highlight w:val="none"/>
          <w:lang w:val="en-US" w:eastAsia="zh-CN" w:bidi="ar-SA"/>
        </w:rPr>
        <w:t xml:space="preserve"> </w:t>
      </w:r>
      <w:bookmarkStart w:id="641" w:name="_Toc10493"/>
      <w:bookmarkStart w:id="642" w:name="_Toc1964"/>
      <w:bookmarkStart w:id="643" w:name="_Toc10735"/>
      <w:bookmarkStart w:id="644" w:name="_Toc26754"/>
      <w:r>
        <w:rPr>
          <w:rFonts w:hint="default" w:ascii="Times New Roman" w:hAnsi="Times New Roman" w:eastAsia="黑体" w:cs="Times New Roman"/>
          <w:color w:val="auto"/>
          <w:kern w:val="2"/>
          <w:sz w:val="32"/>
          <w:szCs w:val="24"/>
          <w:highlight w:val="none"/>
          <w:lang w:val="en-US" w:eastAsia="zh-CN" w:bidi="ar-SA"/>
        </w:rPr>
        <w:fldChar w:fldCharType="begin"/>
      </w:r>
      <w:r>
        <w:rPr>
          <w:rFonts w:hint="default" w:ascii="Times New Roman" w:hAnsi="Times New Roman" w:eastAsia="黑体" w:cs="Times New Roman"/>
          <w:color w:val="auto"/>
          <w:kern w:val="2"/>
          <w:sz w:val="32"/>
          <w:szCs w:val="24"/>
          <w:highlight w:val="none"/>
          <w:lang w:val="en-US" w:eastAsia="zh-CN" w:bidi="ar-SA"/>
        </w:rPr>
        <w:instrText xml:space="preserve"> HYPERLINK \l _Toc223 </w:instrText>
      </w:r>
      <w:r>
        <w:rPr>
          <w:rFonts w:hint="default" w:ascii="Times New Roman" w:hAnsi="Times New Roman" w:eastAsia="黑体" w:cs="Times New Roman"/>
          <w:color w:val="auto"/>
          <w:kern w:val="2"/>
          <w:sz w:val="32"/>
          <w:szCs w:val="24"/>
          <w:highlight w:val="none"/>
          <w:lang w:val="en-US" w:eastAsia="zh-CN" w:bidi="ar-SA"/>
        </w:rPr>
        <w:fldChar w:fldCharType="separate"/>
      </w:r>
      <w:r>
        <w:rPr>
          <w:rFonts w:hint="default" w:ascii="Times New Roman" w:hAnsi="Times New Roman" w:eastAsia="黑体" w:cs="Times New Roman"/>
          <w:color w:val="auto"/>
          <w:kern w:val="2"/>
          <w:sz w:val="32"/>
          <w:szCs w:val="24"/>
          <w:highlight w:val="none"/>
          <w:lang w:val="en-US" w:eastAsia="zh-CN" w:bidi="ar-SA"/>
        </w:rPr>
        <w:fldChar w:fldCharType="begin"/>
      </w:r>
      <w:r>
        <w:rPr>
          <w:rFonts w:hint="default" w:ascii="Times New Roman" w:hAnsi="Times New Roman" w:eastAsia="黑体" w:cs="Times New Roman"/>
          <w:color w:val="auto"/>
          <w:kern w:val="2"/>
          <w:sz w:val="32"/>
          <w:szCs w:val="24"/>
          <w:highlight w:val="none"/>
          <w:lang w:val="en-US" w:eastAsia="zh-CN" w:bidi="ar-SA"/>
        </w:rPr>
        <w:instrText xml:space="preserve"> HYPERLINK \l _Toc1391 </w:instrText>
      </w:r>
      <w:r>
        <w:rPr>
          <w:rFonts w:hint="default" w:ascii="Times New Roman" w:hAnsi="Times New Roman" w:eastAsia="黑体" w:cs="Times New Roman"/>
          <w:color w:val="auto"/>
          <w:kern w:val="2"/>
          <w:sz w:val="32"/>
          <w:szCs w:val="24"/>
          <w:highlight w:val="none"/>
          <w:lang w:val="en-US" w:eastAsia="zh-CN" w:bidi="ar-SA"/>
        </w:rPr>
        <w:fldChar w:fldCharType="separate"/>
      </w:r>
      <w:r>
        <w:rPr>
          <w:rFonts w:hint="default" w:ascii="Times New Roman" w:hAnsi="Times New Roman" w:eastAsia="黑体" w:cs="Times New Roman"/>
          <w:color w:val="auto"/>
          <w:kern w:val="2"/>
          <w:sz w:val="32"/>
          <w:szCs w:val="24"/>
          <w:highlight w:val="none"/>
          <w:lang w:val="en-US" w:eastAsia="zh-CN" w:bidi="ar-SA"/>
        </w:rPr>
        <w:t>铸牢中华民族共同体意识</w:t>
      </w:r>
      <w:r>
        <w:rPr>
          <w:rFonts w:hint="default" w:ascii="Times New Roman" w:hAnsi="Times New Roman" w:eastAsia="黑体" w:cs="Times New Roman"/>
          <w:color w:val="auto"/>
          <w:kern w:val="2"/>
          <w:sz w:val="32"/>
          <w:szCs w:val="24"/>
          <w:highlight w:val="none"/>
          <w:lang w:val="en-US" w:eastAsia="zh-CN" w:bidi="ar-SA"/>
        </w:rPr>
        <w:fldChar w:fldCharType="end"/>
      </w:r>
      <w:r>
        <w:rPr>
          <w:rFonts w:hint="default" w:ascii="Times New Roman" w:hAnsi="Times New Roman" w:eastAsia="黑体" w:cs="Times New Roman"/>
          <w:color w:val="auto"/>
          <w:kern w:val="2"/>
          <w:sz w:val="32"/>
          <w:szCs w:val="24"/>
          <w:highlight w:val="none"/>
          <w:lang w:val="en-US" w:eastAsia="zh-CN" w:bidi="ar-SA"/>
        </w:rPr>
        <w:fldChar w:fldCharType="end"/>
      </w:r>
      <w:bookmarkEnd w:id="641"/>
      <w:bookmarkEnd w:id="642"/>
      <w:bookmarkEnd w:id="643"/>
      <w:bookmarkEnd w:id="644"/>
    </w:p>
    <w:p w14:paraId="22060817">
      <w:pPr>
        <w:keepNext/>
        <w:widowControl w:val="0"/>
        <w:numPr>
          <w:ilvl w:val="0"/>
          <w:numId w:val="43"/>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645" w:name="_Toc22391"/>
      <w:bookmarkStart w:id="646" w:name="_Toc3821"/>
      <w:bookmarkStart w:id="647" w:name="_Toc5847"/>
      <w:bookmarkStart w:id="648" w:name="_Toc28729"/>
      <w:r>
        <w:rPr>
          <w:rFonts w:hint="default" w:ascii="Times New Roman" w:hAnsi="Times New Roman" w:eastAsia="楷体_GB2312" w:cs="Times New Roman"/>
          <w:b/>
          <w:bCs w:val="0"/>
          <w:color w:val="auto"/>
          <w:kern w:val="2"/>
          <w:sz w:val="32"/>
          <w:szCs w:val="32"/>
          <w:highlight w:val="none"/>
          <w:lang w:val="en-US" w:eastAsia="zh-CN" w:bidi="ar-SA"/>
        </w:rPr>
        <w:t>促进民族团结进步</w:t>
      </w:r>
      <w:bookmarkEnd w:id="645"/>
      <w:bookmarkEnd w:id="646"/>
      <w:bookmarkEnd w:id="647"/>
      <w:bookmarkEnd w:id="648"/>
    </w:p>
    <w:p w14:paraId="60C8ED4C">
      <w:pPr>
        <w:bidi w:val="0"/>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color w:val="auto"/>
          <w:sz w:val="32"/>
          <w:szCs w:val="22"/>
          <w:highlight w:val="none"/>
          <w:lang w:val="en-US" w:eastAsia="zh-CN"/>
        </w:rPr>
        <w:t>坚持以铸牢中华民族共同体意识为主线，坚定不移走中国特色解决民族问题的正确道路，不断巩固提升全国民族团结进步示范县成果，广泛深入持久开展铸牢中华民族共同体意识创建活动，将民族团结融入各行各业工作中，深入推进“石榴花开·美丽阿坝”十大行动，持续抓实“三项计划”，全面促进各民族交往交流交融，推进铸牢中华民族共同体意识实践基地建设，打造一批少数民族特色村寨、民族团结进步示范村（社区）和民族团结进步创建示范单位，构建各民族共有精神家园，不断巩固和发展平等团结互助和谐的社会主义民族关系，推动党的民族工作高质量发展。</w:t>
      </w:r>
    </w:p>
    <w:p w14:paraId="60567497">
      <w:pPr>
        <w:keepNext/>
        <w:widowControl w:val="0"/>
        <w:numPr>
          <w:ilvl w:val="0"/>
          <w:numId w:val="43"/>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649" w:name="_Toc27045"/>
      <w:bookmarkStart w:id="650" w:name="_Toc11234"/>
      <w:bookmarkStart w:id="651" w:name="_Toc1417"/>
      <w:bookmarkStart w:id="652" w:name="_Toc28820"/>
      <w:r>
        <w:rPr>
          <w:rFonts w:hint="default" w:ascii="Times New Roman" w:hAnsi="Times New Roman" w:eastAsia="楷体_GB2312" w:cs="Times New Roman"/>
          <w:b/>
          <w:bCs w:val="0"/>
          <w:color w:val="auto"/>
          <w:kern w:val="2"/>
          <w:sz w:val="32"/>
          <w:szCs w:val="32"/>
          <w:highlight w:val="none"/>
          <w:lang w:val="en-US" w:eastAsia="zh-CN" w:bidi="ar-SA"/>
        </w:rPr>
        <w:t>依法管理宗教事务</w:t>
      </w:r>
      <w:bookmarkEnd w:id="649"/>
      <w:bookmarkEnd w:id="650"/>
      <w:bookmarkEnd w:id="651"/>
      <w:bookmarkEnd w:id="652"/>
    </w:p>
    <w:p w14:paraId="29B637C1">
      <w:pPr>
        <w:bidi w:val="0"/>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color w:val="auto"/>
          <w:sz w:val="32"/>
          <w:szCs w:val="22"/>
          <w:highlight w:val="none"/>
          <w:lang w:val="en-US" w:eastAsia="zh-CN"/>
        </w:rPr>
        <w:t>全面贯彻新时代党的宗教工作方针政策，坚持我国宗教中国化方向，积极引导宗教与社会主义社会相适应。持续加强党对宗教工作的集中统一领导，深化干部+僧人寺庙“微网实格”管理服务体系建设。深入推进“一寺一策”依法规范管理，依法整治宗教领域乱象，完善教职人员、宗教场所、宗教活动、财税监管等管理制度。</w:t>
      </w:r>
      <w:r>
        <w:rPr>
          <w:rFonts w:hint="eastAsia" w:cs="Times New Roman"/>
          <w:color w:val="auto"/>
          <w:sz w:val="32"/>
          <w:szCs w:val="22"/>
          <w:highlight w:val="none"/>
          <w:lang w:val="en-US" w:eastAsia="zh-CN"/>
        </w:rPr>
        <w:t>巩固深化</w:t>
      </w:r>
      <w:r>
        <w:rPr>
          <w:rFonts w:hint="default" w:ascii="Times New Roman" w:hAnsi="Times New Roman" w:eastAsia="仿宋_GB2312" w:cs="Times New Roman"/>
          <w:color w:val="auto"/>
          <w:sz w:val="32"/>
          <w:szCs w:val="22"/>
          <w:highlight w:val="none"/>
          <w:lang w:val="en-US" w:eastAsia="zh-CN"/>
        </w:rPr>
        <w:t>“联心同行”行动，加大对宗教界代表人士的发现、培养、任用，弘扬爱国爱教光荣传统，引导寺庙僧尼、信教群众感党恩、听党话、跟党走。积极落实惠寺利僧政策，完善提升寺庙公共服务基础设施，推动公共服务进寺庙，确保困难僧尼医保、低保等社会保障应保尽保。依托四川藏语佛学院阿坝分院培育社会主义新型僧才。</w:t>
      </w:r>
    </w:p>
    <w:p w14:paraId="54EE1C01">
      <w:pPr>
        <w:keepNext/>
        <w:widowControl w:val="0"/>
        <w:numPr>
          <w:ilvl w:val="0"/>
          <w:numId w:val="1"/>
        </w:numPr>
        <w:bidi w:val="0"/>
        <w:snapToGrid w:val="0"/>
        <w:spacing w:before="100" w:beforeLines="100" w:after="100" w:afterLines="100" w:line="560" w:lineRule="exact"/>
        <w:ind w:left="0" w:leftChars="0" w:firstLine="0" w:firstLineChars="0"/>
        <w:jc w:val="center"/>
        <w:outlineLvl w:val="1"/>
        <w:rPr>
          <w:rFonts w:hint="default" w:ascii="Times New Roman" w:hAnsi="Times New Roman" w:eastAsia="黑体" w:cs="Times New Roman"/>
          <w:color w:val="auto"/>
          <w:kern w:val="2"/>
          <w:sz w:val="32"/>
          <w:szCs w:val="24"/>
          <w:highlight w:val="none"/>
          <w:lang w:val="en-US" w:eastAsia="zh-CN" w:bidi="ar-SA"/>
        </w:rPr>
      </w:pPr>
      <w:r>
        <w:rPr>
          <w:rFonts w:hint="default" w:ascii="Times New Roman" w:hAnsi="Times New Roman" w:eastAsia="黑体" w:cs="Times New Roman"/>
          <w:color w:val="auto"/>
          <w:kern w:val="2"/>
          <w:sz w:val="32"/>
          <w:szCs w:val="24"/>
          <w:highlight w:val="none"/>
          <w:lang w:val="en-US" w:eastAsia="zh-CN" w:bidi="ar-SA"/>
        </w:rPr>
        <w:t xml:space="preserve"> </w:t>
      </w:r>
      <w:bookmarkStart w:id="653" w:name="_Toc17932"/>
      <w:bookmarkStart w:id="654" w:name="_Toc25809"/>
      <w:bookmarkStart w:id="655" w:name="_Toc7210"/>
      <w:bookmarkStart w:id="656" w:name="_Toc2646"/>
      <w:r>
        <w:rPr>
          <w:rFonts w:hint="default" w:ascii="Times New Roman" w:hAnsi="Times New Roman" w:eastAsia="黑体" w:cs="Times New Roman"/>
          <w:color w:val="auto"/>
          <w:kern w:val="2"/>
          <w:sz w:val="32"/>
          <w:szCs w:val="24"/>
          <w:highlight w:val="none"/>
          <w:lang w:val="en-US" w:eastAsia="zh-CN" w:bidi="ar-SA"/>
        </w:rPr>
        <w:fldChar w:fldCharType="begin"/>
      </w:r>
      <w:r>
        <w:rPr>
          <w:rFonts w:hint="default" w:ascii="Times New Roman" w:hAnsi="Times New Roman" w:eastAsia="黑体" w:cs="Times New Roman"/>
          <w:color w:val="auto"/>
          <w:kern w:val="2"/>
          <w:sz w:val="32"/>
          <w:szCs w:val="24"/>
          <w:highlight w:val="none"/>
          <w:lang w:val="en-US" w:eastAsia="zh-CN" w:bidi="ar-SA"/>
        </w:rPr>
        <w:instrText xml:space="preserve"> HYPERLINK \l _Toc223 </w:instrText>
      </w:r>
      <w:r>
        <w:rPr>
          <w:rFonts w:hint="default" w:ascii="Times New Roman" w:hAnsi="Times New Roman" w:eastAsia="黑体" w:cs="Times New Roman"/>
          <w:color w:val="auto"/>
          <w:kern w:val="2"/>
          <w:sz w:val="32"/>
          <w:szCs w:val="24"/>
          <w:highlight w:val="none"/>
          <w:lang w:val="en-US" w:eastAsia="zh-CN" w:bidi="ar-SA"/>
        </w:rPr>
        <w:fldChar w:fldCharType="separate"/>
      </w:r>
      <w:r>
        <w:rPr>
          <w:rFonts w:hint="default" w:ascii="Times New Roman" w:hAnsi="Times New Roman" w:eastAsia="黑体" w:cs="Times New Roman"/>
          <w:color w:val="auto"/>
          <w:kern w:val="2"/>
          <w:sz w:val="32"/>
          <w:szCs w:val="24"/>
          <w:highlight w:val="none"/>
          <w:lang w:val="en-US" w:eastAsia="zh-CN" w:bidi="ar-SA"/>
        </w:rPr>
        <w:fldChar w:fldCharType="begin"/>
      </w:r>
      <w:r>
        <w:rPr>
          <w:rFonts w:hint="default" w:ascii="Times New Roman" w:hAnsi="Times New Roman" w:eastAsia="黑体" w:cs="Times New Roman"/>
          <w:color w:val="auto"/>
          <w:kern w:val="2"/>
          <w:sz w:val="32"/>
          <w:szCs w:val="24"/>
          <w:highlight w:val="none"/>
          <w:lang w:val="en-US" w:eastAsia="zh-CN" w:bidi="ar-SA"/>
        </w:rPr>
        <w:instrText xml:space="preserve"> HYPERLINK \l _Toc1391 </w:instrText>
      </w:r>
      <w:r>
        <w:rPr>
          <w:rFonts w:hint="default" w:ascii="Times New Roman" w:hAnsi="Times New Roman" w:eastAsia="黑体" w:cs="Times New Roman"/>
          <w:color w:val="auto"/>
          <w:kern w:val="2"/>
          <w:sz w:val="32"/>
          <w:szCs w:val="24"/>
          <w:highlight w:val="none"/>
          <w:lang w:val="en-US" w:eastAsia="zh-CN" w:bidi="ar-SA"/>
        </w:rPr>
        <w:fldChar w:fldCharType="separate"/>
      </w:r>
      <w:r>
        <w:rPr>
          <w:rFonts w:hint="default" w:ascii="Times New Roman" w:hAnsi="Times New Roman" w:eastAsia="黑体" w:cs="Times New Roman"/>
          <w:color w:val="auto"/>
          <w:kern w:val="2"/>
          <w:sz w:val="32"/>
          <w:szCs w:val="24"/>
          <w:highlight w:val="none"/>
          <w:lang w:val="en-US" w:eastAsia="zh-CN" w:bidi="ar-SA"/>
        </w:rPr>
        <w:t>深入推进依法治县</w:t>
      </w:r>
      <w:r>
        <w:rPr>
          <w:rFonts w:hint="default" w:ascii="Times New Roman" w:hAnsi="Times New Roman" w:eastAsia="黑体" w:cs="Times New Roman"/>
          <w:color w:val="auto"/>
          <w:kern w:val="2"/>
          <w:sz w:val="32"/>
          <w:szCs w:val="24"/>
          <w:highlight w:val="none"/>
          <w:lang w:val="en-US" w:eastAsia="zh-CN" w:bidi="ar-SA"/>
        </w:rPr>
        <w:fldChar w:fldCharType="end"/>
      </w:r>
      <w:r>
        <w:rPr>
          <w:rFonts w:hint="default" w:ascii="Times New Roman" w:hAnsi="Times New Roman" w:eastAsia="黑体" w:cs="Times New Roman"/>
          <w:color w:val="auto"/>
          <w:kern w:val="2"/>
          <w:sz w:val="32"/>
          <w:szCs w:val="24"/>
          <w:highlight w:val="none"/>
          <w:lang w:val="en-US" w:eastAsia="zh-CN" w:bidi="ar-SA"/>
        </w:rPr>
        <w:fldChar w:fldCharType="end"/>
      </w:r>
      <w:bookmarkEnd w:id="653"/>
      <w:bookmarkEnd w:id="654"/>
      <w:bookmarkEnd w:id="655"/>
      <w:bookmarkEnd w:id="656"/>
    </w:p>
    <w:p w14:paraId="53E95748">
      <w:pPr>
        <w:keepNext/>
        <w:widowControl w:val="0"/>
        <w:numPr>
          <w:ilvl w:val="0"/>
          <w:numId w:val="44"/>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657" w:name="_Toc20183"/>
      <w:bookmarkStart w:id="658" w:name="_Toc12717"/>
      <w:bookmarkStart w:id="659" w:name="_Toc463"/>
      <w:bookmarkStart w:id="660" w:name="_Toc13583"/>
      <w:r>
        <w:rPr>
          <w:rFonts w:hint="default" w:ascii="Times New Roman" w:hAnsi="Times New Roman" w:eastAsia="楷体_GB2312" w:cs="Times New Roman"/>
          <w:b/>
          <w:bCs w:val="0"/>
          <w:color w:val="auto"/>
          <w:kern w:val="2"/>
          <w:sz w:val="32"/>
          <w:szCs w:val="32"/>
          <w:highlight w:val="none"/>
          <w:lang w:val="en-US" w:eastAsia="zh-CN" w:bidi="ar-SA"/>
        </w:rPr>
        <w:t>持续推进法治政府建设</w:t>
      </w:r>
      <w:bookmarkEnd w:id="657"/>
      <w:bookmarkEnd w:id="658"/>
      <w:bookmarkEnd w:id="659"/>
      <w:bookmarkEnd w:id="660"/>
    </w:p>
    <w:p w14:paraId="09E6EAD8">
      <w:pPr>
        <w:bidi w:val="0"/>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color w:val="auto"/>
          <w:sz w:val="32"/>
          <w:szCs w:val="22"/>
          <w:highlight w:val="none"/>
          <w:lang w:val="en-US" w:eastAsia="zh-CN"/>
        </w:rPr>
        <w:t>严格执行重大行政决策程序，提升科学民主依法决策水平。持续做好行政规范性文件合法性审核、备案审查和清理工作，完善法律顾问、公职律师参与重大决策、合法性审查、府院联席会议等工作机制。深化完善权责清晰、运转顺畅、保障有力、廉洁高效的行政执法体制机制，大力提升行政执法执行力和公信力，持续深入推进严格规范公正文明执法。加强数字法治政府建设，持续提升网上政务服务水平，深入推进“互联网+监管”工作。组织开展法治政府建设督察工作。深化乡镇综合行政执法体制改革，加快推进行政执法权限和力量向基层延伸和下沉。</w:t>
      </w:r>
    </w:p>
    <w:p w14:paraId="6D4FEFD8">
      <w:pPr>
        <w:keepNext/>
        <w:widowControl w:val="0"/>
        <w:numPr>
          <w:ilvl w:val="0"/>
          <w:numId w:val="44"/>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661" w:name="_Toc11905"/>
      <w:bookmarkStart w:id="662" w:name="_Toc25932"/>
      <w:bookmarkStart w:id="663" w:name="_Toc21603"/>
      <w:bookmarkStart w:id="664" w:name="_Toc12182"/>
      <w:r>
        <w:rPr>
          <w:rFonts w:hint="default" w:ascii="Times New Roman" w:hAnsi="Times New Roman" w:eastAsia="楷体_GB2312" w:cs="Times New Roman"/>
          <w:b/>
          <w:bCs w:val="0"/>
          <w:color w:val="auto"/>
          <w:kern w:val="2"/>
          <w:sz w:val="32"/>
          <w:szCs w:val="32"/>
          <w:highlight w:val="none"/>
          <w:lang w:val="en-US" w:eastAsia="zh-CN" w:bidi="ar-SA"/>
        </w:rPr>
        <w:t>规范提升公共法律服务</w:t>
      </w:r>
      <w:bookmarkEnd w:id="661"/>
      <w:bookmarkEnd w:id="662"/>
      <w:bookmarkEnd w:id="663"/>
      <w:bookmarkEnd w:id="664"/>
    </w:p>
    <w:p w14:paraId="0B13D107">
      <w:pPr>
        <w:bidi w:val="0"/>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color w:val="auto"/>
          <w:sz w:val="32"/>
          <w:szCs w:val="22"/>
          <w:highlight w:val="none"/>
          <w:lang w:val="en-US" w:eastAsia="zh-CN"/>
        </w:rPr>
        <w:t>不断优化提升法治服务供给体系，整合各类服务资源进驻公共法律服务中心，为人民群众提供综合性一站式公共法律服务。推进司法行政服务智慧化、便民化建设。有序推进刑事案件律师辩护全覆盖工作，扩大民事法律援助范围。加强公共法律服务行业监督管理，开展重点领域规范治理，不断提升公共法律服务质量和公信力。</w:t>
      </w:r>
    </w:p>
    <w:p w14:paraId="073C8881">
      <w:pPr>
        <w:keepNext/>
        <w:widowControl w:val="0"/>
        <w:numPr>
          <w:ilvl w:val="0"/>
          <w:numId w:val="44"/>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665" w:name="_Toc25422"/>
      <w:bookmarkStart w:id="666" w:name="_Toc23533"/>
      <w:bookmarkStart w:id="667" w:name="_Toc12016"/>
      <w:bookmarkStart w:id="668" w:name="_Toc10510"/>
      <w:r>
        <w:rPr>
          <w:rFonts w:hint="default" w:ascii="Times New Roman" w:hAnsi="Times New Roman" w:eastAsia="楷体_GB2312" w:cs="Times New Roman"/>
          <w:b/>
          <w:bCs w:val="0"/>
          <w:color w:val="auto"/>
          <w:kern w:val="2"/>
          <w:sz w:val="32"/>
          <w:szCs w:val="32"/>
          <w:highlight w:val="none"/>
          <w:lang w:val="en-US" w:eastAsia="zh-CN" w:bidi="ar-SA"/>
        </w:rPr>
        <w:t>深入开展普法宣传教育</w:t>
      </w:r>
      <w:bookmarkEnd w:id="665"/>
      <w:bookmarkEnd w:id="666"/>
      <w:bookmarkEnd w:id="667"/>
      <w:bookmarkEnd w:id="668"/>
    </w:p>
    <w:p w14:paraId="555652BB">
      <w:pPr>
        <w:bidi w:val="0"/>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color w:val="auto"/>
          <w:sz w:val="32"/>
          <w:szCs w:val="22"/>
          <w:highlight w:val="none"/>
          <w:lang w:val="en-US" w:eastAsia="zh-CN"/>
        </w:rPr>
        <w:t>严格落实“谁执法谁普法、谁管理谁普法、谁服务谁普法”的普法责任制，深入开展“九五”普法和“法律七进”。完善全媒体公益普法机制，探索普法宣传的新媒体路径，创新以案释法、“互联网+普法”等普法形式，引导群众自觉守法、遇事找法、解决问题靠法。实施“法律明白人”培养工程，充分发挥“法律明白人”在基层普法及依法治理中的“带头人”作用。加强法治文化阵地和青少年法治教育基地建设，积极推进基层法治示范建设。</w:t>
      </w:r>
    </w:p>
    <w:p w14:paraId="1FF1A7C3">
      <w:pPr>
        <w:keepNext/>
        <w:widowControl w:val="0"/>
        <w:numPr>
          <w:ilvl w:val="0"/>
          <w:numId w:val="1"/>
        </w:numPr>
        <w:bidi w:val="0"/>
        <w:snapToGrid w:val="0"/>
        <w:spacing w:before="100" w:beforeLines="100" w:after="100" w:afterLines="100" w:line="560" w:lineRule="exact"/>
        <w:ind w:left="0" w:leftChars="0" w:firstLine="0" w:firstLineChars="0"/>
        <w:jc w:val="center"/>
        <w:outlineLvl w:val="1"/>
        <w:rPr>
          <w:rFonts w:hint="default" w:ascii="Times New Roman" w:hAnsi="Times New Roman" w:eastAsia="黑体" w:cs="Times New Roman"/>
          <w:color w:val="auto"/>
          <w:kern w:val="2"/>
          <w:sz w:val="32"/>
          <w:szCs w:val="24"/>
          <w:highlight w:val="none"/>
          <w:lang w:val="en-US" w:eastAsia="zh-CN" w:bidi="ar-SA"/>
        </w:rPr>
      </w:pPr>
      <w:r>
        <w:rPr>
          <w:rFonts w:hint="default" w:ascii="Times New Roman" w:hAnsi="Times New Roman" w:eastAsia="黑体" w:cs="Times New Roman"/>
          <w:color w:val="auto"/>
          <w:kern w:val="2"/>
          <w:sz w:val="32"/>
          <w:szCs w:val="24"/>
          <w:highlight w:val="none"/>
          <w:lang w:val="en-US" w:eastAsia="zh-CN" w:bidi="ar-SA"/>
        </w:rPr>
        <w:t xml:space="preserve"> </w:t>
      </w:r>
      <w:bookmarkStart w:id="669" w:name="_Toc16427"/>
      <w:bookmarkStart w:id="670" w:name="_Toc5038"/>
      <w:bookmarkStart w:id="671" w:name="_Toc17339"/>
      <w:bookmarkStart w:id="672" w:name="_Toc6000"/>
      <w:r>
        <w:rPr>
          <w:rFonts w:hint="default" w:ascii="Times New Roman" w:hAnsi="Times New Roman" w:eastAsia="黑体" w:cs="Times New Roman"/>
          <w:color w:val="auto"/>
          <w:kern w:val="2"/>
          <w:sz w:val="32"/>
          <w:szCs w:val="24"/>
          <w:highlight w:val="none"/>
          <w:lang w:val="en-US" w:eastAsia="zh-CN" w:bidi="ar-SA"/>
        </w:rPr>
        <w:fldChar w:fldCharType="begin"/>
      </w:r>
      <w:r>
        <w:rPr>
          <w:rFonts w:hint="default" w:ascii="Times New Roman" w:hAnsi="Times New Roman" w:eastAsia="黑体" w:cs="Times New Roman"/>
          <w:color w:val="auto"/>
          <w:kern w:val="2"/>
          <w:sz w:val="32"/>
          <w:szCs w:val="24"/>
          <w:highlight w:val="none"/>
          <w:lang w:val="en-US" w:eastAsia="zh-CN" w:bidi="ar-SA"/>
        </w:rPr>
        <w:instrText xml:space="preserve"> HYPERLINK \l _Toc223 </w:instrText>
      </w:r>
      <w:r>
        <w:rPr>
          <w:rFonts w:hint="default" w:ascii="Times New Roman" w:hAnsi="Times New Roman" w:eastAsia="黑体" w:cs="Times New Roman"/>
          <w:color w:val="auto"/>
          <w:kern w:val="2"/>
          <w:sz w:val="32"/>
          <w:szCs w:val="24"/>
          <w:highlight w:val="none"/>
          <w:lang w:val="en-US" w:eastAsia="zh-CN" w:bidi="ar-SA"/>
        </w:rPr>
        <w:fldChar w:fldCharType="separate"/>
      </w:r>
      <w:r>
        <w:rPr>
          <w:rFonts w:hint="default" w:ascii="Times New Roman" w:hAnsi="Times New Roman" w:eastAsia="黑体" w:cs="Times New Roman"/>
          <w:color w:val="auto"/>
          <w:kern w:val="2"/>
          <w:sz w:val="32"/>
          <w:szCs w:val="24"/>
          <w:highlight w:val="none"/>
          <w:lang w:val="en-US" w:eastAsia="zh-CN" w:bidi="ar-SA"/>
        </w:rPr>
        <w:fldChar w:fldCharType="begin"/>
      </w:r>
      <w:r>
        <w:rPr>
          <w:rFonts w:hint="default" w:ascii="Times New Roman" w:hAnsi="Times New Roman" w:eastAsia="黑体" w:cs="Times New Roman"/>
          <w:color w:val="auto"/>
          <w:kern w:val="2"/>
          <w:sz w:val="32"/>
          <w:szCs w:val="24"/>
          <w:highlight w:val="none"/>
          <w:lang w:val="en-US" w:eastAsia="zh-CN" w:bidi="ar-SA"/>
        </w:rPr>
        <w:instrText xml:space="preserve"> HYPERLINK \l _Toc1391 </w:instrText>
      </w:r>
      <w:r>
        <w:rPr>
          <w:rFonts w:hint="default" w:ascii="Times New Roman" w:hAnsi="Times New Roman" w:eastAsia="黑体" w:cs="Times New Roman"/>
          <w:color w:val="auto"/>
          <w:kern w:val="2"/>
          <w:sz w:val="32"/>
          <w:szCs w:val="24"/>
          <w:highlight w:val="none"/>
          <w:lang w:val="en-US" w:eastAsia="zh-CN" w:bidi="ar-SA"/>
        </w:rPr>
        <w:fldChar w:fldCharType="separate"/>
      </w:r>
      <w:r>
        <w:rPr>
          <w:rFonts w:hint="default" w:ascii="Times New Roman" w:hAnsi="Times New Roman" w:eastAsia="黑体" w:cs="Times New Roman"/>
          <w:color w:val="auto"/>
          <w:kern w:val="2"/>
          <w:sz w:val="32"/>
          <w:szCs w:val="24"/>
          <w:highlight w:val="none"/>
          <w:lang w:val="en-US" w:eastAsia="zh-CN" w:bidi="ar-SA"/>
        </w:rPr>
        <w:t>完善基层治理</w:t>
      </w:r>
      <w:r>
        <w:rPr>
          <w:rFonts w:hint="default" w:ascii="Times New Roman" w:hAnsi="Times New Roman" w:eastAsia="黑体" w:cs="Times New Roman"/>
          <w:color w:val="auto"/>
          <w:kern w:val="2"/>
          <w:sz w:val="32"/>
          <w:szCs w:val="24"/>
          <w:highlight w:val="none"/>
          <w:lang w:val="en-US" w:eastAsia="zh-CN" w:bidi="ar-SA"/>
        </w:rPr>
        <w:fldChar w:fldCharType="end"/>
      </w:r>
      <w:r>
        <w:rPr>
          <w:rFonts w:hint="default" w:ascii="Times New Roman" w:hAnsi="Times New Roman" w:eastAsia="黑体" w:cs="Times New Roman"/>
          <w:color w:val="auto"/>
          <w:kern w:val="2"/>
          <w:sz w:val="32"/>
          <w:szCs w:val="24"/>
          <w:highlight w:val="none"/>
          <w:lang w:val="en-US" w:eastAsia="zh-CN" w:bidi="ar-SA"/>
        </w:rPr>
        <w:fldChar w:fldCharType="end"/>
      </w:r>
      <w:r>
        <w:rPr>
          <w:rFonts w:hint="default" w:ascii="Times New Roman" w:hAnsi="Times New Roman" w:eastAsia="黑体" w:cs="Times New Roman"/>
          <w:color w:val="auto"/>
          <w:kern w:val="2"/>
          <w:sz w:val="32"/>
          <w:szCs w:val="24"/>
          <w:highlight w:val="none"/>
          <w:lang w:val="en-US" w:eastAsia="zh-CN" w:bidi="ar-SA"/>
        </w:rPr>
        <w:t>体系</w:t>
      </w:r>
      <w:bookmarkEnd w:id="669"/>
      <w:bookmarkEnd w:id="670"/>
      <w:bookmarkEnd w:id="671"/>
      <w:bookmarkEnd w:id="672"/>
    </w:p>
    <w:p w14:paraId="06A1F8F3">
      <w:pPr>
        <w:keepNext/>
        <w:widowControl w:val="0"/>
        <w:numPr>
          <w:ilvl w:val="0"/>
          <w:numId w:val="45"/>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673" w:name="_Toc25568"/>
      <w:bookmarkStart w:id="674" w:name="_Toc14875"/>
      <w:bookmarkStart w:id="675" w:name="_Toc17016"/>
      <w:bookmarkStart w:id="676" w:name="_Toc23740"/>
      <w:r>
        <w:rPr>
          <w:rFonts w:hint="default" w:ascii="Times New Roman" w:hAnsi="Times New Roman" w:eastAsia="楷体_GB2312" w:cs="Times New Roman"/>
          <w:b/>
          <w:bCs w:val="0"/>
          <w:color w:val="auto"/>
          <w:kern w:val="2"/>
          <w:sz w:val="32"/>
          <w:szCs w:val="32"/>
          <w:highlight w:val="none"/>
          <w:lang w:val="en-US" w:eastAsia="zh-CN" w:bidi="ar-SA"/>
        </w:rPr>
        <w:t>强化基层组织治理</w:t>
      </w:r>
      <w:bookmarkEnd w:id="673"/>
      <w:bookmarkEnd w:id="674"/>
      <w:bookmarkEnd w:id="675"/>
      <w:bookmarkEnd w:id="676"/>
    </w:p>
    <w:p w14:paraId="207154AB">
      <w:pPr>
        <w:bidi w:val="0"/>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color w:val="auto"/>
          <w:sz w:val="32"/>
          <w:szCs w:val="22"/>
          <w:highlight w:val="none"/>
          <w:lang w:val="en-US" w:eastAsia="zh-CN"/>
        </w:rPr>
        <w:t>健全以基层党组织领导为核心的政治、法治、德治、自治、智治相结合的“一核五治、五治融合、多元共治”城乡基层治理体系，建强基层党组织。主动融入全州“千里党建走廊”示范建设，持续做优“藏羌走廊党建示范带”，开展“百乡千村好书记”培养计划，深化“1+2+N”村级组织治理体系，全面规范村党组织工作运行。推进农村、机关、“两新”等领域党支部标准化规范化实战化建设，推动党组织和各类组织建设、网格化管理有机融合、共同发展。</w:t>
      </w:r>
    </w:p>
    <w:p w14:paraId="7B83A509">
      <w:pPr>
        <w:keepNext/>
        <w:widowControl w:val="0"/>
        <w:numPr>
          <w:ilvl w:val="0"/>
          <w:numId w:val="45"/>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677" w:name="_Toc24147"/>
      <w:bookmarkStart w:id="678" w:name="_Toc22594"/>
      <w:bookmarkStart w:id="679" w:name="_Toc19988"/>
      <w:bookmarkStart w:id="680" w:name="_Toc17758"/>
      <w:r>
        <w:rPr>
          <w:rFonts w:hint="default" w:ascii="Times New Roman" w:hAnsi="Times New Roman" w:eastAsia="楷体_GB2312" w:cs="Times New Roman"/>
          <w:b/>
          <w:bCs w:val="0"/>
          <w:color w:val="auto"/>
          <w:kern w:val="2"/>
          <w:sz w:val="32"/>
          <w:szCs w:val="32"/>
          <w:highlight w:val="none"/>
          <w:lang w:val="en-US" w:eastAsia="zh-CN" w:bidi="ar-SA"/>
        </w:rPr>
        <w:t>防范化解社会矛盾</w:t>
      </w:r>
      <w:bookmarkEnd w:id="677"/>
      <w:bookmarkEnd w:id="678"/>
      <w:bookmarkEnd w:id="679"/>
      <w:bookmarkEnd w:id="680"/>
    </w:p>
    <w:p w14:paraId="7DAB8098">
      <w:pPr>
        <w:bidi w:val="0"/>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color w:val="auto"/>
          <w:sz w:val="32"/>
          <w:szCs w:val="22"/>
          <w:highlight w:val="none"/>
          <w:lang w:val="en-US" w:eastAsia="zh-CN"/>
        </w:rPr>
        <w:t>坚持和发展新时代“枫桥经验”“浦江经验”，加强县、乡（镇）两级综治中心规范化建设、实体化运行，推进“多中心合一、一中心多用”建设，综合运用“微网实格”治理体系，完善矛盾纠纷多元预防调处机制，做到“小事不出网格、中事不出村社、大事不出乡镇、矛盾不上交”。纵深推进“石榴籽”调解模式，构建“石榴籽+微网实格”联动机制，织密基层矛盾纠纷化解网络。扎实推进信访工作法治化，持续加强信访问题源头治理，畅通和规范群众诉求表达、利益协调、权益保障通道。拓宽群众参与社会治理路径，积极探索“五老”志愿者、律师等参与纠纷化解工作，打造共建共治共享的社会治理格局。</w:t>
      </w:r>
    </w:p>
    <w:p w14:paraId="17F825F0">
      <w:pPr>
        <w:keepNext/>
        <w:widowControl w:val="0"/>
        <w:numPr>
          <w:ilvl w:val="0"/>
          <w:numId w:val="1"/>
        </w:numPr>
        <w:bidi w:val="0"/>
        <w:snapToGrid w:val="0"/>
        <w:spacing w:before="100" w:beforeLines="100" w:after="100" w:afterLines="100" w:line="560" w:lineRule="exact"/>
        <w:ind w:left="0" w:leftChars="0" w:firstLine="0" w:firstLineChars="0"/>
        <w:jc w:val="center"/>
        <w:outlineLvl w:val="1"/>
        <w:rPr>
          <w:rFonts w:hint="default" w:ascii="Times New Roman" w:hAnsi="Times New Roman" w:eastAsia="黑体" w:cs="Times New Roman"/>
          <w:color w:val="auto"/>
          <w:kern w:val="2"/>
          <w:sz w:val="32"/>
          <w:szCs w:val="24"/>
          <w:highlight w:val="none"/>
          <w:lang w:val="en-US" w:eastAsia="zh-CN" w:bidi="ar-SA"/>
        </w:rPr>
      </w:pPr>
      <w:r>
        <w:rPr>
          <w:rFonts w:hint="default" w:ascii="Times New Roman" w:hAnsi="Times New Roman" w:eastAsia="黑体" w:cs="Times New Roman"/>
          <w:color w:val="auto"/>
          <w:kern w:val="2"/>
          <w:sz w:val="32"/>
          <w:szCs w:val="24"/>
          <w:highlight w:val="none"/>
          <w:lang w:val="en-US" w:eastAsia="zh-CN" w:bidi="ar-SA"/>
        </w:rPr>
        <w:t xml:space="preserve"> </w:t>
      </w:r>
      <w:bookmarkStart w:id="681" w:name="_Toc3568"/>
      <w:bookmarkStart w:id="682" w:name="_Toc2191"/>
      <w:bookmarkStart w:id="683" w:name="_Toc17602"/>
      <w:bookmarkStart w:id="684" w:name="_Toc31290"/>
      <w:r>
        <w:rPr>
          <w:rFonts w:hint="default" w:ascii="Times New Roman" w:hAnsi="Times New Roman" w:eastAsia="黑体" w:cs="Times New Roman"/>
          <w:color w:val="auto"/>
          <w:kern w:val="2"/>
          <w:sz w:val="32"/>
          <w:szCs w:val="24"/>
          <w:highlight w:val="none"/>
          <w:lang w:val="en-US" w:eastAsia="zh-CN" w:bidi="ar-SA"/>
        </w:rPr>
        <w:fldChar w:fldCharType="begin"/>
      </w:r>
      <w:r>
        <w:rPr>
          <w:rFonts w:hint="default" w:ascii="Times New Roman" w:hAnsi="Times New Roman" w:eastAsia="黑体" w:cs="Times New Roman"/>
          <w:color w:val="auto"/>
          <w:kern w:val="2"/>
          <w:sz w:val="32"/>
          <w:szCs w:val="24"/>
          <w:highlight w:val="none"/>
          <w:lang w:val="en-US" w:eastAsia="zh-CN" w:bidi="ar-SA"/>
        </w:rPr>
        <w:instrText xml:space="preserve"> HYPERLINK \l _Toc223 </w:instrText>
      </w:r>
      <w:r>
        <w:rPr>
          <w:rFonts w:hint="default" w:ascii="Times New Roman" w:hAnsi="Times New Roman" w:eastAsia="黑体" w:cs="Times New Roman"/>
          <w:color w:val="auto"/>
          <w:kern w:val="2"/>
          <w:sz w:val="32"/>
          <w:szCs w:val="24"/>
          <w:highlight w:val="none"/>
          <w:lang w:val="en-US" w:eastAsia="zh-CN" w:bidi="ar-SA"/>
        </w:rPr>
        <w:fldChar w:fldCharType="separate"/>
      </w:r>
      <w:r>
        <w:rPr>
          <w:rFonts w:hint="default" w:ascii="Times New Roman" w:hAnsi="Times New Roman" w:eastAsia="黑体" w:cs="Times New Roman"/>
          <w:color w:val="auto"/>
          <w:kern w:val="2"/>
          <w:sz w:val="32"/>
          <w:szCs w:val="24"/>
          <w:highlight w:val="none"/>
          <w:lang w:val="en-US" w:eastAsia="zh-CN" w:bidi="ar-SA"/>
        </w:rPr>
        <w:fldChar w:fldCharType="begin"/>
      </w:r>
      <w:r>
        <w:rPr>
          <w:rFonts w:hint="default" w:ascii="Times New Roman" w:hAnsi="Times New Roman" w:eastAsia="黑体" w:cs="Times New Roman"/>
          <w:color w:val="auto"/>
          <w:kern w:val="2"/>
          <w:sz w:val="32"/>
          <w:szCs w:val="24"/>
          <w:highlight w:val="none"/>
          <w:lang w:val="en-US" w:eastAsia="zh-CN" w:bidi="ar-SA"/>
        </w:rPr>
        <w:instrText xml:space="preserve"> HYPERLINK \l _Toc1391 </w:instrText>
      </w:r>
      <w:r>
        <w:rPr>
          <w:rFonts w:hint="default" w:ascii="Times New Roman" w:hAnsi="Times New Roman" w:eastAsia="黑体" w:cs="Times New Roman"/>
          <w:color w:val="auto"/>
          <w:kern w:val="2"/>
          <w:sz w:val="32"/>
          <w:szCs w:val="24"/>
          <w:highlight w:val="none"/>
          <w:lang w:val="en-US" w:eastAsia="zh-CN" w:bidi="ar-SA"/>
        </w:rPr>
        <w:fldChar w:fldCharType="separate"/>
      </w:r>
      <w:r>
        <w:rPr>
          <w:rFonts w:hint="default" w:ascii="Times New Roman" w:hAnsi="Times New Roman" w:eastAsia="黑体" w:cs="Times New Roman"/>
          <w:color w:val="auto"/>
          <w:kern w:val="2"/>
          <w:sz w:val="32"/>
          <w:szCs w:val="24"/>
          <w:highlight w:val="none"/>
          <w:lang w:val="en-US" w:eastAsia="zh-CN" w:bidi="ar-SA"/>
        </w:rPr>
        <w:t>筑牢社会安全防线</w:t>
      </w:r>
      <w:r>
        <w:rPr>
          <w:rFonts w:hint="default" w:ascii="Times New Roman" w:hAnsi="Times New Roman" w:eastAsia="黑体" w:cs="Times New Roman"/>
          <w:color w:val="auto"/>
          <w:kern w:val="2"/>
          <w:sz w:val="32"/>
          <w:szCs w:val="24"/>
          <w:highlight w:val="none"/>
          <w:lang w:val="en-US" w:eastAsia="zh-CN" w:bidi="ar-SA"/>
        </w:rPr>
        <w:fldChar w:fldCharType="end"/>
      </w:r>
      <w:r>
        <w:rPr>
          <w:rFonts w:hint="default" w:ascii="Times New Roman" w:hAnsi="Times New Roman" w:eastAsia="黑体" w:cs="Times New Roman"/>
          <w:color w:val="auto"/>
          <w:kern w:val="2"/>
          <w:sz w:val="32"/>
          <w:szCs w:val="24"/>
          <w:highlight w:val="none"/>
          <w:lang w:val="en-US" w:eastAsia="zh-CN" w:bidi="ar-SA"/>
        </w:rPr>
        <w:fldChar w:fldCharType="end"/>
      </w:r>
      <w:bookmarkEnd w:id="681"/>
      <w:bookmarkEnd w:id="682"/>
      <w:bookmarkEnd w:id="683"/>
      <w:bookmarkEnd w:id="684"/>
    </w:p>
    <w:p w14:paraId="3453A100">
      <w:pPr>
        <w:keepNext/>
        <w:widowControl w:val="0"/>
        <w:numPr>
          <w:ilvl w:val="0"/>
          <w:numId w:val="46"/>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685" w:name="_Toc16301"/>
      <w:bookmarkStart w:id="686" w:name="_Toc24494"/>
      <w:bookmarkStart w:id="687" w:name="_Toc19444"/>
      <w:bookmarkStart w:id="688" w:name="_Toc10709"/>
      <w:r>
        <w:rPr>
          <w:rFonts w:hint="default" w:ascii="Times New Roman" w:hAnsi="Times New Roman" w:eastAsia="楷体_GB2312" w:cs="Times New Roman"/>
          <w:b/>
          <w:bCs w:val="0"/>
          <w:color w:val="auto"/>
          <w:kern w:val="2"/>
          <w:sz w:val="32"/>
          <w:szCs w:val="32"/>
          <w:highlight w:val="none"/>
          <w:lang w:val="en-US" w:eastAsia="zh-CN" w:bidi="ar-SA"/>
        </w:rPr>
        <w:t>守牢意识形态安全</w:t>
      </w:r>
      <w:bookmarkEnd w:id="685"/>
      <w:bookmarkEnd w:id="686"/>
      <w:bookmarkEnd w:id="687"/>
      <w:bookmarkEnd w:id="688"/>
    </w:p>
    <w:p w14:paraId="0AE49B42">
      <w:pPr>
        <w:bidi w:val="0"/>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color w:val="auto"/>
          <w:sz w:val="32"/>
          <w:szCs w:val="22"/>
          <w:highlight w:val="none"/>
          <w:lang w:val="en-US" w:eastAsia="zh-CN"/>
        </w:rPr>
        <w:t>全面贯彻习近平总体国家安全观，深入开展国家意识、公民意识、法治意识“三个意识”教育活动，扎实推进“三反两防”专项斗争，深化意识形态领域整治。依法严厉打击挑拨民族关系、破坏民族团结和实施民族分裂、破坏祖国统一的违法行为，严密防范、坚决抵御各种渗透破坏活动，有效维护国家安全。牢牢掌握意识形态工作主导权、管理权、话语权，加强网络意识形态和网络安全监管，牢牢守住学校、网络、宗教等领域意识形态主阵地。加强出版、印刷发行、广播电视传输、电影市场常态化监管，持续开展“扫黄打非”五大专项行动。</w:t>
      </w:r>
    </w:p>
    <w:p w14:paraId="6444A12B">
      <w:pPr>
        <w:keepNext/>
        <w:widowControl w:val="0"/>
        <w:numPr>
          <w:ilvl w:val="0"/>
          <w:numId w:val="46"/>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689" w:name="_Toc7767"/>
      <w:bookmarkStart w:id="690" w:name="_Toc29257"/>
      <w:bookmarkStart w:id="691" w:name="_Toc1612"/>
      <w:bookmarkStart w:id="692" w:name="_Toc12591"/>
      <w:r>
        <w:rPr>
          <w:rFonts w:hint="default" w:ascii="Times New Roman" w:hAnsi="Times New Roman" w:eastAsia="楷体_GB2312" w:cs="Times New Roman"/>
          <w:b/>
          <w:bCs w:val="0"/>
          <w:color w:val="auto"/>
          <w:kern w:val="2"/>
          <w:sz w:val="32"/>
          <w:szCs w:val="32"/>
          <w:highlight w:val="none"/>
          <w:lang w:val="en-US" w:eastAsia="zh-CN" w:bidi="ar-SA"/>
        </w:rPr>
        <w:t>筑牢安全生产底线</w:t>
      </w:r>
      <w:bookmarkEnd w:id="689"/>
      <w:bookmarkEnd w:id="690"/>
      <w:bookmarkEnd w:id="691"/>
      <w:bookmarkEnd w:id="692"/>
    </w:p>
    <w:p w14:paraId="60DEB43A">
      <w:pPr>
        <w:bidi w:val="0"/>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color w:val="auto"/>
          <w:sz w:val="32"/>
          <w:szCs w:val="22"/>
          <w:highlight w:val="none"/>
          <w:lang w:val="en-US" w:eastAsia="zh-CN"/>
        </w:rPr>
        <w:t>严格落实“党政同责、一岗双责”安全生产责任制，完善风险分级管控和隐患排查治理双重预防工作机制，推行食品药品、道路交通、危险化学品等重点领域安全生产清单制管理。持续加强安全生产专项整治，严格开展安全生产执法监管，坚决防范和遏制重特大安全事故发生，确保安全生产形势平稳。强化安全生产意识，鼓励企业开展安全生产技术改造升级和本质安全提升工程，运用“工业互联网+安全生产”模式，提升安全管理能力。</w:t>
      </w:r>
    </w:p>
    <w:p w14:paraId="7E5CCBB6">
      <w:pPr>
        <w:keepNext/>
        <w:widowControl w:val="0"/>
        <w:numPr>
          <w:ilvl w:val="0"/>
          <w:numId w:val="46"/>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693" w:name="_Toc26184"/>
      <w:bookmarkStart w:id="694" w:name="_Toc29321"/>
      <w:bookmarkStart w:id="695" w:name="_Toc3400"/>
      <w:bookmarkStart w:id="696" w:name="_Toc11091"/>
      <w:r>
        <w:rPr>
          <w:rFonts w:hint="default" w:ascii="Times New Roman" w:hAnsi="Times New Roman" w:eastAsia="楷体_GB2312" w:cs="Times New Roman"/>
          <w:b/>
          <w:bCs w:val="0"/>
          <w:color w:val="auto"/>
          <w:kern w:val="2"/>
          <w:sz w:val="32"/>
          <w:szCs w:val="32"/>
          <w:highlight w:val="none"/>
          <w:lang w:val="en-US" w:eastAsia="zh-CN" w:bidi="ar-SA"/>
        </w:rPr>
        <w:t>保障食品药品安全</w:t>
      </w:r>
      <w:bookmarkEnd w:id="693"/>
      <w:bookmarkEnd w:id="694"/>
      <w:bookmarkEnd w:id="695"/>
      <w:bookmarkEnd w:id="696"/>
    </w:p>
    <w:p w14:paraId="02DF4D66">
      <w:pPr>
        <w:bidi w:val="0"/>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color w:val="auto"/>
          <w:sz w:val="32"/>
          <w:szCs w:val="22"/>
          <w:highlight w:val="none"/>
          <w:lang w:val="en-US" w:eastAsia="zh-CN"/>
        </w:rPr>
        <w:t>深入实施食品安全战略，强化从农田到餐桌的全链条监管，加强网络订餐配送安全管理、网络食品销售新业态监管。加快推进药品全品种全过程信息化追溯，实现药品生产、流通和使用全过程来源可查、去向可追。加强食品药品安全风险监测、抽检和监管执法，强化快速通报和快速反应。完善信息共享、通报协查、联动处置、双向衔接等工作机制，推动实现多部门综合治理。以信用监管串联企业主体责任，用信息公开激活社会监督力量，整合行政监管、行业自律、公众参与合力，形成全社会共同关注、共同参与食品药品安全的良好氛围。</w:t>
      </w:r>
    </w:p>
    <w:p w14:paraId="77B559E6">
      <w:pPr>
        <w:keepNext/>
        <w:widowControl w:val="0"/>
        <w:numPr>
          <w:ilvl w:val="0"/>
          <w:numId w:val="46"/>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697" w:name="_Toc12977"/>
      <w:bookmarkStart w:id="698" w:name="_Toc967"/>
      <w:bookmarkStart w:id="699" w:name="_Toc19350"/>
      <w:bookmarkStart w:id="700" w:name="_Toc26827"/>
      <w:r>
        <w:rPr>
          <w:rFonts w:hint="default" w:ascii="Times New Roman" w:hAnsi="Times New Roman" w:eastAsia="楷体_GB2312" w:cs="Times New Roman"/>
          <w:b/>
          <w:bCs w:val="0"/>
          <w:color w:val="auto"/>
          <w:kern w:val="2"/>
          <w:sz w:val="32"/>
          <w:szCs w:val="32"/>
          <w:highlight w:val="none"/>
          <w:lang w:val="en-US" w:eastAsia="zh-CN" w:bidi="ar-SA"/>
        </w:rPr>
        <w:t>完善社会治安防控体系</w:t>
      </w:r>
      <w:bookmarkEnd w:id="697"/>
      <w:bookmarkEnd w:id="698"/>
      <w:bookmarkEnd w:id="699"/>
      <w:bookmarkEnd w:id="700"/>
    </w:p>
    <w:p w14:paraId="46060423">
      <w:pPr>
        <w:bidi w:val="0"/>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color w:val="auto"/>
          <w:sz w:val="32"/>
          <w:szCs w:val="22"/>
          <w:highlight w:val="none"/>
          <w:lang w:val="en-US" w:eastAsia="zh-CN"/>
        </w:rPr>
        <w:t>完善立体化、信息化社会治安防控体系，加快街面、社区、单位等基本防控单元建设，加强大数据智能化应用。深化“微网实格”服务管理新模式，推行城区“网格化+民警+楼栋长”、农区“网格化+小组长+十户长”、寺庙“网格化+经师”管理模式，将维护稳定、基层治理、管理服务“三大职能”下沉网格。全面落实“一村一辅警”制度，推进社区警务融入“微网实格”基层治理机制。深化“天网工程”“雪亮工程”“慧眼工程”建设和运用，健全扫黑除恶长效常治机制，深化“吉祥先锋·无毒净土”“明理正心清网”等行动，严厉打击各类违法犯罪活动。加强社区矫正工作规范化、制度化发展，深化智慧社区矫正建设。</w:t>
      </w:r>
    </w:p>
    <w:p w14:paraId="3282B3D9">
      <w:pPr>
        <w:keepNext/>
        <w:widowControl w:val="0"/>
        <w:numPr>
          <w:ilvl w:val="0"/>
          <w:numId w:val="19"/>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701" w:name="_Toc8079"/>
      <w:bookmarkStart w:id="702" w:name="_Toc32614"/>
      <w:r>
        <w:rPr>
          <w:rFonts w:hint="default" w:ascii="Times New Roman" w:hAnsi="Times New Roman" w:eastAsia="楷体_GB2312" w:cs="Times New Roman"/>
          <w:b/>
          <w:bCs w:val="0"/>
          <w:color w:val="auto"/>
          <w:kern w:val="2"/>
          <w:sz w:val="32"/>
          <w:szCs w:val="32"/>
          <w:highlight w:val="none"/>
          <w:lang w:val="en-US" w:eastAsia="zh-CN" w:bidi="ar-SA"/>
        </w:rPr>
        <w:t>加强国防动员建设</w:t>
      </w:r>
      <w:bookmarkEnd w:id="701"/>
      <w:bookmarkEnd w:id="702"/>
    </w:p>
    <w:p w14:paraId="7439021A">
      <w:pPr>
        <w:bidi w:val="0"/>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color w:val="auto"/>
          <w:sz w:val="32"/>
          <w:szCs w:val="22"/>
          <w:highlight w:val="none"/>
          <w:lang w:val="en-US" w:eastAsia="zh-CN"/>
        </w:rPr>
        <w:t>加强国防动员和后备力量建设，巩固军政军民团结融合，做好新时代双拥工作。加强民兵预备役队伍建设和管理，高效开展兵役登记、宣传动员等工作，持续落实入伍激励政策，加大技能型人才征集，优化大学生兵源比例，提升民兵预备役队伍的稳定性和安全性。加强民兵预备役队伍的军事训练和政治教育，强化民兵预备役队伍的装备建设，深入开展联合指挥训练、军地联合训练等活动，提高民兵预备役队伍的应急作战能力。提升国防动员平战转换、快速反应和支援保障能力，着力打造一支平时服务、急时应急、战时应战的民兵队伍。深入践行社会主义核心价值观，推动国防教育实践基地建设，持续深化全民国防教育。</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6A58D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shd w:val="clear" w:color="auto" w:fill="7F7F7F" w:themeFill="text1" w:themeFillTint="7F"/>
          </w:tcPr>
          <w:p w14:paraId="2D7EDA5E">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center"/>
              <w:rPr>
                <w:rFonts w:hint="default" w:ascii="Times New Roman" w:hAnsi="Times New Roman" w:eastAsia="黑体" w:cs="Times New Roman"/>
                <w:b/>
                <w:bCs/>
                <w:color w:val="auto"/>
                <w:kern w:val="0"/>
                <w:sz w:val="28"/>
                <w:szCs w:val="28"/>
                <w:highlight w:val="none"/>
                <w:lang w:val="en-US" w:eastAsia="zh-CN" w:bidi="ar"/>
              </w:rPr>
            </w:pPr>
            <w:r>
              <w:rPr>
                <w:rFonts w:hint="default" w:ascii="Times New Roman" w:hAnsi="Times New Roman" w:eastAsia="黑体" w:cs="Times New Roman"/>
                <w:b/>
                <w:bCs/>
                <w:color w:val="auto"/>
                <w:kern w:val="0"/>
                <w:sz w:val="28"/>
                <w:szCs w:val="28"/>
                <w:highlight w:val="none"/>
                <w:lang w:bidi="ar"/>
              </w:rPr>
              <w:t>专栏</w:t>
            </w:r>
            <w:r>
              <w:rPr>
                <w:rFonts w:hint="default" w:ascii="Times New Roman" w:hAnsi="Times New Roman" w:eastAsia="黑体" w:cs="Times New Roman"/>
                <w:b/>
                <w:bCs/>
                <w:color w:val="auto"/>
                <w:kern w:val="0"/>
                <w:sz w:val="28"/>
                <w:szCs w:val="28"/>
                <w:highlight w:val="none"/>
                <w:lang w:val="en-US" w:eastAsia="zh-CN" w:bidi="ar"/>
              </w:rPr>
              <w:t>2</w:t>
            </w:r>
            <w:r>
              <w:rPr>
                <w:rFonts w:hint="eastAsia" w:eastAsia="黑体" w:cs="Times New Roman"/>
                <w:b/>
                <w:bCs/>
                <w:color w:val="auto"/>
                <w:kern w:val="0"/>
                <w:sz w:val="28"/>
                <w:szCs w:val="28"/>
                <w:highlight w:val="none"/>
                <w:lang w:val="en-US" w:eastAsia="zh-CN" w:bidi="ar"/>
              </w:rPr>
              <w:t>5</w:t>
            </w:r>
            <w:r>
              <w:rPr>
                <w:rFonts w:hint="default" w:ascii="Times New Roman" w:hAnsi="Times New Roman" w:eastAsia="黑体" w:cs="Times New Roman"/>
                <w:b/>
                <w:bCs/>
                <w:color w:val="auto"/>
                <w:kern w:val="0"/>
                <w:sz w:val="28"/>
                <w:szCs w:val="28"/>
                <w:highlight w:val="none"/>
                <w:lang w:val="en-US" w:eastAsia="zh-CN" w:bidi="ar"/>
              </w:rPr>
              <w:t xml:space="preserve"> </w:t>
            </w:r>
            <w:r>
              <w:rPr>
                <w:rFonts w:hint="default" w:ascii="Times New Roman" w:hAnsi="Times New Roman" w:eastAsia="黑体" w:cs="Times New Roman"/>
                <w:b/>
                <w:bCs/>
                <w:color w:val="auto"/>
                <w:kern w:val="0"/>
                <w:sz w:val="28"/>
                <w:szCs w:val="28"/>
                <w:highlight w:val="none"/>
                <w:lang w:bidi="ar"/>
              </w:rPr>
              <w:t xml:space="preserve"> </w:t>
            </w:r>
            <w:r>
              <w:rPr>
                <w:rFonts w:hint="default" w:ascii="Times New Roman" w:hAnsi="Times New Roman" w:eastAsia="黑体" w:cs="Times New Roman"/>
                <w:b/>
                <w:bCs/>
                <w:color w:val="auto"/>
                <w:kern w:val="0"/>
                <w:sz w:val="28"/>
                <w:szCs w:val="28"/>
                <w:highlight w:val="none"/>
                <w:lang w:val="en-US" w:eastAsia="zh-CN" w:bidi="ar"/>
              </w:rPr>
              <w:t>社会治理重点工程</w:t>
            </w:r>
          </w:p>
        </w:tc>
      </w:tr>
      <w:tr w14:paraId="5C77A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tcPr>
          <w:p w14:paraId="5299E036">
            <w:pPr>
              <w:keepNext w:val="0"/>
              <w:keepLines w:val="0"/>
              <w:pageBreakBefore w:val="0"/>
              <w:widowControl/>
              <w:numPr>
                <w:ilvl w:val="0"/>
                <w:numId w:val="13"/>
              </w:numPr>
              <w:kinsoku/>
              <w:wordWrap/>
              <w:overflowPunct/>
              <w:topLinePunct w:val="0"/>
              <w:autoSpaceDE/>
              <w:autoSpaceDN/>
              <w:bidi w:val="0"/>
              <w:adjustRightInd w:val="0"/>
              <w:snapToGrid w:val="0"/>
              <w:spacing w:line="440" w:lineRule="exact"/>
              <w:ind w:left="420" w:leftChars="0" w:hanging="420" w:firstLineChars="0"/>
              <w:jc w:val="left"/>
              <w:textAlignment w:val="auto"/>
              <w:rPr>
                <w:rFonts w:hint="default" w:ascii="Times New Roman" w:hAnsi="Times New Roman" w:eastAsia="仿宋_GB2312" w:cs="Times New Roman"/>
                <w:color w:val="auto"/>
                <w:kern w:val="2"/>
                <w:sz w:val="28"/>
                <w:szCs w:val="28"/>
                <w:highlight w:val="none"/>
                <w:lang w:eastAsia="zh-CN"/>
              </w:rPr>
            </w:pPr>
            <w:r>
              <w:rPr>
                <w:rFonts w:hint="default" w:ascii="Times New Roman" w:hAnsi="Times New Roman" w:eastAsia="仿宋_GB2312" w:cs="Times New Roman"/>
                <w:b/>
                <w:bCs/>
                <w:color w:val="auto"/>
                <w:kern w:val="2"/>
                <w:sz w:val="28"/>
                <w:szCs w:val="28"/>
                <w:highlight w:val="none"/>
                <w:lang w:val="en-US" w:eastAsia="zh-CN"/>
              </w:rPr>
              <w:t>社会治安：</w:t>
            </w:r>
            <w:r>
              <w:rPr>
                <w:rFonts w:hint="default" w:ascii="Times New Roman" w:hAnsi="Times New Roman" w:eastAsia="仿宋_GB2312" w:cs="Times New Roman"/>
                <w:b w:val="0"/>
                <w:bCs w:val="0"/>
                <w:color w:val="auto"/>
                <w:kern w:val="2"/>
                <w:sz w:val="28"/>
                <w:szCs w:val="28"/>
                <w:highlight w:val="none"/>
                <w:lang w:val="en-US" w:eastAsia="zh-CN"/>
              </w:rPr>
              <w:t>新建阿坝州东南部防暴、应急处突力量训练教育基地。实施理县乡镇综治中心提升改造</w:t>
            </w:r>
            <w:r>
              <w:rPr>
                <w:rFonts w:hint="eastAsia" w:cs="Times New Roman"/>
                <w:b w:val="0"/>
                <w:bCs w:val="0"/>
                <w:color w:val="auto"/>
                <w:kern w:val="2"/>
                <w:sz w:val="28"/>
                <w:szCs w:val="28"/>
                <w:highlight w:val="none"/>
                <w:lang w:val="en-US" w:eastAsia="zh-CN"/>
              </w:rPr>
              <w:t>、理县综治中心新建项目</w:t>
            </w:r>
            <w:r>
              <w:rPr>
                <w:rFonts w:hint="default" w:ascii="Times New Roman" w:hAnsi="Times New Roman" w:eastAsia="仿宋_GB2312" w:cs="Times New Roman"/>
                <w:b w:val="0"/>
                <w:bCs w:val="0"/>
                <w:color w:val="auto"/>
                <w:kern w:val="2"/>
                <w:sz w:val="28"/>
                <w:szCs w:val="28"/>
                <w:highlight w:val="none"/>
                <w:lang w:val="en-US" w:eastAsia="zh-CN"/>
              </w:rPr>
              <w:t>。新建下孟派出所和交警中队业务技术用房。</w:t>
            </w:r>
          </w:p>
          <w:p w14:paraId="1F2EEB46">
            <w:pPr>
              <w:keepNext w:val="0"/>
              <w:keepLines w:val="0"/>
              <w:pageBreakBefore w:val="0"/>
              <w:widowControl/>
              <w:numPr>
                <w:ilvl w:val="0"/>
                <w:numId w:val="13"/>
              </w:numPr>
              <w:kinsoku/>
              <w:wordWrap/>
              <w:overflowPunct/>
              <w:topLinePunct w:val="0"/>
              <w:autoSpaceDE/>
              <w:autoSpaceDN/>
              <w:bidi w:val="0"/>
              <w:adjustRightInd w:val="0"/>
              <w:snapToGrid w:val="0"/>
              <w:spacing w:line="440" w:lineRule="exact"/>
              <w:ind w:left="420" w:leftChars="0" w:hanging="420" w:firstLineChars="0"/>
              <w:jc w:val="left"/>
              <w:textAlignment w:val="auto"/>
              <w:rPr>
                <w:rFonts w:hint="default" w:ascii="Times New Roman" w:hAnsi="Times New Roman" w:eastAsia="仿宋_GB2312" w:cs="Times New Roman"/>
                <w:color w:val="auto"/>
                <w:kern w:val="2"/>
                <w:sz w:val="28"/>
                <w:szCs w:val="28"/>
                <w:highlight w:val="none"/>
                <w:lang w:eastAsia="zh-CN"/>
              </w:rPr>
            </w:pPr>
            <w:r>
              <w:rPr>
                <w:rFonts w:hint="default" w:ascii="Times New Roman" w:hAnsi="Times New Roman" w:eastAsia="仿宋_GB2312" w:cs="Times New Roman"/>
                <w:b/>
                <w:bCs/>
                <w:color w:val="auto"/>
                <w:kern w:val="2"/>
                <w:sz w:val="28"/>
                <w:szCs w:val="28"/>
                <w:highlight w:val="none"/>
                <w:lang w:val="en-US" w:eastAsia="zh-CN"/>
              </w:rPr>
              <w:t>网络安全：</w:t>
            </w:r>
            <w:r>
              <w:rPr>
                <w:rFonts w:hint="default" w:ascii="Times New Roman" w:hAnsi="Times New Roman" w:eastAsia="仿宋_GB2312" w:cs="Times New Roman"/>
                <w:b w:val="0"/>
                <w:bCs w:val="0"/>
                <w:color w:val="auto"/>
                <w:kern w:val="2"/>
                <w:sz w:val="28"/>
                <w:szCs w:val="28"/>
                <w:highlight w:val="none"/>
                <w:lang w:val="en-US" w:eastAsia="zh-CN"/>
              </w:rPr>
              <w:t>实施理县“E路有理</w:t>
            </w:r>
            <w:r>
              <w:rPr>
                <w:rFonts w:hint="default" w:ascii="Times New Roman" w:hAnsi="Times New Roman" w:eastAsia="仿宋_GB2312" w:cs="Times New Roman"/>
                <w:color w:val="auto"/>
                <w:sz w:val="32"/>
                <w:szCs w:val="22"/>
                <w:highlight w:val="none"/>
                <w:lang w:val="en-US" w:eastAsia="zh-CN"/>
              </w:rPr>
              <w:t>·</w:t>
            </w:r>
            <w:r>
              <w:rPr>
                <w:rFonts w:hint="default" w:ascii="Times New Roman" w:hAnsi="Times New Roman" w:eastAsia="仿宋_GB2312" w:cs="Times New Roman"/>
                <w:b w:val="0"/>
                <w:bCs w:val="0"/>
                <w:color w:val="auto"/>
                <w:kern w:val="2"/>
                <w:sz w:val="28"/>
                <w:szCs w:val="28"/>
                <w:highlight w:val="none"/>
                <w:lang w:val="en-US" w:eastAsia="zh-CN"/>
              </w:rPr>
              <w:t>数字赋能”网络意识形态与文旅融合发展项目。</w:t>
            </w:r>
          </w:p>
        </w:tc>
      </w:tr>
    </w:tbl>
    <w:p w14:paraId="302C7AA5">
      <w:pPr>
        <w:keepNext/>
        <w:widowControl w:val="0"/>
        <w:numPr>
          <w:ilvl w:val="0"/>
          <w:numId w:val="1"/>
        </w:numPr>
        <w:bidi w:val="0"/>
        <w:snapToGrid w:val="0"/>
        <w:spacing w:before="100" w:beforeLines="100" w:after="100" w:afterLines="100" w:line="560" w:lineRule="exact"/>
        <w:ind w:left="0" w:leftChars="0" w:firstLine="0" w:firstLineChars="0"/>
        <w:jc w:val="center"/>
        <w:outlineLvl w:val="1"/>
        <w:rPr>
          <w:rFonts w:hint="default" w:ascii="Times New Roman" w:hAnsi="Times New Roman" w:eastAsia="黑体" w:cs="Times New Roman"/>
          <w:color w:val="auto"/>
          <w:kern w:val="2"/>
          <w:sz w:val="32"/>
          <w:szCs w:val="24"/>
          <w:highlight w:val="none"/>
          <w:lang w:val="en-US" w:eastAsia="zh-CN" w:bidi="ar-SA"/>
        </w:rPr>
      </w:pPr>
      <w:r>
        <w:rPr>
          <w:rFonts w:hint="default" w:ascii="Times New Roman" w:hAnsi="Times New Roman" w:eastAsia="黑体" w:cs="Times New Roman"/>
          <w:color w:val="auto"/>
          <w:kern w:val="2"/>
          <w:sz w:val="32"/>
          <w:szCs w:val="24"/>
          <w:highlight w:val="none"/>
          <w:lang w:val="en-US" w:eastAsia="zh-CN" w:bidi="ar-SA"/>
        </w:rPr>
        <w:t xml:space="preserve"> </w:t>
      </w:r>
      <w:bookmarkStart w:id="703" w:name="_Toc2760"/>
      <w:bookmarkStart w:id="704" w:name="_Toc23846"/>
      <w:bookmarkStart w:id="705" w:name="_Toc24559"/>
      <w:bookmarkStart w:id="706" w:name="_Toc13320"/>
      <w:r>
        <w:rPr>
          <w:rFonts w:hint="default" w:ascii="Times New Roman" w:hAnsi="Times New Roman" w:eastAsia="黑体" w:cs="Times New Roman"/>
          <w:color w:val="auto"/>
          <w:kern w:val="2"/>
          <w:sz w:val="32"/>
          <w:szCs w:val="24"/>
          <w:highlight w:val="none"/>
          <w:lang w:val="en-US" w:eastAsia="zh-CN" w:bidi="ar-SA"/>
        </w:rPr>
        <w:t>提升灾害防治能力</w:t>
      </w:r>
      <w:bookmarkEnd w:id="703"/>
      <w:bookmarkEnd w:id="704"/>
      <w:bookmarkEnd w:id="705"/>
      <w:bookmarkEnd w:id="706"/>
    </w:p>
    <w:p w14:paraId="637181EB">
      <w:pPr>
        <w:keepNext/>
        <w:widowControl w:val="0"/>
        <w:numPr>
          <w:ilvl w:val="0"/>
          <w:numId w:val="47"/>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707" w:name="_Toc32702"/>
      <w:bookmarkStart w:id="708" w:name="_Toc15443"/>
      <w:bookmarkStart w:id="709" w:name="_Toc28650"/>
      <w:bookmarkStart w:id="710" w:name="_Toc13120"/>
      <w:r>
        <w:rPr>
          <w:rFonts w:hint="default" w:ascii="Times New Roman" w:hAnsi="Times New Roman" w:eastAsia="楷体_GB2312" w:cs="Times New Roman"/>
          <w:b/>
          <w:bCs w:val="0"/>
          <w:color w:val="auto"/>
          <w:kern w:val="2"/>
          <w:sz w:val="32"/>
          <w:szCs w:val="32"/>
          <w:highlight w:val="none"/>
          <w:lang w:val="en-US" w:eastAsia="zh-CN" w:bidi="ar-SA"/>
        </w:rPr>
        <w:t>健全应急管理体制</w:t>
      </w:r>
      <w:bookmarkEnd w:id="707"/>
      <w:bookmarkEnd w:id="708"/>
      <w:bookmarkEnd w:id="709"/>
      <w:bookmarkEnd w:id="710"/>
    </w:p>
    <w:p w14:paraId="66E5A4DE">
      <w:pPr>
        <w:bidi w:val="0"/>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color w:val="auto"/>
          <w:sz w:val="32"/>
          <w:szCs w:val="22"/>
          <w:highlight w:val="none"/>
          <w:lang w:val="en-US" w:eastAsia="zh-CN"/>
        </w:rPr>
        <w:t>坚持人民至上、生命至上，加强应急管理组织体系建设，强化应急管理信息化综合应用平台建设，全面提升防灾、减灾、抗灾、救灾能力。完善县、乡镇大安全大应急框架下应急指挥机制，统一组织、指挥、协调突发事件应急处置工作，落实责任倒查机制。加强县级应急指挥部建设，健全值班值守、信息报送、监测预警、调度指挥、会商研判、通信保障等功能。推动应急管理全面融入乡镇和村（社区）基层治理，优化完善管理体制机制，提升基层应急管理能力。健全应急联动机制，加强部门间协调联动，推动形成“大应急”工作格局。</w:t>
      </w:r>
    </w:p>
    <w:p w14:paraId="3D4E3864">
      <w:pPr>
        <w:keepNext/>
        <w:widowControl w:val="0"/>
        <w:numPr>
          <w:ilvl w:val="0"/>
          <w:numId w:val="47"/>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711" w:name="_Toc6859"/>
      <w:bookmarkStart w:id="712" w:name="_Toc29185"/>
      <w:bookmarkStart w:id="713" w:name="_Toc3247"/>
      <w:bookmarkStart w:id="714" w:name="_Toc19315"/>
      <w:r>
        <w:rPr>
          <w:rFonts w:hint="default" w:ascii="Times New Roman" w:hAnsi="Times New Roman" w:eastAsia="楷体_GB2312" w:cs="Times New Roman"/>
          <w:b/>
          <w:bCs w:val="0"/>
          <w:color w:val="auto"/>
          <w:kern w:val="2"/>
          <w:sz w:val="32"/>
          <w:szCs w:val="32"/>
          <w:highlight w:val="none"/>
          <w:lang w:val="en-US" w:eastAsia="zh-CN" w:bidi="ar-SA"/>
        </w:rPr>
        <w:t>强化灾害监测预警</w:t>
      </w:r>
      <w:bookmarkEnd w:id="711"/>
      <w:bookmarkEnd w:id="712"/>
      <w:bookmarkEnd w:id="713"/>
      <w:bookmarkEnd w:id="714"/>
    </w:p>
    <w:p w14:paraId="4F883ABF">
      <w:pPr>
        <w:bidi w:val="0"/>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color w:val="auto"/>
          <w:sz w:val="32"/>
          <w:szCs w:val="22"/>
          <w:highlight w:val="none"/>
          <w:lang w:val="en-US" w:eastAsia="zh-CN"/>
        </w:rPr>
        <w:t>定期组织开展危险区域、危险源调查登记和风险评估，建立覆盖城乡的灾害风险数据库，实现县域内自然灾害、事故灾难等风险隐患“全量上图、动态管控”。建立健全自然气象灾害、地震、汛情、森林草原防灭火等监测预警体系，联动线上线下预警，突出科技赋能和群防群治，实现高风险区域的实时监测与预警。强化精准研判预警和调度，畅通预警信息发布和传播渠道，充分利用应急广播等系统，提高信息发布覆盖率和时效性。推动“户户响”终端建设和应用，提升基层防灾减灾人员响应效率。建立“县—乡—村—组—点”五级预警信息传递与“叫应”机制，确保预警信息到点、到户、到人。</w:t>
      </w:r>
    </w:p>
    <w:p w14:paraId="09D54722">
      <w:pPr>
        <w:keepNext/>
        <w:widowControl w:val="0"/>
        <w:numPr>
          <w:ilvl w:val="0"/>
          <w:numId w:val="47"/>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715" w:name="_Toc22551"/>
      <w:bookmarkStart w:id="716" w:name="_Toc7043"/>
      <w:bookmarkStart w:id="717" w:name="_Toc4953"/>
      <w:bookmarkStart w:id="718" w:name="_Toc27004"/>
      <w:r>
        <w:rPr>
          <w:rFonts w:hint="default" w:ascii="Times New Roman" w:hAnsi="Times New Roman" w:eastAsia="楷体_GB2312" w:cs="Times New Roman"/>
          <w:b/>
          <w:bCs w:val="0"/>
          <w:color w:val="auto"/>
          <w:kern w:val="2"/>
          <w:sz w:val="32"/>
          <w:szCs w:val="32"/>
          <w:highlight w:val="none"/>
          <w:lang w:val="en-US" w:eastAsia="zh-CN" w:bidi="ar-SA"/>
        </w:rPr>
        <w:t>深化自然灾害防治</w:t>
      </w:r>
      <w:bookmarkEnd w:id="715"/>
      <w:bookmarkEnd w:id="716"/>
      <w:bookmarkEnd w:id="717"/>
      <w:bookmarkEnd w:id="718"/>
    </w:p>
    <w:p w14:paraId="28E6E4F3">
      <w:pPr>
        <w:bidi w:val="0"/>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color w:val="auto"/>
          <w:sz w:val="32"/>
          <w:szCs w:val="22"/>
          <w:highlight w:val="none"/>
          <w:lang w:val="en-US" w:eastAsia="zh-CN"/>
        </w:rPr>
        <w:t>常态化开展防汛抗旱、防震抗震、森林草原防灭火、地质灾害全域综合整治等，全力推进山洪沟治理工程，加强城乡抗震设防能力建设，扎实推进地灾隐患点避险搬迁工作。加强森林草原火灾防控，全面开展隐患排查，强化无人机、高清视频、人工智能等科技巡防力量，完善防火通道等防灭火基础设施建设，筑牢森林草原防</w:t>
      </w:r>
      <w:r>
        <w:rPr>
          <w:rFonts w:hint="eastAsia" w:cs="Times New Roman"/>
          <w:color w:val="auto"/>
          <w:sz w:val="32"/>
          <w:szCs w:val="22"/>
          <w:highlight w:val="none"/>
          <w:lang w:val="en-US" w:eastAsia="zh-CN"/>
        </w:rPr>
        <w:t>灭</w:t>
      </w:r>
      <w:r>
        <w:rPr>
          <w:rFonts w:hint="default" w:ascii="Times New Roman" w:hAnsi="Times New Roman" w:eastAsia="仿宋_GB2312" w:cs="Times New Roman"/>
          <w:color w:val="auto"/>
          <w:sz w:val="32"/>
          <w:szCs w:val="22"/>
          <w:highlight w:val="none"/>
          <w:lang w:val="en-US" w:eastAsia="zh-CN"/>
        </w:rPr>
        <w:t>火安全防线。广泛开展防灾减灾和安全生产知识“七进”宣传教育，提升群众风险防范意识和自救互救能力。</w:t>
      </w:r>
    </w:p>
    <w:p w14:paraId="3DF3E973">
      <w:pPr>
        <w:keepNext/>
        <w:widowControl w:val="0"/>
        <w:numPr>
          <w:ilvl w:val="0"/>
          <w:numId w:val="47"/>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719" w:name="_Toc17157"/>
      <w:bookmarkStart w:id="720" w:name="_Toc15901"/>
      <w:bookmarkStart w:id="721" w:name="_Toc32365"/>
      <w:bookmarkStart w:id="722" w:name="_Toc30036"/>
      <w:r>
        <w:rPr>
          <w:rFonts w:hint="default" w:ascii="Times New Roman" w:hAnsi="Times New Roman" w:eastAsia="楷体_GB2312" w:cs="Times New Roman"/>
          <w:b/>
          <w:bCs w:val="0"/>
          <w:color w:val="auto"/>
          <w:kern w:val="2"/>
          <w:sz w:val="32"/>
          <w:szCs w:val="32"/>
          <w:highlight w:val="none"/>
          <w:lang w:val="en-US" w:eastAsia="zh-CN" w:bidi="ar-SA"/>
        </w:rPr>
        <w:t>提升应急保障能力</w:t>
      </w:r>
      <w:bookmarkEnd w:id="719"/>
      <w:bookmarkEnd w:id="720"/>
      <w:bookmarkEnd w:id="721"/>
      <w:bookmarkEnd w:id="722"/>
    </w:p>
    <w:p w14:paraId="1672EF00">
      <w:pPr>
        <w:bidi w:val="0"/>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color w:val="auto"/>
          <w:sz w:val="32"/>
          <w:szCs w:val="22"/>
          <w:highlight w:val="none"/>
          <w:lang w:val="en-US" w:eastAsia="zh-CN"/>
        </w:rPr>
        <w:t>完善应急预案体系，动态修订各类应急预案，常态化开展应急预案演练。补齐建强中心乡镇应急消防救援站，统筹乡镇应急队、村（社区）应急分队、微型消防站。探索建立“一专多能”综合应急救援队伍，支持社会应急力量发展，加强应急救援队伍培训，开展应急管理能力标准化建设，全面提升应急救援实战能力。完善预警响应联动机制，及时前置各类应急救援力量，提升先期处置能力。加强应急物资储备建设，完善应急物资储备、调拨使用和紧急配送机制。推进应急避难场所建设，加强动态管理与维护，全面提升应急避难综合保障能力。推动“智慧应急”建设，强化应急装备技术支撑，加大卫星遥感、无人机等技术装备应用力度。</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0A576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shd w:val="clear" w:color="auto" w:fill="7F7F7F" w:themeFill="text1" w:themeFillTint="7F"/>
          </w:tcPr>
          <w:p w14:paraId="74C9C82B">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center"/>
              <w:rPr>
                <w:rFonts w:hint="default" w:ascii="Times New Roman" w:hAnsi="Times New Roman" w:eastAsia="黑体" w:cs="Times New Roman"/>
                <w:b/>
                <w:bCs/>
                <w:color w:val="auto"/>
                <w:kern w:val="0"/>
                <w:sz w:val="28"/>
                <w:szCs w:val="28"/>
                <w:highlight w:val="none"/>
                <w:lang w:val="en-US" w:eastAsia="zh-CN" w:bidi="ar"/>
              </w:rPr>
            </w:pPr>
            <w:r>
              <w:rPr>
                <w:rFonts w:hint="default" w:ascii="Times New Roman" w:hAnsi="Times New Roman" w:eastAsia="黑体" w:cs="Times New Roman"/>
                <w:b/>
                <w:bCs/>
                <w:color w:val="auto"/>
                <w:kern w:val="0"/>
                <w:sz w:val="28"/>
                <w:szCs w:val="28"/>
                <w:highlight w:val="none"/>
                <w:lang w:bidi="ar"/>
              </w:rPr>
              <w:t>专栏</w:t>
            </w:r>
            <w:r>
              <w:rPr>
                <w:rFonts w:hint="default" w:ascii="Times New Roman" w:hAnsi="Times New Roman" w:eastAsia="黑体" w:cs="Times New Roman"/>
                <w:b/>
                <w:bCs/>
                <w:color w:val="auto"/>
                <w:kern w:val="0"/>
                <w:sz w:val="28"/>
                <w:szCs w:val="28"/>
                <w:highlight w:val="none"/>
                <w:lang w:val="en-US" w:eastAsia="zh-CN" w:bidi="ar"/>
              </w:rPr>
              <w:t>2</w:t>
            </w:r>
            <w:r>
              <w:rPr>
                <w:rFonts w:hint="eastAsia" w:eastAsia="黑体" w:cs="Times New Roman"/>
                <w:b/>
                <w:bCs/>
                <w:color w:val="auto"/>
                <w:kern w:val="0"/>
                <w:sz w:val="28"/>
                <w:szCs w:val="28"/>
                <w:highlight w:val="none"/>
                <w:lang w:val="en-US" w:eastAsia="zh-CN" w:bidi="ar"/>
              </w:rPr>
              <w:t>6</w:t>
            </w:r>
            <w:r>
              <w:rPr>
                <w:rFonts w:hint="default" w:ascii="Times New Roman" w:hAnsi="Times New Roman" w:eastAsia="黑体" w:cs="Times New Roman"/>
                <w:b/>
                <w:bCs/>
                <w:color w:val="auto"/>
                <w:kern w:val="0"/>
                <w:sz w:val="28"/>
                <w:szCs w:val="28"/>
                <w:highlight w:val="none"/>
                <w:lang w:val="en-US" w:eastAsia="zh-CN" w:bidi="ar"/>
              </w:rPr>
              <w:t xml:space="preserve"> </w:t>
            </w:r>
            <w:r>
              <w:rPr>
                <w:rFonts w:hint="default" w:ascii="Times New Roman" w:hAnsi="Times New Roman" w:eastAsia="黑体" w:cs="Times New Roman"/>
                <w:b/>
                <w:bCs/>
                <w:color w:val="auto"/>
                <w:kern w:val="0"/>
                <w:sz w:val="28"/>
                <w:szCs w:val="28"/>
                <w:highlight w:val="none"/>
                <w:lang w:bidi="ar"/>
              </w:rPr>
              <w:t xml:space="preserve"> 应急能力提升</w:t>
            </w:r>
            <w:r>
              <w:rPr>
                <w:rFonts w:hint="default" w:ascii="Times New Roman" w:hAnsi="Times New Roman" w:eastAsia="黑体" w:cs="Times New Roman"/>
                <w:b/>
                <w:bCs/>
                <w:color w:val="auto"/>
                <w:kern w:val="0"/>
                <w:sz w:val="28"/>
                <w:szCs w:val="28"/>
                <w:highlight w:val="none"/>
                <w:lang w:val="en-US" w:eastAsia="zh-CN" w:bidi="ar"/>
              </w:rPr>
              <w:t>重点工程</w:t>
            </w:r>
          </w:p>
        </w:tc>
      </w:tr>
      <w:tr w14:paraId="2EAD1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tcPr>
          <w:p w14:paraId="6965E090">
            <w:pPr>
              <w:keepNext w:val="0"/>
              <w:keepLines w:val="0"/>
              <w:pageBreakBefore w:val="0"/>
              <w:widowControl/>
              <w:numPr>
                <w:ilvl w:val="0"/>
                <w:numId w:val="13"/>
              </w:numPr>
              <w:kinsoku/>
              <w:wordWrap/>
              <w:overflowPunct/>
              <w:topLinePunct w:val="0"/>
              <w:autoSpaceDE/>
              <w:autoSpaceDN/>
              <w:bidi w:val="0"/>
              <w:adjustRightInd w:val="0"/>
              <w:snapToGrid w:val="0"/>
              <w:spacing w:line="440" w:lineRule="exact"/>
              <w:ind w:left="420" w:leftChars="0" w:hanging="420" w:firstLineChars="0"/>
              <w:jc w:val="left"/>
              <w:textAlignment w:val="auto"/>
              <w:rPr>
                <w:rFonts w:hint="default" w:ascii="Times New Roman" w:hAnsi="Times New Roman" w:eastAsia="仿宋_GB2312" w:cs="Times New Roman"/>
                <w:b/>
                <w:bCs/>
                <w:color w:val="auto"/>
                <w:kern w:val="2"/>
                <w:sz w:val="28"/>
                <w:szCs w:val="28"/>
                <w:highlight w:val="none"/>
                <w:lang w:val="en-US" w:eastAsia="zh-CN"/>
              </w:rPr>
            </w:pPr>
            <w:r>
              <w:rPr>
                <w:rFonts w:hint="default" w:ascii="Times New Roman" w:hAnsi="Times New Roman" w:eastAsia="仿宋_GB2312" w:cs="Times New Roman"/>
                <w:b/>
                <w:bCs/>
                <w:color w:val="auto"/>
                <w:kern w:val="2"/>
                <w:sz w:val="28"/>
                <w:szCs w:val="28"/>
                <w:highlight w:val="none"/>
                <w:lang w:val="en-US" w:eastAsia="zh-CN"/>
              </w:rPr>
              <w:t>地质灾害整治：</w:t>
            </w:r>
            <w:r>
              <w:rPr>
                <w:rFonts w:hint="default" w:ascii="Times New Roman" w:hAnsi="Times New Roman" w:eastAsia="仿宋_GB2312" w:cs="Times New Roman"/>
                <w:b w:val="0"/>
                <w:bCs w:val="0"/>
                <w:color w:val="auto"/>
                <w:kern w:val="2"/>
                <w:sz w:val="28"/>
                <w:szCs w:val="28"/>
                <w:highlight w:val="none"/>
                <w:lang w:val="en-US" w:eastAsia="zh-CN"/>
              </w:rPr>
              <w:t>实施理县重点城镇地质安全、地质灾害调查评估及能力提升，理县地质灾害综合治理项目。</w:t>
            </w:r>
          </w:p>
          <w:p w14:paraId="438E07DB">
            <w:pPr>
              <w:keepNext w:val="0"/>
              <w:keepLines w:val="0"/>
              <w:pageBreakBefore w:val="0"/>
              <w:widowControl/>
              <w:numPr>
                <w:ilvl w:val="0"/>
                <w:numId w:val="13"/>
              </w:numPr>
              <w:kinsoku/>
              <w:wordWrap/>
              <w:overflowPunct/>
              <w:topLinePunct w:val="0"/>
              <w:autoSpaceDE/>
              <w:autoSpaceDN/>
              <w:bidi w:val="0"/>
              <w:adjustRightInd w:val="0"/>
              <w:snapToGrid w:val="0"/>
              <w:spacing w:line="440" w:lineRule="exact"/>
              <w:ind w:left="420" w:leftChars="0" w:hanging="420" w:firstLineChars="0"/>
              <w:jc w:val="left"/>
              <w:textAlignment w:val="auto"/>
              <w:rPr>
                <w:rFonts w:hint="default" w:ascii="Times New Roman" w:hAnsi="Times New Roman" w:eastAsia="仿宋_GB2312" w:cs="Times New Roman"/>
                <w:b/>
                <w:bCs/>
                <w:color w:val="auto"/>
                <w:kern w:val="2"/>
                <w:sz w:val="28"/>
                <w:szCs w:val="28"/>
                <w:highlight w:val="none"/>
                <w:lang w:val="en-US" w:eastAsia="zh-CN"/>
              </w:rPr>
            </w:pPr>
            <w:r>
              <w:rPr>
                <w:rFonts w:hint="default" w:ascii="Times New Roman" w:hAnsi="Times New Roman" w:eastAsia="仿宋_GB2312" w:cs="Times New Roman"/>
                <w:b/>
                <w:bCs/>
                <w:color w:val="auto"/>
                <w:kern w:val="2"/>
                <w:sz w:val="28"/>
                <w:szCs w:val="28"/>
                <w:highlight w:val="none"/>
                <w:lang w:val="en-US" w:eastAsia="zh-CN"/>
              </w:rPr>
              <w:t>森林草原防灭火：</w:t>
            </w:r>
            <w:r>
              <w:rPr>
                <w:rFonts w:hint="eastAsia" w:cs="Times New Roman"/>
                <w:b w:val="0"/>
                <w:bCs w:val="0"/>
                <w:color w:val="auto"/>
                <w:kern w:val="2"/>
                <w:sz w:val="28"/>
                <w:szCs w:val="28"/>
                <w:highlight w:val="none"/>
                <w:lang w:val="en-US" w:eastAsia="zh-CN"/>
              </w:rPr>
              <w:t>1.</w:t>
            </w:r>
            <w:r>
              <w:rPr>
                <w:rFonts w:hint="default" w:ascii="Times New Roman" w:hAnsi="Times New Roman" w:eastAsia="仿宋_GB2312" w:cs="Times New Roman"/>
                <w:b w:val="0"/>
                <w:bCs w:val="0"/>
                <w:color w:val="auto"/>
                <w:kern w:val="2"/>
                <w:sz w:val="28"/>
                <w:szCs w:val="28"/>
                <w:highlight w:val="none"/>
                <w:lang w:val="en-US" w:eastAsia="zh-CN"/>
              </w:rPr>
              <w:t>实施理县防火体系建设、防火通道建设项目。</w:t>
            </w:r>
            <w:r>
              <w:rPr>
                <w:rFonts w:hint="eastAsia" w:cs="Times New Roman"/>
                <w:b w:val="0"/>
                <w:bCs w:val="0"/>
                <w:color w:val="auto"/>
                <w:kern w:val="2"/>
                <w:sz w:val="28"/>
                <w:szCs w:val="28"/>
                <w:highlight w:val="none"/>
                <w:lang w:val="en-US" w:eastAsia="zh-CN"/>
              </w:rPr>
              <w:t>2.</w:t>
            </w:r>
            <w:r>
              <w:rPr>
                <w:rFonts w:hint="default" w:ascii="Times New Roman" w:hAnsi="Times New Roman" w:eastAsia="仿宋_GB2312" w:cs="Times New Roman"/>
                <w:b w:val="0"/>
                <w:bCs w:val="0"/>
                <w:color w:val="auto"/>
                <w:kern w:val="2"/>
                <w:sz w:val="28"/>
                <w:szCs w:val="28"/>
                <w:highlight w:val="none"/>
                <w:lang w:val="en-US" w:eastAsia="zh-CN"/>
              </w:rPr>
              <w:t>推进理县防火智能化体系建设</w:t>
            </w:r>
            <w:r>
              <w:rPr>
                <w:rFonts w:hint="eastAsia" w:cs="Times New Roman"/>
                <w:b w:val="0"/>
                <w:bCs w:val="0"/>
                <w:color w:val="auto"/>
                <w:kern w:val="2"/>
                <w:sz w:val="28"/>
                <w:szCs w:val="28"/>
                <w:highlight w:val="none"/>
                <w:lang w:val="en-US" w:eastAsia="zh-CN"/>
              </w:rPr>
              <w:t>、理县国有林场能力提升及基础设施配套建设等项目</w:t>
            </w:r>
            <w:r>
              <w:rPr>
                <w:rFonts w:hint="default" w:ascii="Times New Roman" w:hAnsi="Times New Roman" w:eastAsia="仿宋_GB2312" w:cs="Times New Roman"/>
                <w:b w:val="0"/>
                <w:bCs w:val="0"/>
                <w:color w:val="auto"/>
                <w:kern w:val="2"/>
                <w:sz w:val="28"/>
                <w:szCs w:val="28"/>
                <w:highlight w:val="none"/>
                <w:lang w:val="en-US" w:eastAsia="zh-CN"/>
              </w:rPr>
              <w:t>前期工作。</w:t>
            </w:r>
          </w:p>
          <w:p w14:paraId="2E790C6C">
            <w:pPr>
              <w:keepNext w:val="0"/>
              <w:keepLines w:val="0"/>
              <w:pageBreakBefore w:val="0"/>
              <w:widowControl/>
              <w:numPr>
                <w:ilvl w:val="0"/>
                <w:numId w:val="13"/>
              </w:numPr>
              <w:kinsoku/>
              <w:wordWrap/>
              <w:overflowPunct/>
              <w:topLinePunct w:val="0"/>
              <w:autoSpaceDE/>
              <w:autoSpaceDN/>
              <w:bidi w:val="0"/>
              <w:adjustRightInd w:val="0"/>
              <w:snapToGrid w:val="0"/>
              <w:spacing w:line="440" w:lineRule="exact"/>
              <w:ind w:left="420" w:leftChars="0" w:hanging="420" w:firstLineChars="0"/>
              <w:jc w:val="left"/>
              <w:textAlignment w:val="auto"/>
              <w:rPr>
                <w:rFonts w:hint="default" w:ascii="Times New Roman" w:hAnsi="Times New Roman" w:eastAsia="仿宋_GB2312" w:cs="Times New Roman"/>
                <w:b/>
                <w:bCs/>
                <w:color w:val="auto"/>
                <w:kern w:val="2"/>
                <w:sz w:val="28"/>
                <w:szCs w:val="28"/>
                <w:highlight w:val="none"/>
                <w:lang w:val="en-US" w:eastAsia="zh-CN"/>
              </w:rPr>
            </w:pPr>
            <w:r>
              <w:rPr>
                <w:rFonts w:hint="default" w:ascii="Times New Roman" w:hAnsi="Times New Roman" w:eastAsia="仿宋_GB2312" w:cs="Times New Roman"/>
                <w:b/>
                <w:bCs/>
                <w:color w:val="auto"/>
                <w:kern w:val="2"/>
                <w:sz w:val="28"/>
                <w:szCs w:val="28"/>
                <w:highlight w:val="none"/>
                <w:lang w:val="en-US" w:eastAsia="zh-CN"/>
              </w:rPr>
              <w:t>应急救援能力提升：</w:t>
            </w:r>
            <w:r>
              <w:rPr>
                <w:rFonts w:hint="default" w:ascii="Times New Roman" w:hAnsi="Times New Roman" w:eastAsia="仿宋_GB2312" w:cs="Times New Roman"/>
                <w:b w:val="0"/>
                <w:bCs w:val="0"/>
                <w:color w:val="auto"/>
                <w:kern w:val="2"/>
                <w:sz w:val="28"/>
                <w:szCs w:val="28"/>
                <w:highlight w:val="none"/>
                <w:lang w:val="en-US" w:eastAsia="zh-CN"/>
              </w:rPr>
              <w:t>购置一批抢险救援装备，实施阿坝州东南部森林</w:t>
            </w:r>
            <w:r>
              <w:rPr>
                <w:rFonts w:hint="eastAsia" w:cs="Times New Roman"/>
                <w:b w:val="0"/>
                <w:bCs w:val="0"/>
                <w:color w:val="auto"/>
                <w:kern w:val="2"/>
                <w:sz w:val="28"/>
                <w:szCs w:val="28"/>
                <w:highlight w:val="none"/>
                <w:lang w:val="en-US" w:eastAsia="zh-CN"/>
              </w:rPr>
              <w:t>草原</w:t>
            </w:r>
            <w:r>
              <w:rPr>
                <w:rFonts w:hint="default" w:ascii="Times New Roman" w:hAnsi="Times New Roman" w:eastAsia="仿宋_GB2312" w:cs="Times New Roman"/>
                <w:b w:val="0"/>
                <w:bCs w:val="0"/>
                <w:color w:val="auto"/>
                <w:kern w:val="2"/>
                <w:sz w:val="28"/>
                <w:szCs w:val="28"/>
                <w:highlight w:val="none"/>
                <w:lang w:val="en-US" w:eastAsia="zh-CN"/>
              </w:rPr>
              <w:t>消防队伍能力提升</w:t>
            </w:r>
            <w:r>
              <w:rPr>
                <w:rFonts w:hint="eastAsia" w:cs="Times New Roman"/>
                <w:b w:val="0"/>
                <w:bCs w:val="0"/>
                <w:color w:val="auto"/>
                <w:kern w:val="2"/>
                <w:sz w:val="28"/>
                <w:szCs w:val="28"/>
                <w:highlight w:val="none"/>
                <w:lang w:val="en-US" w:eastAsia="zh-CN"/>
              </w:rPr>
              <w:t>、</w:t>
            </w:r>
            <w:r>
              <w:rPr>
                <w:rFonts w:hint="default" w:ascii="Times New Roman" w:hAnsi="Times New Roman" w:eastAsia="仿宋_GB2312" w:cs="Times New Roman"/>
                <w:b w:val="0"/>
                <w:bCs w:val="0"/>
                <w:color w:val="auto"/>
                <w:kern w:val="2"/>
                <w:sz w:val="28"/>
                <w:szCs w:val="28"/>
                <w:highlight w:val="none"/>
                <w:lang w:val="en-US" w:eastAsia="zh-CN"/>
              </w:rPr>
              <w:t>理县基层应急无人机智慧安全巡航建设</w:t>
            </w:r>
            <w:r>
              <w:rPr>
                <w:rFonts w:hint="eastAsia" w:cs="Times New Roman"/>
                <w:b w:val="0"/>
                <w:bCs w:val="0"/>
                <w:color w:val="auto"/>
                <w:kern w:val="2"/>
                <w:sz w:val="28"/>
                <w:szCs w:val="28"/>
                <w:highlight w:val="none"/>
                <w:lang w:val="en-US" w:eastAsia="zh-CN"/>
              </w:rPr>
              <w:t>等</w:t>
            </w:r>
            <w:r>
              <w:rPr>
                <w:rFonts w:hint="default" w:ascii="Times New Roman" w:hAnsi="Times New Roman" w:eastAsia="仿宋_GB2312" w:cs="Times New Roman"/>
                <w:b w:val="0"/>
                <w:bCs w:val="0"/>
                <w:color w:val="auto"/>
                <w:kern w:val="2"/>
                <w:sz w:val="28"/>
                <w:szCs w:val="28"/>
                <w:highlight w:val="none"/>
                <w:lang w:val="en-US" w:eastAsia="zh-CN"/>
              </w:rPr>
              <w:t>项目。</w:t>
            </w:r>
          </w:p>
          <w:p w14:paraId="45FA176C">
            <w:pPr>
              <w:keepNext w:val="0"/>
              <w:keepLines w:val="0"/>
              <w:pageBreakBefore w:val="0"/>
              <w:widowControl/>
              <w:numPr>
                <w:ilvl w:val="0"/>
                <w:numId w:val="13"/>
              </w:numPr>
              <w:kinsoku/>
              <w:wordWrap/>
              <w:overflowPunct/>
              <w:topLinePunct w:val="0"/>
              <w:autoSpaceDE/>
              <w:autoSpaceDN/>
              <w:bidi w:val="0"/>
              <w:adjustRightInd w:val="0"/>
              <w:snapToGrid w:val="0"/>
              <w:spacing w:line="440" w:lineRule="exact"/>
              <w:ind w:left="420" w:leftChars="0" w:hanging="420" w:firstLineChars="0"/>
              <w:jc w:val="left"/>
              <w:textAlignment w:val="auto"/>
              <w:rPr>
                <w:rFonts w:hint="default" w:ascii="Times New Roman" w:hAnsi="Times New Roman" w:eastAsia="仿宋_GB2312" w:cs="Times New Roman"/>
                <w:color w:val="auto"/>
                <w:kern w:val="2"/>
                <w:sz w:val="28"/>
                <w:szCs w:val="28"/>
                <w:highlight w:val="none"/>
                <w:lang w:eastAsia="zh-CN"/>
              </w:rPr>
            </w:pPr>
            <w:r>
              <w:rPr>
                <w:rFonts w:hint="default" w:ascii="Times New Roman" w:hAnsi="Times New Roman" w:eastAsia="仿宋_GB2312" w:cs="Times New Roman"/>
                <w:b/>
                <w:bCs/>
                <w:color w:val="auto"/>
                <w:kern w:val="2"/>
                <w:sz w:val="28"/>
                <w:szCs w:val="28"/>
                <w:highlight w:val="none"/>
                <w:lang w:val="en-US" w:eastAsia="zh-CN"/>
              </w:rPr>
              <w:t>应急保障能力提升：</w:t>
            </w:r>
            <w:r>
              <w:rPr>
                <w:rFonts w:hint="eastAsia" w:cs="Times New Roman"/>
                <w:b w:val="0"/>
                <w:bCs w:val="0"/>
                <w:color w:val="auto"/>
                <w:kern w:val="2"/>
                <w:sz w:val="28"/>
                <w:szCs w:val="28"/>
                <w:highlight w:val="none"/>
                <w:lang w:val="en-US" w:eastAsia="zh-CN"/>
              </w:rPr>
              <w:t>1.</w:t>
            </w:r>
            <w:r>
              <w:rPr>
                <w:rFonts w:hint="default" w:ascii="Times New Roman" w:hAnsi="Times New Roman" w:eastAsia="仿宋_GB2312" w:cs="Times New Roman"/>
                <w:b w:val="0"/>
                <w:bCs w:val="0"/>
                <w:color w:val="auto"/>
                <w:kern w:val="2"/>
                <w:sz w:val="28"/>
                <w:szCs w:val="28"/>
                <w:highlight w:val="none"/>
                <w:lang w:val="en-US" w:eastAsia="zh-CN"/>
              </w:rPr>
              <w:t>实施理县基层应急能力建设</w:t>
            </w:r>
            <w:r>
              <w:rPr>
                <w:rFonts w:hint="eastAsia" w:cs="Times New Roman"/>
                <w:b w:val="0"/>
                <w:bCs w:val="0"/>
                <w:color w:val="auto"/>
                <w:kern w:val="2"/>
                <w:sz w:val="28"/>
                <w:szCs w:val="28"/>
                <w:highlight w:val="none"/>
                <w:lang w:val="en-US" w:eastAsia="zh-CN"/>
              </w:rPr>
              <w:t>（设施设备采购类）、理县乡镇物资储备库建设、</w:t>
            </w:r>
            <w:r>
              <w:rPr>
                <w:rFonts w:hint="default" w:ascii="Times New Roman" w:hAnsi="Times New Roman" w:eastAsia="仿宋_GB2312" w:cs="Times New Roman"/>
                <w:b w:val="0"/>
                <w:bCs w:val="0"/>
                <w:color w:val="auto"/>
                <w:kern w:val="2"/>
                <w:sz w:val="28"/>
                <w:szCs w:val="28"/>
                <w:highlight w:val="none"/>
                <w:lang w:val="en-US" w:eastAsia="zh-CN"/>
              </w:rPr>
              <w:t>理县基层应急队伍装备标准化采购、自动化监测设备安装及平台建设、村村响应急广播及高清户户通覆盖工程。</w:t>
            </w:r>
            <w:r>
              <w:rPr>
                <w:rFonts w:hint="eastAsia" w:cs="Times New Roman"/>
                <w:b w:val="0"/>
                <w:bCs w:val="0"/>
                <w:color w:val="auto"/>
                <w:kern w:val="2"/>
                <w:sz w:val="28"/>
                <w:szCs w:val="28"/>
                <w:highlight w:val="none"/>
                <w:lang w:val="en-US" w:eastAsia="zh-CN"/>
              </w:rPr>
              <w:t>2.</w:t>
            </w:r>
            <w:r>
              <w:rPr>
                <w:rFonts w:hint="default" w:ascii="Times New Roman" w:hAnsi="Times New Roman" w:eastAsia="仿宋_GB2312" w:cs="Times New Roman"/>
                <w:b w:val="0"/>
                <w:bCs w:val="0"/>
                <w:color w:val="auto"/>
                <w:kern w:val="2"/>
                <w:sz w:val="28"/>
                <w:szCs w:val="28"/>
                <w:highlight w:val="none"/>
                <w:lang w:val="en-US" w:eastAsia="zh-CN"/>
              </w:rPr>
              <w:t>推进理县基层应急能力建设项目（基础设施建设类）</w:t>
            </w:r>
            <w:r>
              <w:rPr>
                <w:rFonts w:hint="eastAsia" w:cs="Times New Roman"/>
                <w:b w:val="0"/>
                <w:bCs w:val="0"/>
                <w:color w:val="auto"/>
                <w:kern w:val="2"/>
                <w:sz w:val="28"/>
                <w:szCs w:val="28"/>
                <w:highlight w:val="none"/>
                <w:lang w:val="en-US" w:eastAsia="zh-CN"/>
              </w:rPr>
              <w:t>等</w:t>
            </w:r>
            <w:r>
              <w:rPr>
                <w:rFonts w:hint="default" w:ascii="Times New Roman" w:hAnsi="Times New Roman" w:eastAsia="仿宋_GB2312" w:cs="Times New Roman"/>
                <w:b w:val="0"/>
                <w:bCs w:val="0"/>
                <w:color w:val="auto"/>
                <w:kern w:val="2"/>
                <w:sz w:val="28"/>
                <w:szCs w:val="28"/>
                <w:highlight w:val="none"/>
                <w:lang w:val="en-US" w:eastAsia="zh-CN"/>
              </w:rPr>
              <w:t>前期工作</w:t>
            </w:r>
            <w:r>
              <w:rPr>
                <w:rFonts w:hint="eastAsia" w:cs="Times New Roman"/>
                <w:b w:val="0"/>
                <w:bCs w:val="0"/>
                <w:color w:val="auto"/>
                <w:kern w:val="2"/>
                <w:sz w:val="28"/>
                <w:szCs w:val="28"/>
                <w:highlight w:val="none"/>
                <w:lang w:val="en-US" w:eastAsia="zh-CN"/>
              </w:rPr>
              <w:t>。</w:t>
            </w:r>
          </w:p>
        </w:tc>
      </w:tr>
    </w:tbl>
    <w:p w14:paraId="3819CC35">
      <w:pPr>
        <w:rPr>
          <w:rFonts w:hint="default" w:ascii="Times New Roman" w:hAnsi="Times New Roman" w:cs="Times New Roman"/>
          <w:color w:val="auto"/>
          <w:highlight w:val="none"/>
          <w:lang w:val="en-US" w:eastAsia="zh-CN"/>
        </w:rPr>
        <w:sectPr>
          <w:pgSz w:w="11906" w:h="16838"/>
          <w:pgMar w:top="2098" w:right="1474" w:bottom="1984" w:left="1587" w:header="851" w:footer="992" w:gutter="0"/>
          <w:pgNumType w:fmt="numberInDash"/>
          <w:cols w:space="0" w:num="1"/>
          <w:rtlGutter w:val="0"/>
          <w:docGrid w:type="lines" w:linePitch="439" w:charSpace="0"/>
        </w:sectPr>
      </w:pPr>
    </w:p>
    <w:p w14:paraId="64F76D32">
      <w:pPr>
        <w:keepNext w:val="0"/>
        <w:keepLines w:val="0"/>
        <w:pageBreakBefore w:val="0"/>
        <w:widowControl w:val="0"/>
        <w:numPr>
          <w:ilvl w:val="0"/>
          <w:numId w:val="3"/>
        </w:numPr>
        <w:kinsoku/>
        <w:wordWrap/>
        <w:overflowPunct/>
        <w:topLinePunct w:val="0"/>
        <w:autoSpaceDE/>
        <w:autoSpaceDN/>
        <w:bidi w:val="0"/>
        <w:adjustRightInd/>
        <w:snapToGrid w:val="0"/>
        <w:spacing w:before="313" w:beforeLines="100" w:after="313" w:afterLines="100" w:line="560" w:lineRule="exact"/>
        <w:ind w:left="0" w:leftChars="0" w:firstLine="0" w:firstLineChars="0"/>
        <w:jc w:val="center"/>
        <w:textAlignment w:val="auto"/>
        <w:outlineLvl w:val="0"/>
        <w:rPr>
          <w:rFonts w:hint="default" w:ascii="Times New Roman" w:hAnsi="Times New Roman" w:eastAsia="方正小标宋简体" w:cs="Times New Roman"/>
          <w:color w:val="auto"/>
          <w:kern w:val="2"/>
          <w:sz w:val="44"/>
          <w:szCs w:val="44"/>
          <w:highlight w:val="none"/>
          <w:lang w:val="en-US" w:eastAsia="zh-CN" w:bidi="ar-SA"/>
        </w:rPr>
      </w:pPr>
      <w:bookmarkStart w:id="723" w:name="_Toc5756"/>
      <w:bookmarkStart w:id="724" w:name="_Toc1737"/>
      <w:r>
        <w:rPr>
          <w:rFonts w:hint="default" w:ascii="Times New Roman" w:hAnsi="Times New Roman" w:eastAsia="方正小标宋简体" w:cs="Times New Roman"/>
          <w:color w:val="auto"/>
          <w:kern w:val="2"/>
          <w:sz w:val="36"/>
          <w:szCs w:val="22"/>
          <w:highlight w:val="none"/>
          <w:lang w:val="en-US" w:eastAsia="zh-CN" w:bidi="ar-SA"/>
        </w:rPr>
        <w:t xml:space="preserve"> </w:t>
      </w:r>
      <w:bookmarkStart w:id="725" w:name="_Toc14893"/>
      <w:bookmarkStart w:id="726" w:name="_Toc9455"/>
      <w:r>
        <w:rPr>
          <w:rFonts w:hint="default" w:ascii="Times New Roman" w:hAnsi="Times New Roman" w:eastAsia="方正小标宋简体" w:cs="Times New Roman"/>
          <w:color w:val="auto"/>
          <w:kern w:val="2"/>
          <w:sz w:val="44"/>
          <w:szCs w:val="44"/>
          <w:highlight w:val="none"/>
          <w:lang w:val="en-US" w:eastAsia="zh-CN" w:bidi="ar-SA"/>
        </w:rPr>
        <w:t>强化规划实施保障</w:t>
      </w:r>
      <w:bookmarkEnd w:id="723"/>
      <w:bookmarkEnd w:id="724"/>
      <w:bookmarkEnd w:id="725"/>
      <w:bookmarkEnd w:id="726"/>
    </w:p>
    <w:p w14:paraId="0C5D5068">
      <w:pPr>
        <w:bidi w:val="0"/>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color w:val="auto"/>
          <w:sz w:val="32"/>
          <w:szCs w:val="22"/>
          <w:highlight w:val="none"/>
          <w:lang w:val="en-US" w:eastAsia="zh-CN"/>
        </w:rPr>
        <w:t>坚持用习近平新时代中国特色社会主义思想武装头脑、指导实践、推动工作，全面加强党的领导，强化政府主体责任，广泛动员全社会力量，确保实现“十五五”规划目标。</w:t>
      </w:r>
    </w:p>
    <w:p w14:paraId="0AA2AD74">
      <w:pPr>
        <w:keepNext/>
        <w:widowControl w:val="0"/>
        <w:numPr>
          <w:ilvl w:val="0"/>
          <w:numId w:val="1"/>
        </w:numPr>
        <w:bidi w:val="0"/>
        <w:snapToGrid w:val="0"/>
        <w:spacing w:before="100" w:beforeLines="100" w:after="100" w:afterLines="100" w:line="560" w:lineRule="exact"/>
        <w:ind w:left="0" w:leftChars="0" w:firstLine="0" w:firstLineChars="0"/>
        <w:jc w:val="center"/>
        <w:outlineLvl w:val="1"/>
        <w:rPr>
          <w:rFonts w:hint="default" w:ascii="Times New Roman" w:hAnsi="Times New Roman" w:eastAsia="黑体" w:cs="Times New Roman"/>
          <w:color w:val="auto"/>
          <w:kern w:val="2"/>
          <w:sz w:val="32"/>
          <w:szCs w:val="24"/>
          <w:highlight w:val="none"/>
          <w:lang w:val="en-US" w:eastAsia="zh-CN" w:bidi="ar-SA"/>
        </w:rPr>
      </w:pPr>
      <w:bookmarkStart w:id="727" w:name="_Toc16109"/>
      <w:bookmarkStart w:id="728" w:name="_Toc1145"/>
      <w:r>
        <w:rPr>
          <w:rFonts w:hint="default" w:ascii="Times New Roman" w:hAnsi="Times New Roman" w:eastAsia="黑体" w:cs="Times New Roman"/>
          <w:color w:val="auto"/>
          <w:kern w:val="2"/>
          <w:sz w:val="32"/>
          <w:szCs w:val="24"/>
          <w:highlight w:val="none"/>
          <w:lang w:val="en-US" w:eastAsia="zh-CN" w:bidi="ar-SA"/>
        </w:rPr>
        <w:t xml:space="preserve"> </w:t>
      </w:r>
      <w:bookmarkStart w:id="729" w:name="_Toc26705"/>
      <w:bookmarkStart w:id="730" w:name="_Toc24168"/>
      <w:r>
        <w:rPr>
          <w:rFonts w:hint="default" w:ascii="Times New Roman" w:hAnsi="Times New Roman" w:eastAsia="黑体" w:cs="Times New Roman"/>
          <w:color w:val="auto"/>
          <w:kern w:val="2"/>
          <w:sz w:val="32"/>
          <w:szCs w:val="24"/>
          <w:highlight w:val="none"/>
          <w:lang w:val="en-US" w:eastAsia="zh-CN" w:bidi="ar-SA"/>
        </w:rPr>
        <w:t>坚持党的全面领导</w:t>
      </w:r>
      <w:bookmarkEnd w:id="727"/>
      <w:bookmarkEnd w:id="728"/>
      <w:bookmarkEnd w:id="729"/>
      <w:bookmarkEnd w:id="730"/>
    </w:p>
    <w:p w14:paraId="75696EF5">
      <w:pPr>
        <w:bidi w:val="0"/>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color w:val="auto"/>
          <w:sz w:val="32"/>
          <w:szCs w:val="22"/>
          <w:highlight w:val="none"/>
          <w:lang w:val="en-US" w:eastAsia="zh-CN"/>
        </w:rPr>
        <w:t>充分发挥党委总揽全局、协调各方的领导核心作用，增强“四个意识”、坚定“四个自信”、做到“两个维护”，坚决贯彻落实党中央、省委和州委各项决策部署。全面贯彻党把方向、谋大局、定政策、促改革的要求，完善党委研究经济社会发展战略、定期分析经济形势、研究重大政策措施工作机制。健全党委领导、政府负责的规划组织领导机制，强化政府实施主体地位，明确县级部门和各级政府职责分工，制定年度分工计划。发挥各级党组织战斗堡垒作用和党员先锋模范作用，更好</w:t>
      </w:r>
      <w:r>
        <w:rPr>
          <w:rFonts w:hint="eastAsia" w:cs="Times New Roman"/>
          <w:color w:val="auto"/>
          <w:sz w:val="32"/>
          <w:szCs w:val="22"/>
          <w:highlight w:val="none"/>
          <w:lang w:val="en-US" w:eastAsia="zh-CN"/>
        </w:rPr>
        <w:t>地</w:t>
      </w:r>
      <w:r>
        <w:rPr>
          <w:rFonts w:hint="default" w:ascii="Times New Roman" w:hAnsi="Times New Roman" w:eastAsia="仿宋_GB2312" w:cs="Times New Roman"/>
          <w:color w:val="auto"/>
          <w:sz w:val="32"/>
          <w:szCs w:val="22"/>
          <w:highlight w:val="none"/>
          <w:lang w:val="en-US" w:eastAsia="zh-CN"/>
        </w:rPr>
        <w:t>带领群众投身现代化建设。健全完善监督体系，加强对公权力运行的制约和监督，推进廉洁政府建设，坚定不移惩治腐败，着力营造风清气正的良好政治生态。</w:t>
      </w:r>
    </w:p>
    <w:p w14:paraId="579B13C7">
      <w:pPr>
        <w:keepNext/>
        <w:widowControl w:val="0"/>
        <w:numPr>
          <w:ilvl w:val="0"/>
          <w:numId w:val="1"/>
        </w:numPr>
        <w:bidi w:val="0"/>
        <w:snapToGrid w:val="0"/>
        <w:spacing w:before="100" w:beforeLines="100" w:after="100" w:afterLines="100" w:line="560" w:lineRule="exact"/>
        <w:ind w:left="0" w:leftChars="0" w:firstLine="0" w:firstLineChars="0"/>
        <w:jc w:val="center"/>
        <w:outlineLvl w:val="1"/>
        <w:rPr>
          <w:rFonts w:hint="default" w:ascii="Times New Roman" w:hAnsi="Times New Roman" w:eastAsia="黑体" w:cs="Times New Roman"/>
          <w:color w:val="auto"/>
          <w:kern w:val="2"/>
          <w:sz w:val="32"/>
          <w:szCs w:val="24"/>
          <w:highlight w:val="none"/>
          <w:lang w:val="en-US" w:eastAsia="zh-CN" w:bidi="ar-SA"/>
        </w:rPr>
      </w:pPr>
      <w:bookmarkStart w:id="731" w:name="_Toc20971"/>
      <w:bookmarkStart w:id="732" w:name="_Toc22765"/>
      <w:r>
        <w:rPr>
          <w:rFonts w:hint="default" w:ascii="Times New Roman" w:hAnsi="Times New Roman" w:eastAsia="黑体" w:cs="Times New Roman"/>
          <w:color w:val="auto"/>
          <w:kern w:val="2"/>
          <w:sz w:val="32"/>
          <w:szCs w:val="24"/>
          <w:highlight w:val="none"/>
          <w:lang w:val="en-US" w:eastAsia="zh-CN" w:bidi="ar-SA"/>
        </w:rPr>
        <w:t xml:space="preserve"> </w:t>
      </w:r>
      <w:bookmarkStart w:id="733" w:name="_Toc7286"/>
      <w:bookmarkStart w:id="734" w:name="_Toc1212"/>
      <w:r>
        <w:rPr>
          <w:rFonts w:hint="default" w:ascii="Times New Roman" w:hAnsi="Times New Roman" w:eastAsia="黑体" w:cs="Times New Roman"/>
          <w:color w:val="auto"/>
          <w:kern w:val="2"/>
          <w:sz w:val="32"/>
          <w:szCs w:val="24"/>
          <w:highlight w:val="none"/>
          <w:lang w:val="en-US" w:eastAsia="zh-CN" w:bidi="ar-SA"/>
        </w:rPr>
        <w:t>健全统一规划体系</w:t>
      </w:r>
      <w:bookmarkEnd w:id="731"/>
      <w:bookmarkEnd w:id="732"/>
      <w:bookmarkEnd w:id="733"/>
      <w:bookmarkEnd w:id="734"/>
    </w:p>
    <w:p w14:paraId="4993278D">
      <w:pPr>
        <w:keepNext/>
        <w:widowControl w:val="0"/>
        <w:numPr>
          <w:ilvl w:val="0"/>
          <w:numId w:val="48"/>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735" w:name="_Toc27974"/>
      <w:bookmarkStart w:id="736" w:name="_Toc3708"/>
      <w:bookmarkStart w:id="737" w:name="_Toc27609"/>
      <w:bookmarkStart w:id="738" w:name="_Toc22009"/>
      <w:r>
        <w:rPr>
          <w:rFonts w:hint="default" w:ascii="Times New Roman" w:hAnsi="Times New Roman" w:eastAsia="楷体_GB2312" w:cs="Times New Roman"/>
          <w:b/>
          <w:bCs w:val="0"/>
          <w:color w:val="auto"/>
          <w:kern w:val="2"/>
          <w:sz w:val="32"/>
          <w:szCs w:val="32"/>
          <w:highlight w:val="none"/>
          <w:lang w:val="en-US" w:eastAsia="zh-CN" w:bidi="ar-SA"/>
        </w:rPr>
        <w:t>健全规划管理体系</w:t>
      </w:r>
      <w:bookmarkEnd w:id="735"/>
      <w:bookmarkEnd w:id="736"/>
      <w:bookmarkEnd w:id="737"/>
      <w:bookmarkEnd w:id="738"/>
    </w:p>
    <w:p w14:paraId="2D2E77B5">
      <w:pPr>
        <w:bidi w:val="0"/>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color w:val="auto"/>
          <w:sz w:val="32"/>
          <w:szCs w:val="22"/>
          <w:highlight w:val="none"/>
          <w:lang w:val="en-US" w:eastAsia="zh-CN"/>
        </w:rPr>
        <w:t>建立以国民经济和社会发展规划为统领、国土空间规划为基础、专项规划为支撑的规划体系。强化发展规划指导功能和约束作用，把县委、县政府决策部署转化为全社会共同行动纲领，为其他各类专项规划编制提供指引。切实发挥空间规划基础支撑作用，为发展规划确定的重大战略任务落地实施提供空间保障。聚焦本规划确定的战略重点和主要任务，编制实施县级专项规划，细化落实发展任务，明确时间表和路线图。</w:t>
      </w:r>
    </w:p>
    <w:p w14:paraId="145F41F7">
      <w:pPr>
        <w:keepNext/>
        <w:widowControl w:val="0"/>
        <w:numPr>
          <w:ilvl w:val="0"/>
          <w:numId w:val="48"/>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739" w:name="_Toc22467"/>
      <w:bookmarkStart w:id="740" w:name="_Toc29262"/>
      <w:bookmarkStart w:id="741" w:name="_Toc8249"/>
      <w:bookmarkStart w:id="742" w:name="_Toc28300"/>
      <w:r>
        <w:rPr>
          <w:rFonts w:hint="default" w:ascii="Times New Roman" w:hAnsi="Times New Roman" w:eastAsia="楷体_GB2312" w:cs="Times New Roman"/>
          <w:b/>
          <w:bCs w:val="0"/>
          <w:color w:val="auto"/>
          <w:kern w:val="2"/>
          <w:sz w:val="32"/>
          <w:szCs w:val="32"/>
          <w:highlight w:val="none"/>
          <w:lang w:val="en-US" w:eastAsia="zh-CN" w:bidi="ar-SA"/>
        </w:rPr>
        <w:t>加强规划衔接</w:t>
      </w:r>
      <w:bookmarkEnd w:id="739"/>
      <w:bookmarkEnd w:id="740"/>
      <w:r>
        <w:rPr>
          <w:rFonts w:hint="eastAsia" w:eastAsia="楷体_GB2312" w:cs="Times New Roman"/>
          <w:b/>
          <w:bCs w:val="0"/>
          <w:color w:val="auto"/>
          <w:kern w:val="2"/>
          <w:sz w:val="32"/>
          <w:szCs w:val="32"/>
          <w:highlight w:val="none"/>
          <w:lang w:val="en-US" w:eastAsia="zh-CN" w:bidi="ar-SA"/>
        </w:rPr>
        <w:t>联动</w:t>
      </w:r>
      <w:bookmarkEnd w:id="741"/>
      <w:bookmarkEnd w:id="742"/>
    </w:p>
    <w:p w14:paraId="04E19F99">
      <w:pPr>
        <w:bidi w:val="0"/>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color w:val="auto"/>
          <w:sz w:val="32"/>
          <w:szCs w:val="22"/>
          <w:highlight w:val="none"/>
          <w:lang w:val="en-US" w:eastAsia="zh-CN"/>
        </w:rPr>
        <w:t>加强与上位发展规划、空间规划、区域规划和专项规划的有机衔接，在重大政策、重大改革、重大项目等方面争取国省州更大支持。报请县委、县政府批准的专项规划报批前须与本规划进行衔接，确保县级空间规划、专项规划等各类规划与本规划在主要目标、发展方向、总体布局、重大政策等方面协调一致。健全“发展规划—空间规划—年度计划—财政预算—土地供应—环境容量”全链条协同机制，形成“任务清单+项目清单+政策清单”闭环管理，保障本规划确定的各项目标、重点任务和重大项目落地见效。</w:t>
      </w:r>
    </w:p>
    <w:p w14:paraId="7C7AE503">
      <w:pPr>
        <w:keepNext/>
        <w:widowControl w:val="0"/>
        <w:numPr>
          <w:ilvl w:val="0"/>
          <w:numId w:val="1"/>
        </w:numPr>
        <w:bidi w:val="0"/>
        <w:snapToGrid w:val="0"/>
        <w:spacing w:before="100" w:beforeLines="100" w:after="100" w:afterLines="100" w:line="560" w:lineRule="exact"/>
        <w:ind w:left="0" w:leftChars="0" w:firstLine="0" w:firstLineChars="0"/>
        <w:jc w:val="center"/>
        <w:outlineLvl w:val="1"/>
        <w:rPr>
          <w:rFonts w:hint="default" w:ascii="Times New Roman" w:hAnsi="Times New Roman" w:eastAsia="黑体" w:cs="Times New Roman"/>
          <w:color w:val="auto"/>
          <w:kern w:val="2"/>
          <w:sz w:val="32"/>
          <w:szCs w:val="24"/>
          <w:highlight w:val="none"/>
          <w:lang w:val="en-US" w:eastAsia="zh-CN" w:bidi="ar-SA"/>
        </w:rPr>
      </w:pPr>
      <w:bookmarkStart w:id="743" w:name="_Toc4008"/>
      <w:bookmarkStart w:id="744" w:name="_Toc8037"/>
      <w:r>
        <w:rPr>
          <w:rFonts w:hint="default" w:ascii="Times New Roman" w:hAnsi="Times New Roman" w:eastAsia="黑体" w:cs="Times New Roman"/>
          <w:color w:val="auto"/>
          <w:kern w:val="2"/>
          <w:sz w:val="32"/>
          <w:szCs w:val="24"/>
          <w:highlight w:val="none"/>
          <w:lang w:val="en-US" w:eastAsia="zh-CN" w:bidi="ar-SA"/>
        </w:rPr>
        <w:t xml:space="preserve"> </w:t>
      </w:r>
      <w:bookmarkStart w:id="745" w:name="_Toc15330"/>
      <w:bookmarkStart w:id="746" w:name="_Toc13122"/>
      <w:r>
        <w:rPr>
          <w:rFonts w:hint="default" w:ascii="Times New Roman" w:hAnsi="Times New Roman" w:eastAsia="黑体" w:cs="Times New Roman"/>
          <w:color w:val="auto"/>
          <w:kern w:val="2"/>
          <w:sz w:val="32"/>
          <w:szCs w:val="24"/>
          <w:highlight w:val="none"/>
          <w:lang w:val="en-US" w:eastAsia="zh-CN" w:bidi="ar-SA"/>
        </w:rPr>
        <w:t>完善规划实施机制</w:t>
      </w:r>
      <w:bookmarkEnd w:id="743"/>
      <w:bookmarkEnd w:id="744"/>
      <w:bookmarkEnd w:id="745"/>
      <w:bookmarkEnd w:id="746"/>
    </w:p>
    <w:p w14:paraId="6A7AC3A4">
      <w:pPr>
        <w:keepNext/>
        <w:widowControl w:val="0"/>
        <w:numPr>
          <w:ilvl w:val="0"/>
          <w:numId w:val="49"/>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747" w:name="_Toc25016"/>
      <w:bookmarkStart w:id="748" w:name="_Toc30716"/>
      <w:bookmarkStart w:id="749" w:name="_Toc7038"/>
      <w:bookmarkStart w:id="750" w:name="_Toc26272"/>
      <w:r>
        <w:rPr>
          <w:rFonts w:hint="default" w:ascii="Times New Roman" w:hAnsi="Times New Roman" w:eastAsia="楷体_GB2312" w:cs="Times New Roman"/>
          <w:b/>
          <w:bCs w:val="0"/>
          <w:color w:val="auto"/>
          <w:kern w:val="2"/>
          <w:sz w:val="32"/>
          <w:szCs w:val="32"/>
          <w:highlight w:val="none"/>
          <w:lang w:val="en-US" w:eastAsia="zh-CN" w:bidi="ar-SA"/>
        </w:rPr>
        <w:t>完善配套政策体系</w:t>
      </w:r>
      <w:bookmarkEnd w:id="747"/>
      <w:bookmarkEnd w:id="748"/>
      <w:bookmarkEnd w:id="749"/>
      <w:bookmarkEnd w:id="750"/>
    </w:p>
    <w:p w14:paraId="5FFBF38D">
      <w:pPr>
        <w:bidi w:val="0"/>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color w:val="auto"/>
          <w:sz w:val="32"/>
          <w:szCs w:val="22"/>
          <w:highlight w:val="none"/>
          <w:lang w:val="en-US" w:eastAsia="zh-CN"/>
        </w:rPr>
        <w:t>用好用活中央、省、州出台的政策，主动加强与上级部门、援建方衔接沟通，落实各项支持政策和项目。围绕经济社会发展的重点领域和关键环节，制定出台配套政策。加大财政资金整合力度，健全财政资金使用绩效评价机制，规范财政支出管理，提高财政资金使用效率。</w:t>
      </w:r>
    </w:p>
    <w:p w14:paraId="2521A277">
      <w:pPr>
        <w:keepNext/>
        <w:widowControl w:val="0"/>
        <w:numPr>
          <w:ilvl w:val="0"/>
          <w:numId w:val="49"/>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751" w:name="_Toc13634"/>
      <w:bookmarkStart w:id="752" w:name="_Toc10451"/>
      <w:bookmarkStart w:id="753" w:name="_Toc25639"/>
      <w:bookmarkStart w:id="754" w:name="_Toc17955"/>
      <w:r>
        <w:rPr>
          <w:rFonts w:hint="default" w:ascii="Times New Roman" w:hAnsi="Times New Roman" w:eastAsia="楷体_GB2312" w:cs="Times New Roman"/>
          <w:b/>
          <w:bCs w:val="0"/>
          <w:color w:val="auto"/>
          <w:kern w:val="2"/>
          <w:sz w:val="32"/>
          <w:szCs w:val="32"/>
          <w:highlight w:val="none"/>
          <w:lang w:val="en-US" w:eastAsia="zh-CN" w:bidi="ar-SA"/>
        </w:rPr>
        <w:t>强化重大项目支撑</w:t>
      </w:r>
      <w:bookmarkEnd w:id="751"/>
      <w:bookmarkEnd w:id="752"/>
      <w:bookmarkEnd w:id="753"/>
      <w:bookmarkEnd w:id="754"/>
    </w:p>
    <w:p w14:paraId="08620350">
      <w:pPr>
        <w:bidi w:val="0"/>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color w:val="auto"/>
          <w:sz w:val="32"/>
          <w:szCs w:val="22"/>
          <w:highlight w:val="none"/>
          <w:lang w:val="en-US" w:eastAsia="zh-CN"/>
        </w:rPr>
        <w:t>主动加强与上级部门、对口支援地区沟通衔接，积极对接国、省、州规划和重点投向，针对投资重点领域和薄弱环节，加强重点项目的规划、筛选和储备。建立健全项目推进机制，推进重点项目建设全过程管理，强化重点项目跟踪服务。加强项目建设要素保障，确保项目落地落实。</w:t>
      </w:r>
    </w:p>
    <w:p w14:paraId="4C165063">
      <w:pPr>
        <w:keepNext/>
        <w:widowControl w:val="0"/>
        <w:numPr>
          <w:ilvl w:val="0"/>
          <w:numId w:val="49"/>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755" w:name="_Toc32347"/>
      <w:bookmarkStart w:id="756" w:name="_Toc119"/>
      <w:bookmarkStart w:id="757" w:name="_Toc24755"/>
      <w:bookmarkStart w:id="758" w:name="_Toc20443"/>
      <w:r>
        <w:rPr>
          <w:rFonts w:hint="default" w:ascii="Times New Roman" w:hAnsi="Times New Roman" w:eastAsia="楷体_GB2312" w:cs="Times New Roman"/>
          <w:b/>
          <w:bCs w:val="0"/>
          <w:color w:val="auto"/>
          <w:kern w:val="2"/>
          <w:sz w:val="32"/>
          <w:szCs w:val="32"/>
          <w:highlight w:val="none"/>
          <w:lang w:val="en-US" w:eastAsia="zh-CN" w:bidi="ar-SA"/>
        </w:rPr>
        <w:t>加强规划目标考核</w:t>
      </w:r>
      <w:bookmarkEnd w:id="755"/>
      <w:bookmarkEnd w:id="756"/>
      <w:bookmarkEnd w:id="757"/>
      <w:bookmarkEnd w:id="758"/>
    </w:p>
    <w:p w14:paraId="083DC4EF">
      <w:pPr>
        <w:bidi w:val="0"/>
        <w:spacing w:line="560" w:lineRule="exact"/>
        <w:ind w:firstLine="640" w:firstLineChars="200"/>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color w:val="auto"/>
          <w:sz w:val="32"/>
          <w:szCs w:val="22"/>
          <w:highlight w:val="none"/>
          <w:lang w:val="en-US" w:eastAsia="zh-CN"/>
        </w:rPr>
        <w:t>本规划提出的预期性指标和产业发展、结构调整等任务，主要依靠市场主体自主行为实现，要激发人民群众参与规划实施的主人翁意识，形成全县人民群策群力的生动局面。本规划确定的约束性指标和重大工程、重大项目、重大政策、重大改革任务，要明确责任主体，落实进度要求，确保如期完成。</w:t>
      </w:r>
    </w:p>
    <w:p w14:paraId="296E4B71">
      <w:pPr>
        <w:keepNext/>
        <w:widowControl w:val="0"/>
        <w:numPr>
          <w:ilvl w:val="0"/>
          <w:numId w:val="49"/>
        </w:numPr>
        <w:bidi w:val="0"/>
        <w:snapToGrid w:val="0"/>
        <w:spacing w:before="100" w:beforeLines="100" w:after="100" w:afterLines="100" w:line="560" w:lineRule="exact"/>
        <w:ind w:firstLine="0" w:firstLineChars="0"/>
        <w:jc w:val="center"/>
        <w:outlineLvl w:val="2"/>
        <w:rPr>
          <w:rFonts w:hint="default" w:ascii="Times New Roman" w:hAnsi="Times New Roman" w:eastAsia="楷体_GB2312" w:cs="Times New Roman"/>
          <w:b/>
          <w:bCs w:val="0"/>
          <w:color w:val="auto"/>
          <w:kern w:val="2"/>
          <w:sz w:val="32"/>
          <w:szCs w:val="32"/>
          <w:highlight w:val="none"/>
          <w:lang w:val="en-US"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 xml:space="preserve"> </w:t>
      </w:r>
      <w:bookmarkStart w:id="759" w:name="_Toc4634"/>
      <w:bookmarkStart w:id="760" w:name="_Toc21327"/>
      <w:bookmarkStart w:id="761" w:name="_Toc29350"/>
      <w:bookmarkStart w:id="762" w:name="_Toc17757"/>
      <w:r>
        <w:rPr>
          <w:rFonts w:hint="default" w:ascii="Times New Roman" w:hAnsi="Times New Roman" w:eastAsia="楷体_GB2312" w:cs="Times New Roman"/>
          <w:b/>
          <w:bCs w:val="0"/>
          <w:color w:val="auto"/>
          <w:kern w:val="2"/>
          <w:sz w:val="32"/>
          <w:szCs w:val="32"/>
          <w:highlight w:val="none"/>
          <w:lang w:val="en-US" w:eastAsia="zh-CN" w:bidi="ar-SA"/>
        </w:rPr>
        <w:t>加强规划监督评估</w:t>
      </w:r>
      <w:bookmarkEnd w:id="759"/>
      <w:bookmarkEnd w:id="760"/>
      <w:bookmarkEnd w:id="761"/>
      <w:bookmarkEnd w:id="762"/>
    </w:p>
    <w:p w14:paraId="05CA4852">
      <w:pPr>
        <w:bidi w:val="0"/>
        <w:rPr>
          <w:rFonts w:hint="default" w:ascii="Times New Roman" w:hAnsi="Times New Roman" w:cs="Times New Roman"/>
          <w:color w:val="auto"/>
          <w:highlight w:val="none"/>
          <w:lang w:val="en-US" w:eastAsia="zh-CN"/>
        </w:rPr>
        <w:sectPr>
          <w:pgSz w:w="11906" w:h="16838"/>
          <w:pgMar w:top="2098" w:right="1474" w:bottom="1984" w:left="1587" w:header="851" w:footer="992" w:gutter="0"/>
          <w:pgNumType w:fmt="numberInDash"/>
          <w:cols w:space="0" w:num="1"/>
          <w:rtlGutter w:val="0"/>
          <w:docGrid w:type="lines" w:linePitch="439" w:charSpace="0"/>
        </w:sectPr>
      </w:pPr>
      <w:r>
        <w:rPr>
          <w:rFonts w:hint="default" w:ascii="Times New Roman" w:hAnsi="Times New Roman" w:eastAsia="仿宋_GB2312" w:cs="Times New Roman"/>
          <w:color w:val="auto"/>
          <w:sz w:val="32"/>
          <w:szCs w:val="22"/>
          <w:highlight w:val="none"/>
          <w:lang w:val="en-US" w:eastAsia="zh-CN"/>
        </w:rPr>
        <w:t>本规划经县人民代表大会审查和批准，由县人民政府组织实施。县人民政府依据本规划制定实施国民经济和社会发展年度计划，安排年度目标和主要任务，并向县人民代表大会报告，自觉接受人大监督、审计监督和社会监督。规划实施中期（终期），由县人民政府组织力量对实施情况进行评估。需对本规划进行调整时，由县人民政府提出建议，报县人民代表大会常务委员会批准。</w:t>
      </w:r>
    </w:p>
    <w:p w14:paraId="13AB4E1A">
      <w:pPr>
        <w:widowControl w:val="0"/>
        <w:bidi w:val="0"/>
        <w:spacing w:before="100" w:beforeLines="100" w:after="100" w:afterLines="100" w:line="560" w:lineRule="exact"/>
        <w:ind w:firstLine="0" w:firstLineChars="0"/>
        <w:jc w:val="center"/>
        <w:rPr>
          <w:rFonts w:hint="default" w:ascii="Times New Roman" w:hAnsi="Times New Roman" w:eastAsia="方正小标宋简体" w:cs="Times New Roman"/>
          <w:color w:val="auto"/>
          <w:kern w:val="2"/>
          <w:sz w:val="36"/>
          <w:szCs w:val="22"/>
          <w:highlight w:val="none"/>
          <w:lang w:val="en-US" w:eastAsia="zh-CN" w:bidi="ar-SA"/>
        </w:rPr>
      </w:pPr>
      <w:bookmarkStart w:id="763" w:name="_Toc8123"/>
      <w:bookmarkStart w:id="764" w:name="_Toc1495"/>
      <w:r>
        <w:rPr>
          <w:rFonts w:hint="default" w:ascii="Times New Roman" w:hAnsi="Times New Roman" w:eastAsia="方正小标宋简体" w:cs="Times New Roman"/>
          <w:color w:val="auto"/>
          <w:kern w:val="2"/>
          <w:sz w:val="36"/>
          <w:szCs w:val="22"/>
          <w:highlight w:val="none"/>
          <w:lang w:val="en-US" w:eastAsia="zh-CN" w:bidi="ar-SA"/>
        </w:rPr>
        <w:t>名词解释</w:t>
      </w:r>
      <w:bookmarkEnd w:id="763"/>
      <w:bookmarkEnd w:id="764"/>
    </w:p>
    <w:p w14:paraId="12149F05">
      <w:pPr>
        <w:keepNext w:val="0"/>
        <w:keepLines w:val="0"/>
        <w:pageBreakBefore w:val="0"/>
        <w:widowControl w:val="0"/>
        <w:numPr>
          <w:ilvl w:val="0"/>
          <w:numId w:val="50"/>
        </w:numPr>
        <w:pBdr>
          <w:top w:val="none" w:color="auto" w:sz="0" w:space="0"/>
          <w:left w:val="none" w:color="auto" w:sz="0" w:space="0"/>
          <w:bottom w:val="none" w:color="auto" w:sz="0" w:space="0"/>
          <w:right w:val="none" w:color="auto" w:sz="0" w:space="0"/>
          <w:between w:val="none" w:color="auto" w:sz="0" w:space="0"/>
        </w:pBdr>
        <w:kinsoku/>
        <w:wordWrap/>
        <w:topLinePunct w:val="0"/>
        <w:autoSpaceDE/>
        <w:autoSpaceDN/>
        <w:bidi w:val="0"/>
        <w:adjustRightInd w:val="0"/>
        <w:snapToGrid w:val="0"/>
        <w:spacing w:line="576" w:lineRule="exact"/>
        <w:ind w:left="0" w:leftChars="0" w:firstLine="640" w:firstLineChars="200"/>
        <w:textAlignment w:val="auto"/>
        <w:rPr>
          <w:rFonts w:hint="default" w:ascii="Times New Roman" w:hAnsi="Times New Roman" w:eastAsia="仿宋_GB2312" w:cs="Times New Roman"/>
          <w:b w:val="0"/>
          <w:bCs w:val="0"/>
          <w:color w:val="auto"/>
          <w:kern w:val="0"/>
          <w:sz w:val="32"/>
          <w:szCs w:val="32"/>
          <w:highlight w:val="none"/>
          <w:lang w:val="en-US" w:eastAsia="zh-CN" w:bidi="ar-SA"/>
        </w:rPr>
      </w:pPr>
      <w:r>
        <w:rPr>
          <w:rFonts w:hint="default" w:ascii="Times New Roman" w:hAnsi="Times New Roman" w:eastAsia="方正黑体_GBK" w:cs="Times New Roman"/>
          <w:b w:val="0"/>
          <w:bCs/>
          <w:color w:val="auto"/>
          <w:kern w:val="0"/>
          <w:sz w:val="32"/>
          <w:szCs w:val="32"/>
          <w:highlight w:val="none"/>
          <w:lang w:val="en-US" w:eastAsia="zh-CN" w:bidi="ar"/>
        </w:rPr>
        <w:t>“1+5+5+N”全域城镇体系：</w:t>
      </w:r>
      <w:r>
        <w:rPr>
          <w:rFonts w:hint="default" w:ascii="Times New Roman" w:hAnsi="Times New Roman" w:eastAsia="仿宋_GB2312" w:cs="Times New Roman"/>
          <w:b w:val="0"/>
          <w:bCs w:val="0"/>
          <w:color w:val="auto"/>
          <w:kern w:val="0"/>
          <w:sz w:val="32"/>
          <w:szCs w:val="32"/>
          <w:highlight w:val="none"/>
          <w:lang w:val="en-US" w:eastAsia="zh-CN" w:bidi="ar-SA"/>
        </w:rPr>
        <w:t>“1”即以县城为核心；“5”即以薛城为副中心及米亚罗、古尔沟、朴头、桃坪为次中心的5个重点集镇支撑；“5”即以上孟、下孟、通化、甘堡、蒲溪5个魅力乡为依托；“N”即以N个中心村（社区）为引领，全域推动城乡深度融合发展、乡村全面振兴。</w:t>
      </w:r>
    </w:p>
    <w:p w14:paraId="7B89DFA0">
      <w:pPr>
        <w:keepNext w:val="0"/>
        <w:keepLines w:val="0"/>
        <w:pageBreakBefore w:val="0"/>
        <w:widowControl w:val="0"/>
        <w:numPr>
          <w:ilvl w:val="0"/>
          <w:numId w:val="50"/>
        </w:numPr>
        <w:pBdr>
          <w:top w:val="none" w:color="auto" w:sz="0" w:space="0"/>
          <w:left w:val="none" w:color="auto" w:sz="0" w:space="0"/>
          <w:bottom w:val="none" w:color="auto" w:sz="0" w:space="0"/>
          <w:right w:val="none" w:color="auto" w:sz="0" w:space="0"/>
          <w:between w:val="none" w:color="auto" w:sz="0" w:space="0"/>
        </w:pBdr>
        <w:kinsoku/>
        <w:wordWrap/>
        <w:topLinePunct w:val="0"/>
        <w:autoSpaceDE/>
        <w:autoSpaceDN/>
        <w:bidi w:val="0"/>
        <w:adjustRightInd w:val="0"/>
        <w:snapToGrid w:val="0"/>
        <w:spacing w:line="576" w:lineRule="exact"/>
        <w:ind w:left="0" w:leftChars="0"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方正黑体_GBK" w:cs="Times New Roman"/>
          <w:b w:val="0"/>
          <w:bCs/>
          <w:color w:val="auto"/>
          <w:kern w:val="0"/>
          <w:sz w:val="32"/>
          <w:szCs w:val="32"/>
          <w:highlight w:val="none"/>
          <w:lang w:val="en-US" w:eastAsia="zh-CN" w:bidi="ar"/>
        </w:rPr>
        <w:t>“双碳”战略：</w:t>
      </w:r>
      <w:r>
        <w:rPr>
          <w:rFonts w:hint="default" w:ascii="Times New Roman" w:hAnsi="Times New Roman" w:eastAsia="仿宋_GB2312" w:cs="Times New Roman"/>
          <w:b w:val="0"/>
          <w:bCs w:val="0"/>
          <w:color w:val="auto"/>
          <w:sz w:val="32"/>
          <w:szCs w:val="32"/>
          <w:highlight w:val="none"/>
          <w:lang w:val="en-US" w:eastAsia="zh-CN"/>
        </w:rPr>
        <w:t>中国提出的碳达峰、碳中和重大战略决策，旨在应对全球气候变化，推动绿色低碳转型。其中，碳达峰提出二氧化碳排放力争于2030年前达到峰值；碳中和提出努力争取于2060年前实现碳中和（即实现二氧化碳“零排放”）。</w:t>
      </w:r>
    </w:p>
    <w:p w14:paraId="5B29A4AB">
      <w:pPr>
        <w:keepNext w:val="0"/>
        <w:keepLines w:val="0"/>
        <w:pageBreakBefore w:val="0"/>
        <w:widowControl w:val="0"/>
        <w:numPr>
          <w:ilvl w:val="0"/>
          <w:numId w:val="50"/>
        </w:numPr>
        <w:pBdr>
          <w:top w:val="none" w:color="auto" w:sz="0" w:space="0"/>
          <w:left w:val="none" w:color="auto" w:sz="0" w:space="0"/>
          <w:bottom w:val="none" w:color="auto" w:sz="0" w:space="0"/>
          <w:right w:val="none" w:color="auto" w:sz="0" w:space="0"/>
          <w:between w:val="none" w:color="auto" w:sz="0" w:space="0"/>
        </w:pBdr>
        <w:kinsoku/>
        <w:wordWrap/>
        <w:topLinePunct w:val="0"/>
        <w:autoSpaceDE/>
        <w:autoSpaceDN/>
        <w:bidi w:val="0"/>
        <w:adjustRightInd w:val="0"/>
        <w:snapToGrid w:val="0"/>
        <w:spacing w:line="576" w:lineRule="exact"/>
        <w:ind w:left="0" w:leftChars="0"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方正黑体_GBK" w:cs="Times New Roman"/>
          <w:b w:val="0"/>
          <w:bCs/>
          <w:color w:val="auto"/>
          <w:kern w:val="0"/>
          <w:sz w:val="32"/>
          <w:szCs w:val="32"/>
          <w:highlight w:val="none"/>
          <w:lang w:val="en-US" w:eastAsia="zh-CN" w:bidi="ar"/>
        </w:rPr>
        <w:t>六大旅游目的地：</w:t>
      </w:r>
      <w:r>
        <w:rPr>
          <w:rFonts w:hint="default" w:ascii="Times New Roman" w:hAnsi="Times New Roman" w:eastAsia="仿宋_GB2312" w:cs="Times New Roman"/>
          <w:b w:val="0"/>
          <w:bCs w:val="0"/>
          <w:color w:val="auto"/>
          <w:sz w:val="32"/>
          <w:szCs w:val="32"/>
          <w:highlight w:val="none"/>
          <w:lang w:val="en-US" w:eastAsia="zh-CN"/>
        </w:rPr>
        <w:t>县委十三届八次全会提出，打造文化沉浸旅游体验地、生态观光旅游示范地、康养休闲旅游引领地、冰雪温泉旅游度假地、魅力自驾旅游网红地、户外运动旅游目的地。</w:t>
      </w:r>
    </w:p>
    <w:p w14:paraId="15319314">
      <w:pPr>
        <w:keepNext w:val="0"/>
        <w:keepLines w:val="0"/>
        <w:pageBreakBefore w:val="0"/>
        <w:widowControl w:val="0"/>
        <w:numPr>
          <w:ilvl w:val="0"/>
          <w:numId w:val="50"/>
        </w:numPr>
        <w:kinsoku/>
        <w:wordWrap/>
        <w:overflowPunct w:val="0"/>
        <w:topLinePunct w:val="0"/>
        <w:autoSpaceDE/>
        <w:autoSpaceDN/>
        <w:bidi w:val="0"/>
        <w:adjustRightInd/>
        <w:snapToGrid/>
        <w:spacing w:line="576" w:lineRule="exact"/>
        <w:ind w:left="0" w:leftChars="0" w:right="0" w:rightChars="0" w:firstLine="640" w:firstLineChars="200"/>
        <w:jc w:val="both"/>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方正黑体_GBK" w:cs="Times New Roman"/>
          <w:b w:val="0"/>
          <w:bCs/>
          <w:color w:val="auto"/>
          <w:kern w:val="0"/>
          <w:sz w:val="32"/>
          <w:szCs w:val="32"/>
          <w:highlight w:val="none"/>
          <w:lang w:val="en-US" w:eastAsia="zh-CN" w:bidi="ar"/>
        </w:rPr>
        <w:t>“1610”系统部署：</w:t>
      </w:r>
      <w:r>
        <w:rPr>
          <w:rFonts w:hint="default" w:ascii="Times New Roman" w:hAnsi="Times New Roman" w:eastAsia="仿宋_GB2312" w:cs="Times New Roman"/>
          <w:color w:val="auto"/>
          <w:kern w:val="2"/>
          <w:sz w:val="32"/>
          <w:szCs w:val="32"/>
          <w:highlight w:val="none"/>
          <w:lang w:val="en-US" w:eastAsia="zh-CN" w:bidi="ar-SA"/>
        </w:rPr>
        <w:t>“1”即“民族地区高质量发展阿坝典范”总目标；“6”即民族团结、生态文明、全域旅游、开放创新、基层治理、共同富裕六个方面示范引领；“10”即民族团结示范创建、城乡环境质量提升、生态文化旅游大文章、能源矿产开发利用、现代农牧产业发展、基础设施攻坚突破、民生改善重点工程、乡村全面振兴发展、全面深化改革开放、党的基层组织建设十个关键支撑。</w:t>
      </w:r>
    </w:p>
    <w:p w14:paraId="3FA89421">
      <w:pPr>
        <w:keepNext w:val="0"/>
        <w:keepLines w:val="0"/>
        <w:pageBreakBefore w:val="0"/>
        <w:widowControl w:val="0"/>
        <w:numPr>
          <w:ilvl w:val="0"/>
          <w:numId w:val="50"/>
        </w:numPr>
        <w:kinsoku/>
        <w:wordWrap/>
        <w:overflowPunct w:val="0"/>
        <w:topLinePunct w:val="0"/>
        <w:autoSpaceDE/>
        <w:autoSpaceDN/>
        <w:bidi w:val="0"/>
        <w:adjustRightInd/>
        <w:snapToGrid/>
        <w:spacing w:line="576"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color w:val="auto"/>
          <w:kern w:val="2"/>
          <w:sz w:val="32"/>
          <w:szCs w:val="32"/>
          <w:highlight w:val="none"/>
          <w:lang w:val="en-US" w:eastAsia="zh-CN" w:bidi="ar-SA"/>
        </w:rPr>
      </w:pPr>
      <w:r>
        <w:rPr>
          <w:rFonts w:hint="default" w:ascii="Times New Roman" w:hAnsi="Times New Roman" w:eastAsia="方正黑体_GBK" w:cs="Times New Roman"/>
          <w:b w:val="0"/>
          <w:bCs/>
          <w:color w:val="auto"/>
          <w:kern w:val="0"/>
          <w:sz w:val="32"/>
          <w:szCs w:val="32"/>
          <w:highlight w:val="none"/>
          <w:lang w:val="en-US" w:eastAsia="zh-CN" w:bidi="ar"/>
        </w:rPr>
        <w:t>六项原则：</w:t>
      </w:r>
      <w:r>
        <w:rPr>
          <w:rFonts w:hint="default" w:ascii="Times New Roman" w:hAnsi="Times New Roman" w:eastAsia="仿宋_GB2312" w:cs="Times New Roman"/>
          <w:b w:val="0"/>
          <w:bCs w:val="0"/>
          <w:color w:val="auto"/>
          <w:kern w:val="2"/>
          <w:sz w:val="32"/>
          <w:szCs w:val="32"/>
          <w:highlight w:val="none"/>
          <w:lang w:val="en-US" w:eastAsia="zh-CN" w:bidi="ar-SA"/>
        </w:rPr>
        <w:t>县委十三届八次全会提出，建成全域旅游示范地必须坚持“六项原则”，即坚持规划引领、坚持生态优先、坚持文化赋能、坚持融合发展、坚持依法治旅、坚持共建共享。</w:t>
      </w:r>
    </w:p>
    <w:p w14:paraId="150D32E1">
      <w:pPr>
        <w:keepNext w:val="0"/>
        <w:keepLines w:val="0"/>
        <w:pageBreakBefore w:val="0"/>
        <w:widowControl w:val="0"/>
        <w:numPr>
          <w:ilvl w:val="0"/>
          <w:numId w:val="50"/>
        </w:numPr>
        <w:kinsoku/>
        <w:wordWrap/>
        <w:overflowPunct w:val="0"/>
        <w:topLinePunct w:val="0"/>
        <w:autoSpaceDE/>
        <w:autoSpaceDN/>
        <w:bidi w:val="0"/>
        <w:adjustRightInd/>
        <w:snapToGrid/>
        <w:spacing w:line="576"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color w:val="auto"/>
          <w:kern w:val="2"/>
          <w:sz w:val="32"/>
          <w:szCs w:val="32"/>
          <w:highlight w:val="none"/>
          <w:lang w:val="en-US" w:eastAsia="zh-CN" w:bidi="ar-SA"/>
        </w:rPr>
      </w:pPr>
      <w:r>
        <w:rPr>
          <w:rFonts w:hint="default" w:ascii="Times New Roman" w:hAnsi="Times New Roman" w:eastAsia="方正黑体_GBK" w:cs="Times New Roman"/>
          <w:b w:val="0"/>
          <w:bCs/>
          <w:color w:val="auto"/>
          <w:kern w:val="0"/>
          <w:sz w:val="32"/>
          <w:szCs w:val="32"/>
          <w:highlight w:val="none"/>
          <w:lang w:val="en-US" w:eastAsia="zh-CN" w:bidi="ar"/>
        </w:rPr>
        <w:t>六大支撑：</w:t>
      </w:r>
      <w:r>
        <w:rPr>
          <w:rFonts w:hint="default" w:ascii="Times New Roman" w:hAnsi="Times New Roman" w:eastAsia="仿宋_GB2312" w:cs="Times New Roman"/>
          <w:b w:val="0"/>
          <w:bCs w:val="0"/>
          <w:color w:val="auto"/>
          <w:kern w:val="2"/>
          <w:sz w:val="32"/>
          <w:szCs w:val="32"/>
          <w:highlight w:val="none"/>
          <w:lang w:val="en-US" w:eastAsia="zh-CN" w:bidi="ar-SA"/>
        </w:rPr>
        <w:t>县委十三届八次全会提出，建成全域旅游示范地必须强化“六大支撑”，即做强文化体验旅游、做强生态观光旅游、做强康养休闲旅游、做强冰雪温泉旅游、做强魅力自驾旅游、做强户外运动旅游。</w:t>
      </w:r>
    </w:p>
    <w:p w14:paraId="23E3ECD6">
      <w:pPr>
        <w:keepNext w:val="0"/>
        <w:keepLines w:val="0"/>
        <w:pageBreakBefore w:val="0"/>
        <w:widowControl w:val="0"/>
        <w:numPr>
          <w:ilvl w:val="0"/>
          <w:numId w:val="50"/>
        </w:numPr>
        <w:kinsoku/>
        <w:wordWrap/>
        <w:overflowPunct w:val="0"/>
        <w:topLinePunct w:val="0"/>
        <w:autoSpaceDE/>
        <w:autoSpaceDN/>
        <w:bidi w:val="0"/>
        <w:adjustRightInd/>
        <w:snapToGrid/>
        <w:spacing w:line="576"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color w:val="auto"/>
          <w:kern w:val="2"/>
          <w:sz w:val="32"/>
          <w:szCs w:val="32"/>
          <w:highlight w:val="none"/>
          <w:lang w:val="en-US" w:eastAsia="zh-CN" w:bidi="ar-SA"/>
        </w:rPr>
      </w:pPr>
      <w:r>
        <w:rPr>
          <w:rFonts w:hint="default" w:ascii="Times New Roman" w:hAnsi="Times New Roman" w:eastAsia="方正黑体_GBK" w:cs="Times New Roman"/>
          <w:b w:val="0"/>
          <w:bCs/>
          <w:color w:val="auto"/>
          <w:kern w:val="0"/>
          <w:sz w:val="32"/>
          <w:szCs w:val="32"/>
          <w:highlight w:val="none"/>
          <w:lang w:val="en-US" w:eastAsia="zh-CN" w:bidi="ar"/>
        </w:rPr>
        <w:t>六对关系：</w:t>
      </w:r>
      <w:r>
        <w:rPr>
          <w:rFonts w:hint="default" w:ascii="Times New Roman" w:hAnsi="Times New Roman" w:eastAsia="仿宋_GB2312" w:cs="Times New Roman"/>
          <w:b w:val="0"/>
          <w:bCs w:val="0"/>
          <w:color w:val="auto"/>
          <w:kern w:val="2"/>
          <w:sz w:val="32"/>
          <w:szCs w:val="32"/>
          <w:highlight w:val="none"/>
          <w:lang w:val="en-US" w:eastAsia="zh-CN" w:bidi="ar-SA"/>
        </w:rPr>
        <w:t>县委十三届八次全会提出，建成全域旅游示范地必须统筹“六对关系”，即统筹政府与市场的关系、统筹保护与开发的关系、统筹供给与需求的关系、统筹数量与质量的关系、统筹特色与协同的关系、统筹局部与全域的关系。</w:t>
      </w:r>
    </w:p>
    <w:p w14:paraId="175E4095">
      <w:pPr>
        <w:keepNext w:val="0"/>
        <w:keepLines w:val="0"/>
        <w:pageBreakBefore w:val="0"/>
        <w:widowControl w:val="0"/>
        <w:numPr>
          <w:ilvl w:val="0"/>
          <w:numId w:val="50"/>
        </w:numPr>
        <w:kinsoku/>
        <w:wordWrap/>
        <w:overflowPunct w:val="0"/>
        <w:topLinePunct w:val="0"/>
        <w:autoSpaceDE/>
        <w:autoSpaceDN/>
        <w:bidi w:val="0"/>
        <w:adjustRightInd/>
        <w:snapToGrid/>
        <w:spacing w:line="576"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color w:val="auto"/>
          <w:kern w:val="2"/>
          <w:sz w:val="32"/>
          <w:szCs w:val="32"/>
          <w:highlight w:val="none"/>
          <w:lang w:val="en-US" w:eastAsia="zh-CN" w:bidi="ar-SA"/>
        </w:rPr>
      </w:pPr>
      <w:r>
        <w:rPr>
          <w:rFonts w:hint="default" w:ascii="Times New Roman" w:hAnsi="Times New Roman" w:eastAsia="方正黑体_GBK" w:cs="Times New Roman"/>
          <w:b w:val="0"/>
          <w:bCs/>
          <w:color w:val="auto"/>
          <w:kern w:val="0"/>
          <w:sz w:val="32"/>
          <w:szCs w:val="32"/>
          <w:highlight w:val="none"/>
          <w:lang w:val="en-US" w:eastAsia="zh-CN" w:bidi="ar"/>
        </w:rPr>
        <w:t>三医联动、六医协同：</w:t>
      </w:r>
      <w:r>
        <w:rPr>
          <w:rFonts w:hint="default" w:ascii="Times New Roman" w:hAnsi="Times New Roman" w:eastAsia="仿宋_GB2312" w:cs="Times New Roman"/>
          <w:color w:val="auto"/>
          <w:kern w:val="2"/>
          <w:sz w:val="32"/>
          <w:szCs w:val="22"/>
          <w:highlight w:val="none"/>
          <w:lang w:val="en-US" w:eastAsia="zh-CN" w:bidi="ar-SA"/>
        </w:rPr>
        <w:t>医疗、医保、医药三个领域政策同步、信息共享、监管协同，解决“看病难、看病贵”问题；在“三医”基础上再把医院、医生、中医药（公卫）同步纳入改革盘子，形成“医药、医价、医保、医生、医疗、公卫”六要素一体化管理。</w:t>
      </w:r>
    </w:p>
    <w:p w14:paraId="38F03004">
      <w:pPr>
        <w:keepNext w:val="0"/>
        <w:keepLines w:val="0"/>
        <w:pageBreakBefore w:val="0"/>
        <w:widowControl w:val="0"/>
        <w:numPr>
          <w:ilvl w:val="0"/>
          <w:numId w:val="50"/>
        </w:numPr>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lang w:val="en-US" w:eastAsia="zh-CN"/>
        </w:rPr>
        <w:t>“1+2+N”村级组织治理体系：</w:t>
      </w:r>
      <w:r>
        <w:rPr>
          <w:rFonts w:hint="default" w:ascii="Times New Roman" w:hAnsi="Times New Roman" w:eastAsia="仿宋_GB2312" w:cs="Times New Roman"/>
          <w:b w:val="0"/>
          <w:bCs w:val="0"/>
          <w:color w:val="auto"/>
          <w:sz w:val="32"/>
          <w:szCs w:val="32"/>
          <w:highlight w:val="none"/>
          <w:lang w:val="en-US" w:eastAsia="zh-CN"/>
        </w:rPr>
        <w:t>“1”即以村级党组织为核心；“2”即以村民委员会和村务监督委员会为基础；“N”即以道德评判团、志愿服务队、红白理事会及党建“七联”机制为补充。</w:t>
      </w:r>
    </w:p>
    <w:p w14:paraId="0BDC7B9F">
      <w:pPr>
        <w:keepNext w:val="0"/>
        <w:keepLines w:val="0"/>
        <w:pageBreakBefore w:val="0"/>
        <w:widowControl w:val="0"/>
        <w:numPr>
          <w:ilvl w:val="0"/>
          <w:numId w:val="50"/>
        </w:numPr>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lang w:val="en-US" w:eastAsia="zh-CN"/>
        </w:rPr>
        <w:t>双联双进：</w:t>
      </w:r>
      <w:r>
        <w:rPr>
          <w:rFonts w:hint="default" w:ascii="Times New Roman" w:hAnsi="Times New Roman" w:eastAsia="仿宋_GB2312" w:cs="Times New Roman"/>
          <w:b w:val="0"/>
          <w:bCs w:val="0"/>
          <w:color w:val="auto"/>
          <w:sz w:val="32"/>
          <w:szCs w:val="32"/>
          <w:highlight w:val="none"/>
          <w:lang w:val="en-US" w:eastAsia="zh-CN"/>
        </w:rPr>
        <w:t>新时代党建引领基层治理和乡村振兴的常态化、制度化抓手。“双联”即部门（委局）与街镇、干部与村（居）“一对一”结对，形成“组织联建、资源联享、难题联解”的常态联系；“双进”即机关干部“进网格”听民意、办实事；政策法规、服务资源“进基层”送到家门口，实现干部走下去、问题带上来、服务沉到位。</w:t>
      </w:r>
    </w:p>
    <w:p w14:paraId="73863C3C">
      <w:pPr>
        <w:keepNext w:val="0"/>
        <w:keepLines w:val="0"/>
        <w:pageBreakBefore w:val="0"/>
        <w:widowControl w:val="0"/>
        <w:numPr>
          <w:ilvl w:val="0"/>
          <w:numId w:val="50"/>
        </w:numPr>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lang w:val="en-US" w:eastAsia="zh-CN"/>
        </w:rPr>
        <w:t>一核五治、五治融合、多元共治：</w:t>
      </w:r>
      <w:r>
        <w:rPr>
          <w:rFonts w:hint="default" w:ascii="Times New Roman" w:hAnsi="Times New Roman" w:eastAsia="仿宋_GB2312" w:cs="Times New Roman"/>
          <w:b w:val="0"/>
          <w:bCs w:val="0"/>
          <w:color w:val="auto"/>
          <w:sz w:val="32"/>
          <w:szCs w:val="32"/>
          <w:highlight w:val="none"/>
          <w:lang w:val="en-US" w:eastAsia="zh-CN"/>
        </w:rPr>
        <w:t>以党建“一核”为统领，把政治、自治、法治、德治、智治“五治”融成一套打法，再让政府、群团、社会组织、居民、企业等“多元”主体同频共振，实现共建共治共享。</w:t>
      </w:r>
    </w:p>
    <w:p w14:paraId="3A9D4DF9">
      <w:pPr>
        <w:keepNext w:val="0"/>
        <w:keepLines w:val="0"/>
        <w:pageBreakBefore w:val="0"/>
        <w:widowControl w:val="0"/>
        <w:numPr>
          <w:ilvl w:val="0"/>
          <w:numId w:val="50"/>
        </w:numPr>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黑体" w:cs="Times New Roman"/>
          <w:color w:val="auto"/>
          <w:sz w:val="32"/>
          <w:szCs w:val="32"/>
          <w:highlight w:val="none"/>
          <w:lang w:val="en-US" w:eastAsia="zh-CN"/>
        </w:rPr>
        <w:t>“五个之州”：</w:t>
      </w:r>
      <w:r>
        <w:rPr>
          <w:rFonts w:hint="default" w:ascii="Times New Roman" w:hAnsi="Times New Roman" w:eastAsia="仿宋_GB2312" w:cs="Times New Roman"/>
          <w:b w:val="0"/>
          <w:bCs w:val="0"/>
          <w:color w:val="auto"/>
          <w:sz w:val="32"/>
          <w:szCs w:val="32"/>
          <w:highlight w:val="none"/>
          <w:lang w:val="en-US" w:eastAsia="zh-CN"/>
        </w:rPr>
        <w:t>阿坝州在推动旅游和文化发展的战略目标，旨在建设国际生态文化旅游目的地，打造“自驾之州”“研学之州”“民宿之州”“网红之州”“好客之州”。</w:t>
      </w:r>
    </w:p>
    <w:p w14:paraId="062FFB39">
      <w:pPr>
        <w:keepNext w:val="0"/>
        <w:keepLines w:val="0"/>
        <w:pageBreakBefore w:val="0"/>
        <w:widowControl w:val="0"/>
        <w:numPr>
          <w:ilvl w:val="0"/>
          <w:numId w:val="50"/>
        </w:numPr>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黑体" w:cs="Times New Roman"/>
          <w:color w:val="auto"/>
          <w:sz w:val="32"/>
          <w:szCs w:val="32"/>
          <w:highlight w:val="none"/>
          <w:lang w:val="en-US" w:eastAsia="zh-CN"/>
        </w:rPr>
        <w:t>“一轴串珠、多线联动”：</w:t>
      </w:r>
      <w:r>
        <w:rPr>
          <w:rFonts w:hint="default" w:ascii="Times New Roman" w:hAnsi="Times New Roman" w:eastAsia="仿宋_GB2312" w:cs="Times New Roman"/>
          <w:b w:val="0"/>
          <w:bCs w:val="0"/>
          <w:color w:val="auto"/>
          <w:sz w:val="32"/>
          <w:szCs w:val="32"/>
          <w:highlight w:val="none"/>
          <w:lang w:val="en-US" w:eastAsia="zh-CN"/>
        </w:rPr>
        <w:t>主轴以G317和国道317中国最美景观大道为核心，串联毕棚沟、米亚罗红叶风景区、桃坪羌寨</w:t>
      </w:r>
      <w:r>
        <w:rPr>
          <w:rFonts w:hint="default" w:ascii="Times New Roman" w:hAnsi="Times New Roman" w:eastAsia="微软雅黑" w:cs="Times New Roman"/>
          <w:color w:val="auto"/>
          <w:sz w:val="32"/>
          <w:szCs w:val="22"/>
          <w:highlight w:val="none"/>
          <w:lang w:val="en-US" w:eastAsia="zh-CN"/>
        </w:rPr>
        <w:t>•</w:t>
      </w:r>
      <w:r>
        <w:rPr>
          <w:rFonts w:hint="default" w:ascii="Times New Roman" w:hAnsi="Times New Roman" w:eastAsia="仿宋_GB2312" w:cs="Times New Roman"/>
          <w:b w:val="0"/>
          <w:bCs w:val="0"/>
          <w:color w:val="auto"/>
          <w:sz w:val="32"/>
          <w:szCs w:val="32"/>
          <w:highlight w:val="none"/>
          <w:lang w:val="en-US" w:eastAsia="zh-CN"/>
        </w:rPr>
        <w:t>甘堡藏寨等核心景区，形成全域旅游骨干通道，支线辐射九子屯遗址公园、高桥沟、大沟等特色节点。</w:t>
      </w:r>
    </w:p>
    <w:p w14:paraId="06F35558">
      <w:pPr>
        <w:keepNext w:val="0"/>
        <w:keepLines w:val="0"/>
        <w:pageBreakBefore w:val="0"/>
        <w:widowControl w:val="0"/>
        <w:numPr>
          <w:ilvl w:val="0"/>
          <w:numId w:val="50"/>
        </w:numPr>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lang w:val="en-US" w:eastAsia="zh-CN"/>
        </w:rPr>
        <w:t>“路景融合”：</w:t>
      </w:r>
      <w:r>
        <w:rPr>
          <w:rFonts w:hint="default" w:ascii="Times New Roman" w:hAnsi="Times New Roman" w:eastAsia="仿宋_GB2312" w:cs="Times New Roman"/>
          <w:b w:val="0"/>
          <w:bCs w:val="0"/>
          <w:color w:val="auto"/>
          <w:sz w:val="32"/>
          <w:szCs w:val="32"/>
          <w:highlight w:val="none"/>
          <w:lang w:val="en-US" w:eastAsia="zh-CN"/>
        </w:rPr>
        <w:t>道路建设与沿线自然景观、文化元素一体化设计，让道路既是交通要道，也是景观展示带，实现车行景中、人随景动。</w:t>
      </w:r>
    </w:p>
    <w:p w14:paraId="15375C23">
      <w:pPr>
        <w:keepNext w:val="0"/>
        <w:keepLines w:val="0"/>
        <w:pageBreakBefore w:val="0"/>
        <w:widowControl w:val="0"/>
        <w:numPr>
          <w:ilvl w:val="0"/>
          <w:numId w:val="50"/>
        </w:numPr>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黑体" w:cs="Times New Roman"/>
          <w:color w:val="auto"/>
          <w:sz w:val="32"/>
          <w:szCs w:val="32"/>
          <w:highlight w:val="none"/>
          <w:lang w:val="en-US" w:eastAsia="zh-CN"/>
        </w:rPr>
        <w:t>“村景联动”：</w:t>
      </w:r>
      <w:r>
        <w:rPr>
          <w:rFonts w:hint="default" w:ascii="Times New Roman" w:hAnsi="Times New Roman" w:eastAsia="仿宋_GB2312" w:cs="Times New Roman"/>
          <w:b w:val="0"/>
          <w:bCs w:val="0"/>
          <w:color w:val="auto"/>
          <w:sz w:val="32"/>
          <w:szCs w:val="32"/>
          <w:highlight w:val="none"/>
          <w:lang w:val="en-US" w:eastAsia="zh-CN"/>
        </w:rPr>
        <w:t>村庄与周边景区资源互补、业态互融，村庄既是旅游接待节点，也是景观组成部分，形成“村为景衬、景带村兴”的格局。</w:t>
      </w:r>
    </w:p>
    <w:p w14:paraId="2F12A1E1">
      <w:pPr>
        <w:keepNext w:val="0"/>
        <w:keepLines w:val="0"/>
        <w:pageBreakBefore w:val="0"/>
        <w:widowControl w:val="0"/>
        <w:numPr>
          <w:ilvl w:val="0"/>
          <w:numId w:val="50"/>
        </w:numPr>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黑体" w:cs="Times New Roman"/>
          <w:color w:val="auto"/>
          <w:sz w:val="32"/>
          <w:szCs w:val="32"/>
          <w:highlight w:val="none"/>
          <w:lang w:val="en-US" w:eastAsia="zh-CN"/>
        </w:rPr>
        <w:t>康养休闲民宿引领区：</w:t>
      </w:r>
      <w:r>
        <w:rPr>
          <w:rFonts w:hint="default" w:ascii="Times New Roman" w:hAnsi="Times New Roman" w:eastAsia="仿宋_GB2312" w:cs="Times New Roman"/>
          <w:b w:val="0"/>
          <w:bCs w:val="0"/>
          <w:color w:val="auto"/>
          <w:sz w:val="32"/>
          <w:szCs w:val="32"/>
          <w:highlight w:val="none"/>
          <w:lang w:val="en-US" w:eastAsia="zh-CN"/>
        </w:rPr>
        <w:t>阿坝州州委十二届全会提出汶川、理县、茂县建设“康养休闲民宿引领区”。</w:t>
      </w:r>
    </w:p>
    <w:p w14:paraId="7ECA77ED">
      <w:pPr>
        <w:keepNext w:val="0"/>
        <w:keepLines w:val="0"/>
        <w:pageBreakBefore w:val="0"/>
        <w:widowControl w:val="0"/>
        <w:numPr>
          <w:ilvl w:val="0"/>
          <w:numId w:val="50"/>
        </w:numPr>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黑体" w:cs="Times New Roman"/>
          <w:color w:val="auto"/>
          <w:sz w:val="32"/>
          <w:szCs w:val="32"/>
          <w:highlight w:val="none"/>
          <w:lang w:val="en-US" w:eastAsia="zh-CN"/>
        </w:rPr>
        <w:t>“快进慢游”：</w:t>
      </w:r>
      <w:r>
        <w:rPr>
          <w:rFonts w:hint="default" w:ascii="Times New Roman" w:hAnsi="Times New Roman" w:eastAsia="仿宋_GB2312" w:cs="Times New Roman"/>
          <w:b w:val="0"/>
          <w:bCs w:val="0"/>
          <w:color w:val="auto"/>
          <w:sz w:val="32"/>
          <w:szCs w:val="32"/>
          <w:highlight w:val="none"/>
          <w:lang w:val="en-US" w:eastAsia="zh-CN"/>
        </w:rPr>
        <w:t>以高效便捷的对外交通网络实现游客快速抵达目的地，再通过县域内串联景区、村落、民宿的慢行道、风景道及丰富业态，让游客放慢节奏深度体验自然景观与民俗文化，实现“高效抵达、深度畅游”的旅游模式。</w:t>
      </w:r>
    </w:p>
    <w:p w14:paraId="5DDD1C1E">
      <w:pPr>
        <w:keepNext w:val="0"/>
        <w:keepLines w:val="0"/>
        <w:pageBreakBefore w:val="0"/>
        <w:widowControl w:val="0"/>
        <w:numPr>
          <w:ilvl w:val="0"/>
          <w:numId w:val="50"/>
        </w:numPr>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方正黑体_GBK" w:cs="Times New Roman"/>
          <w:b w:val="0"/>
          <w:bCs/>
          <w:color w:val="auto"/>
          <w:kern w:val="0"/>
          <w:sz w:val="32"/>
          <w:szCs w:val="32"/>
          <w:highlight w:val="none"/>
          <w:lang w:val="en-US" w:eastAsia="zh-CN" w:bidi="ar"/>
        </w:rPr>
        <w:t>六个一万：</w:t>
      </w:r>
      <w:r>
        <w:rPr>
          <w:rFonts w:hint="default" w:ascii="Times New Roman" w:hAnsi="Times New Roman" w:eastAsia="仿宋_GB2312" w:cs="Times New Roman"/>
          <w:color w:val="auto"/>
          <w:sz w:val="32"/>
          <w:szCs w:val="22"/>
          <w:highlight w:val="none"/>
          <w:lang w:val="en-US" w:eastAsia="zh-CN"/>
        </w:rPr>
        <w:t>即核桃高效示范种植园10000亩、林下种植食用菌10000亩、林下种植中草药10000亩、林下种植蔬菜10000亩、林下种植花卉10000亩、林下养殖10000只（头）。</w:t>
      </w:r>
    </w:p>
    <w:p w14:paraId="78460323">
      <w:pPr>
        <w:keepNext w:val="0"/>
        <w:keepLines w:val="0"/>
        <w:pageBreakBefore w:val="0"/>
        <w:widowControl w:val="0"/>
        <w:numPr>
          <w:ilvl w:val="0"/>
          <w:numId w:val="50"/>
        </w:numPr>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方正黑体_GBK" w:cs="Times New Roman"/>
          <w:b w:val="0"/>
          <w:bCs/>
          <w:color w:val="auto"/>
          <w:kern w:val="0"/>
          <w:sz w:val="32"/>
          <w:szCs w:val="32"/>
          <w:highlight w:val="none"/>
          <w:lang w:val="en-US" w:eastAsia="zh-CN" w:bidi="ar"/>
        </w:rPr>
        <w:t>“1+1+8”</w:t>
      </w:r>
      <w:r>
        <w:rPr>
          <w:rFonts w:hint="default" w:ascii="Times New Roman" w:hAnsi="Times New Roman" w:eastAsia="仿宋_GB2312" w:cs="Times New Roman"/>
          <w:color w:val="auto"/>
          <w:sz w:val="32"/>
          <w:szCs w:val="22"/>
          <w:highlight w:val="none"/>
          <w:lang w:val="en-US" w:eastAsia="zh-CN"/>
        </w:rPr>
        <w:t>：是四川省委、省政府2025年启动的农业产业建圈强链总体架构，第1个“1”是指万亿级畜牧产业（生猪、肉羊、家禽、饲料、兽药、精深加工、冷链物流全链条），第2个“1”是指五千亿级粮油产业（水稻、小麦、玉米、油菜、大豆、薯类及粮油食品深加工），“8”个千亿级特色产业是指蔬菜、水果、茶叶、蚕桑、水产、林竹、调味品、食药同源中药材。</w:t>
      </w:r>
    </w:p>
    <w:p w14:paraId="4A672B92">
      <w:pPr>
        <w:keepNext w:val="0"/>
        <w:keepLines w:val="0"/>
        <w:pageBreakBefore w:val="0"/>
        <w:widowControl w:val="0"/>
        <w:numPr>
          <w:ilvl w:val="0"/>
          <w:numId w:val="50"/>
        </w:numPr>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eastAsia="仿宋_GB2312" w:cs="Times New Roman"/>
          <w:color w:val="auto"/>
          <w:sz w:val="32"/>
          <w:szCs w:val="22"/>
          <w:highlight w:val="none"/>
          <w:lang w:eastAsia="zh-CN"/>
        </w:rPr>
      </w:pPr>
      <w:r>
        <w:rPr>
          <w:rFonts w:hint="default" w:ascii="Times New Roman" w:hAnsi="Times New Roman" w:eastAsia="方正黑体_GBK" w:cs="Times New Roman"/>
          <w:b w:val="0"/>
          <w:bCs/>
          <w:color w:val="auto"/>
          <w:kern w:val="0"/>
          <w:sz w:val="32"/>
          <w:szCs w:val="32"/>
          <w:highlight w:val="none"/>
          <w:lang w:val="en-US" w:eastAsia="zh-CN" w:bidi="ar"/>
        </w:rPr>
        <w:t>非农化、非粮化</w:t>
      </w:r>
      <w:r>
        <w:rPr>
          <w:rFonts w:hint="default" w:ascii="Times New Roman" w:hAnsi="Times New Roman" w:eastAsia="仿宋_GB2312" w:cs="Times New Roman"/>
          <w:color w:val="auto"/>
          <w:sz w:val="32"/>
          <w:szCs w:val="22"/>
          <w:highlight w:val="none"/>
          <w:lang w:eastAsia="zh-CN"/>
        </w:rPr>
        <w:t>：“非农化”</w:t>
      </w:r>
      <w:r>
        <w:rPr>
          <w:rFonts w:hint="default" w:ascii="Times New Roman" w:hAnsi="Times New Roman" w:eastAsia="仿宋_GB2312" w:cs="Times New Roman"/>
          <w:color w:val="auto"/>
          <w:sz w:val="32"/>
          <w:szCs w:val="22"/>
          <w:highlight w:val="none"/>
          <w:lang w:val="en-US" w:eastAsia="zh-CN"/>
        </w:rPr>
        <w:t>即</w:t>
      </w:r>
      <w:r>
        <w:rPr>
          <w:rFonts w:hint="default" w:ascii="Times New Roman" w:hAnsi="Times New Roman" w:eastAsia="仿宋_GB2312" w:cs="Times New Roman"/>
          <w:color w:val="auto"/>
          <w:sz w:val="32"/>
          <w:szCs w:val="22"/>
          <w:highlight w:val="none"/>
          <w:lang w:eastAsia="zh-CN"/>
        </w:rPr>
        <w:t>耕地被用于“非农业”建设行为，如建厂、建房、挖湖造景、绿化造林等，属于违法占地，必须“零容忍”打击；“</w:t>
      </w:r>
      <w:r>
        <w:rPr>
          <w:rFonts w:hint="default" w:ascii="Times New Roman" w:hAnsi="Times New Roman" w:eastAsia="仿宋_GB2312" w:cs="Times New Roman"/>
          <w:color w:val="auto"/>
          <w:sz w:val="32"/>
          <w:szCs w:val="22"/>
          <w:highlight w:val="none"/>
          <w:lang w:val="en-US" w:eastAsia="zh-CN"/>
        </w:rPr>
        <w:t>非粮化</w:t>
      </w:r>
      <w:r>
        <w:rPr>
          <w:rFonts w:hint="default" w:ascii="Times New Roman" w:hAnsi="Times New Roman" w:eastAsia="仿宋_GB2312" w:cs="Times New Roman"/>
          <w:color w:val="auto"/>
          <w:sz w:val="32"/>
          <w:szCs w:val="22"/>
          <w:highlight w:val="none"/>
          <w:lang w:eastAsia="zh-CN"/>
        </w:rPr>
        <w:t>”</w:t>
      </w:r>
      <w:r>
        <w:rPr>
          <w:rFonts w:hint="default" w:ascii="Times New Roman" w:hAnsi="Times New Roman" w:eastAsia="仿宋_GB2312" w:cs="Times New Roman"/>
          <w:color w:val="auto"/>
          <w:sz w:val="32"/>
          <w:szCs w:val="22"/>
          <w:highlight w:val="none"/>
          <w:lang w:val="en-US" w:eastAsia="zh-CN"/>
        </w:rPr>
        <w:t>即</w:t>
      </w:r>
      <w:r>
        <w:rPr>
          <w:rFonts w:hint="default" w:ascii="Times New Roman" w:hAnsi="Times New Roman" w:eastAsia="仿宋_GB2312" w:cs="Times New Roman"/>
          <w:color w:val="auto"/>
          <w:sz w:val="32"/>
          <w:szCs w:val="22"/>
          <w:highlight w:val="none"/>
          <w:lang w:eastAsia="zh-CN"/>
        </w:rPr>
        <w:t>耕地仍属农业用途，但改种“非主粮”作物（水果、茶叶、花卉、苗木、挖塘养鱼等），或闲置撂荒，导致粮食播种面积减少。</w:t>
      </w:r>
    </w:p>
    <w:p w14:paraId="6B1C5512">
      <w:pPr>
        <w:keepNext w:val="0"/>
        <w:keepLines w:val="0"/>
        <w:pageBreakBefore w:val="0"/>
        <w:widowControl w:val="0"/>
        <w:numPr>
          <w:ilvl w:val="0"/>
          <w:numId w:val="50"/>
        </w:numPr>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方正黑体_GBK" w:cs="Times New Roman"/>
          <w:b w:val="0"/>
          <w:bCs/>
          <w:color w:val="auto"/>
          <w:kern w:val="0"/>
          <w:sz w:val="32"/>
          <w:szCs w:val="32"/>
          <w:highlight w:val="none"/>
          <w:lang w:val="en-US" w:eastAsia="zh-CN" w:bidi="ar"/>
        </w:rPr>
        <w:t>农产品产地“最先一公里”和城市配送“最后一公里”：</w:t>
      </w:r>
      <w:r>
        <w:rPr>
          <w:rFonts w:hint="default" w:ascii="Times New Roman" w:hAnsi="Times New Roman" w:eastAsia="仿宋_GB2312" w:cs="Times New Roman"/>
          <w:color w:val="auto"/>
          <w:sz w:val="32"/>
          <w:szCs w:val="22"/>
          <w:highlight w:val="none"/>
          <w:lang w:val="en-US" w:eastAsia="zh-CN"/>
        </w:rPr>
        <w:t>共同构成生鲜冷链的“两端”，是目前损耗最高、成本最集中、技术升级最快的环节。“最先一公里（产地端）”是指从“采摘/屠宰/捕捞”到“第一辆冷链货车”，“最后一公里（城市端）”是指从“城市分拨仓/菜市场”到“消费者厨房/餐桌”。“最先一公里”靠“田头预冷+共享冷库”把易腐农产品快速降温锁鲜，“最后一公里”靠“无人车+无人机+智能柜”把冷链延伸到社区和餐桌，两端同步数字化、无人化、共享化，才能把损耗降下去、把品质提上来。</w:t>
      </w:r>
    </w:p>
    <w:p w14:paraId="37B500C8">
      <w:pPr>
        <w:keepNext w:val="0"/>
        <w:keepLines w:val="0"/>
        <w:pageBreakBefore w:val="0"/>
        <w:widowControl w:val="0"/>
        <w:numPr>
          <w:ilvl w:val="0"/>
          <w:numId w:val="50"/>
        </w:numPr>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方正黑体_GBK" w:cs="Times New Roman"/>
          <w:b w:val="0"/>
          <w:bCs/>
          <w:color w:val="auto"/>
          <w:kern w:val="0"/>
          <w:sz w:val="32"/>
          <w:szCs w:val="32"/>
          <w:highlight w:val="none"/>
          <w:lang w:val="en-US" w:eastAsia="zh-CN" w:bidi="ar"/>
        </w:rPr>
        <w:t>“上云用数赋智”服务：</w:t>
      </w:r>
      <w:r>
        <w:rPr>
          <w:rFonts w:hint="default" w:ascii="Times New Roman" w:hAnsi="Times New Roman" w:eastAsia="仿宋_GB2312" w:cs="Times New Roman"/>
          <w:color w:val="auto"/>
          <w:sz w:val="32"/>
          <w:szCs w:val="22"/>
          <w:highlight w:val="none"/>
          <w:lang w:val="en-US" w:eastAsia="zh-CN"/>
        </w:rPr>
        <w:t>“上云用数赋智”是国家</w:t>
      </w:r>
      <w:r>
        <w:rPr>
          <w:rFonts w:hint="eastAsia" w:cs="Times New Roman"/>
          <w:color w:val="auto"/>
          <w:sz w:val="32"/>
          <w:szCs w:val="22"/>
          <w:highlight w:val="none"/>
          <w:lang w:val="en-US" w:eastAsia="zh-CN"/>
        </w:rPr>
        <w:t>发展改革委</w:t>
      </w:r>
      <w:r>
        <w:rPr>
          <w:rFonts w:hint="default" w:ascii="Times New Roman" w:hAnsi="Times New Roman" w:eastAsia="仿宋_GB2312" w:cs="Times New Roman"/>
          <w:color w:val="auto"/>
          <w:sz w:val="32"/>
          <w:szCs w:val="22"/>
          <w:highlight w:val="none"/>
          <w:lang w:val="en-US" w:eastAsia="zh-CN"/>
        </w:rPr>
        <w:t>、中央网信办等部委于2020年联合启动的“中小微企业数字化转型行动”的总称。“上云”把算力、软件、存储迁到云端，随租随用，省掉机房和运维投入；“用数”帮企业把产供销、设备、能耗等数据采起来、管起来、算起来，实现“数据点石成金”；“赋智”在云上数据的基础上叠加AI、数字孪生、工业大脑等算法模型，让设备自诊断、工艺自优化、订单自预测，实现降本增效。</w:t>
      </w:r>
    </w:p>
    <w:p w14:paraId="7E56A1A9">
      <w:pPr>
        <w:keepNext w:val="0"/>
        <w:keepLines w:val="0"/>
        <w:pageBreakBefore w:val="0"/>
        <w:widowControl w:val="0"/>
        <w:numPr>
          <w:ilvl w:val="0"/>
          <w:numId w:val="50"/>
        </w:numPr>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方正黑体_GBK" w:cs="Times New Roman"/>
          <w:b w:val="0"/>
          <w:bCs/>
          <w:color w:val="auto"/>
          <w:kern w:val="0"/>
          <w:sz w:val="32"/>
          <w:szCs w:val="32"/>
          <w:highlight w:val="none"/>
          <w:lang w:val="en-US" w:eastAsia="zh-CN" w:bidi="ar"/>
        </w:rPr>
        <w:t>“川货寄递”工程：</w:t>
      </w:r>
      <w:r>
        <w:rPr>
          <w:rFonts w:hint="default" w:ascii="Times New Roman" w:hAnsi="Times New Roman" w:eastAsia="仿宋_GB2312" w:cs="Times New Roman"/>
          <w:color w:val="auto"/>
          <w:sz w:val="32"/>
          <w:szCs w:val="22"/>
          <w:highlight w:val="none"/>
          <w:lang w:val="en-US" w:eastAsia="zh-CN"/>
        </w:rPr>
        <w:t>是四川省2021年起实施的农村电商与寄递物流融合专项，目标是把“川果、川味、川菜”等优势特色产品通过快递快速送出川，解决农产品上行“最先一公里”问题，助力乡村产业振兴。</w:t>
      </w:r>
    </w:p>
    <w:p w14:paraId="4F6AB389">
      <w:pPr>
        <w:keepNext w:val="0"/>
        <w:keepLines w:val="0"/>
        <w:pageBreakBefore w:val="0"/>
        <w:widowControl w:val="0"/>
        <w:numPr>
          <w:ilvl w:val="0"/>
          <w:numId w:val="50"/>
        </w:numPr>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方正黑体_GBK" w:cs="Times New Roman"/>
          <w:b w:val="0"/>
          <w:bCs/>
          <w:color w:val="auto"/>
          <w:kern w:val="0"/>
          <w:sz w:val="32"/>
          <w:szCs w:val="32"/>
          <w:highlight w:val="none"/>
          <w:lang w:val="en-US" w:eastAsia="zh-CN" w:bidi="ar"/>
        </w:rPr>
        <w:t>“源网荷储一体化”绿电算力供给体系：</w:t>
      </w:r>
      <w:r>
        <w:rPr>
          <w:rFonts w:hint="default" w:ascii="Times New Roman" w:hAnsi="Times New Roman" w:eastAsia="仿宋_GB2312" w:cs="Times New Roman"/>
          <w:color w:val="auto"/>
          <w:sz w:val="32"/>
          <w:szCs w:val="22"/>
          <w:highlight w:val="none"/>
          <w:lang w:val="en-US" w:eastAsia="zh-CN"/>
        </w:rPr>
        <w:t>“以算力负荷为中心”重构电源、电网、储能布局，实现数据中心（算力）与新能源（绿电）同园区、同规划、同调度、同交易，最终达到“绿电直供、算力低碳、成本最优”的新型能源-算力协同方案。</w:t>
      </w:r>
    </w:p>
    <w:p w14:paraId="517412B5">
      <w:pPr>
        <w:keepNext w:val="0"/>
        <w:keepLines w:val="0"/>
        <w:pageBreakBefore w:val="0"/>
        <w:widowControl w:val="0"/>
        <w:numPr>
          <w:ilvl w:val="0"/>
          <w:numId w:val="50"/>
        </w:numPr>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黑体" w:cs="Times New Roman"/>
          <w:color w:val="auto"/>
          <w:sz w:val="32"/>
          <w:szCs w:val="32"/>
          <w:highlight w:val="none"/>
        </w:rPr>
        <w:t>清四乱</w:t>
      </w:r>
      <w:r>
        <w:rPr>
          <w:rFonts w:hint="default" w:ascii="Times New Roman" w:hAnsi="Times New Roman" w:eastAsia="黑体"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eastAsia="zh-CN"/>
        </w:rPr>
        <w:t>清理整治河道治理范围内乱占、乱采、乱堆、乱建等突出问题。</w:t>
      </w:r>
    </w:p>
    <w:p w14:paraId="3589E0B2">
      <w:pPr>
        <w:keepNext w:val="0"/>
        <w:keepLines w:val="0"/>
        <w:pageBreakBefore w:val="0"/>
        <w:widowControl w:val="0"/>
        <w:numPr>
          <w:ilvl w:val="0"/>
          <w:numId w:val="50"/>
        </w:numPr>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黑体" w:cs="Times New Roman"/>
          <w:color w:val="auto"/>
          <w:sz w:val="32"/>
          <w:szCs w:val="32"/>
          <w:highlight w:val="none"/>
        </w:rPr>
        <w:t>城乡环境六大领域专项行动</w:t>
      </w:r>
      <w:r>
        <w:rPr>
          <w:rFonts w:hint="default" w:ascii="Times New Roman" w:hAnsi="Times New Roman" w:eastAsia="黑体"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围绕</w:t>
      </w:r>
      <w:r>
        <w:rPr>
          <w:rFonts w:hint="default" w:ascii="Times New Roman" w:hAnsi="Times New Roman" w:eastAsia="仿宋_GB2312" w:cs="Times New Roman"/>
          <w:color w:val="auto"/>
          <w:sz w:val="32"/>
          <w:szCs w:val="32"/>
          <w:highlight w:val="none"/>
          <w:lang w:eastAsia="zh-CN"/>
        </w:rPr>
        <w:t>自然生态环境、社会经济环境、服务配套环境、人文精神环境、安全保障环境和城乡卫生环境六大领域</w:t>
      </w:r>
      <w:r>
        <w:rPr>
          <w:rFonts w:hint="default" w:ascii="Times New Roman" w:hAnsi="Times New Roman" w:eastAsia="仿宋_GB2312" w:cs="Times New Roman"/>
          <w:color w:val="auto"/>
          <w:sz w:val="32"/>
          <w:szCs w:val="32"/>
          <w:highlight w:val="none"/>
          <w:lang w:val="en-US" w:eastAsia="zh-CN"/>
        </w:rPr>
        <w:t>开展</w:t>
      </w:r>
      <w:r>
        <w:rPr>
          <w:rFonts w:hint="default" w:ascii="Times New Roman" w:hAnsi="Times New Roman" w:eastAsia="仿宋_GB2312" w:cs="Times New Roman"/>
          <w:color w:val="auto"/>
          <w:sz w:val="32"/>
          <w:szCs w:val="32"/>
          <w:highlight w:val="none"/>
          <w:lang w:eastAsia="zh-CN"/>
        </w:rPr>
        <w:t>环境质量提升。</w:t>
      </w:r>
    </w:p>
    <w:p w14:paraId="377E0698">
      <w:pPr>
        <w:keepNext w:val="0"/>
        <w:keepLines w:val="0"/>
        <w:pageBreakBefore w:val="0"/>
        <w:widowControl w:val="0"/>
        <w:numPr>
          <w:ilvl w:val="0"/>
          <w:numId w:val="50"/>
        </w:numPr>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黑体" w:cs="Times New Roman"/>
          <w:color w:val="auto"/>
          <w:sz w:val="32"/>
          <w:szCs w:val="32"/>
          <w:highlight w:val="none"/>
        </w:rPr>
        <w:t>县城精修细补十大民生工程</w:t>
      </w:r>
      <w:r>
        <w:rPr>
          <w:rFonts w:hint="default" w:ascii="Times New Roman" w:hAnsi="Times New Roman" w:eastAsia="黑体"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eastAsia="zh-CN"/>
        </w:rPr>
        <w:t>老旧小区改造工程、背街小巷整治工程、市政道路修补工程、公园广场修补工程、农贸市场升级工程、商业街区提升工程、宜老宜幼改造工程、停车充电一体工程、小区光亮工程、环境秩序治理工程。</w:t>
      </w:r>
    </w:p>
    <w:p w14:paraId="1F9A7A85">
      <w:pPr>
        <w:keepNext w:val="0"/>
        <w:keepLines w:val="0"/>
        <w:pageBreakBefore w:val="0"/>
        <w:widowControl w:val="0"/>
        <w:numPr>
          <w:ilvl w:val="0"/>
          <w:numId w:val="50"/>
        </w:numPr>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黑体" w:cs="Times New Roman"/>
          <w:color w:val="auto"/>
          <w:sz w:val="32"/>
          <w:szCs w:val="32"/>
          <w:highlight w:val="none"/>
        </w:rPr>
        <w:t>两山</w:t>
      </w:r>
      <w:r>
        <w:rPr>
          <w:rFonts w:hint="default" w:ascii="Times New Roman" w:hAnsi="Times New Roman" w:eastAsia="黑体"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eastAsia="zh-CN"/>
        </w:rPr>
        <w:t>绿水青山就是金山银山。</w:t>
      </w:r>
    </w:p>
    <w:p w14:paraId="09C86FD6">
      <w:pPr>
        <w:keepNext w:val="0"/>
        <w:keepLines w:val="0"/>
        <w:pageBreakBefore w:val="0"/>
        <w:widowControl w:val="0"/>
        <w:numPr>
          <w:ilvl w:val="0"/>
          <w:numId w:val="50"/>
        </w:numPr>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方正黑体_GBK" w:cs="Times New Roman"/>
          <w:b w:val="0"/>
          <w:bCs/>
          <w:color w:val="auto"/>
          <w:kern w:val="0"/>
          <w:sz w:val="32"/>
          <w:szCs w:val="32"/>
          <w:highlight w:val="none"/>
          <w:lang w:val="en-US" w:eastAsia="zh-CN" w:bidi="ar"/>
        </w:rPr>
        <w:t>和美乡村：</w:t>
      </w:r>
      <w:r>
        <w:rPr>
          <w:rFonts w:hint="default" w:ascii="Times New Roman" w:hAnsi="Times New Roman" w:eastAsia="仿宋_GB2312" w:cs="Times New Roman"/>
          <w:b w:val="0"/>
          <w:bCs w:val="0"/>
          <w:color w:val="auto"/>
          <w:sz w:val="32"/>
          <w:szCs w:val="32"/>
          <w:highlight w:val="none"/>
          <w:lang w:val="en-US" w:eastAsia="zh-CN"/>
        </w:rPr>
        <w:t>近年来中国乡村振兴工作的重要方向之一，强调农村不仅要“美丽”，更要“和谐”，即生态宜居、产业兴旺、乡风文明、治理有效、生活富裕的综合发展目标。</w:t>
      </w:r>
    </w:p>
    <w:p w14:paraId="34F05A7D">
      <w:pPr>
        <w:keepNext w:val="0"/>
        <w:keepLines w:val="0"/>
        <w:pageBreakBefore w:val="0"/>
        <w:widowControl w:val="0"/>
        <w:numPr>
          <w:ilvl w:val="0"/>
          <w:numId w:val="50"/>
        </w:numPr>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方正黑体_GBK" w:cs="Times New Roman"/>
          <w:b w:val="0"/>
          <w:bCs/>
          <w:color w:val="auto"/>
          <w:kern w:val="0"/>
          <w:sz w:val="32"/>
          <w:szCs w:val="32"/>
          <w:highlight w:val="none"/>
          <w:lang w:val="en-US" w:eastAsia="zh-CN" w:bidi="ar"/>
        </w:rPr>
        <w:t>五小水利：</w:t>
      </w:r>
      <w:r>
        <w:rPr>
          <w:rFonts w:hint="default" w:ascii="Times New Roman" w:hAnsi="Times New Roman" w:eastAsia="仿宋_GB2312" w:cs="Times New Roman"/>
          <w:color w:val="auto"/>
          <w:sz w:val="32"/>
          <w:szCs w:val="32"/>
          <w:highlight w:val="none"/>
          <w:lang w:eastAsia="zh-CN"/>
        </w:rPr>
        <w:t>中国农村小型水利基础设施的统称，具体包括小水窖、小水池、小泵站、小塘坝、小水渠。这些工程主要应用于山丘区和干旱地区，通过拦蓄雨洪资源、提升灌溉效率，解决农村生产生活用水难题，是保障粮食安全和推进乡村振兴的重要措施。</w:t>
      </w:r>
    </w:p>
    <w:p w14:paraId="060FFDF7">
      <w:pPr>
        <w:keepNext w:val="0"/>
        <w:keepLines w:val="0"/>
        <w:pageBreakBefore w:val="0"/>
        <w:widowControl w:val="0"/>
        <w:numPr>
          <w:ilvl w:val="0"/>
          <w:numId w:val="50"/>
        </w:numPr>
        <w:kinsoku/>
        <w:wordWrap/>
        <w:topLinePunct w:val="0"/>
        <w:autoSpaceDE/>
        <w:autoSpaceDN/>
        <w:bidi w:val="0"/>
        <w:spacing w:line="560" w:lineRule="exact"/>
        <w:ind w:left="0" w:leftChars="0"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方正黑体_GBK" w:cs="Times New Roman"/>
          <w:b w:val="0"/>
          <w:bCs/>
          <w:color w:val="auto"/>
          <w:kern w:val="0"/>
          <w:sz w:val="32"/>
          <w:szCs w:val="32"/>
          <w:highlight w:val="none"/>
          <w:lang w:val="en-US" w:eastAsia="zh-CN" w:bidi="ar"/>
        </w:rPr>
        <w:t>“精城优镇、强村带户”行动：</w:t>
      </w:r>
      <w:r>
        <w:rPr>
          <w:rFonts w:hint="default" w:ascii="Times New Roman" w:hAnsi="Times New Roman" w:eastAsia="仿宋_GB2312" w:cs="Times New Roman"/>
          <w:color w:val="auto"/>
          <w:sz w:val="32"/>
          <w:szCs w:val="32"/>
          <w:highlight w:val="none"/>
          <w:lang w:val="en-US" w:eastAsia="zh-CN"/>
        </w:rPr>
        <w:t>是阿坝州推动城乡融合、促进群众增收和乡村全面振兴的关键抓手。“精城优镇”是以农文旅融合为切入点，打造精品民宿、田园经济示范带，严控农房风貌，提升水电路网配套，塑造“优镇”样板；同步推进道路、河道、生态公园等7大场景整治，建设“入口通道、美丽主街、圩镇客厅”等9项公共服务设施，实现镇区宜居宜业宜游。“强村带户”是指构建“10坊6园1中心”产业格局（手工作坊、采摘园、加工中心等多业态），壮大集体经济，确保每个村都有稳定经营性收入；建立“六个一批”增收机制：产业带动、就业转移、托底帮扶、创业扶持、资源分红、政策补贴，把收益精准落到每一户；推广“联村、镇级统筹、区内统筹”模式，鼓励村村联合、村企联营，发展混合所有制项目，实现强村弱村联动共富。</w:t>
      </w:r>
    </w:p>
    <w:p w14:paraId="1800A707">
      <w:pPr>
        <w:keepNext w:val="0"/>
        <w:keepLines w:val="0"/>
        <w:pageBreakBefore w:val="0"/>
        <w:widowControl w:val="0"/>
        <w:numPr>
          <w:ilvl w:val="0"/>
          <w:numId w:val="50"/>
        </w:numPr>
        <w:kinsoku/>
        <w:wordWrap/>
        <w:topLinePunct w:val="0"/>
        <w:autoSpaceDE/>
        <w:autoSpaceDN/>
        <w:bidi w:val="0"/>
        <w:spacing w:line="560" w:lineRule="exact"/>
        <w:ind w:left="0" w:leftChars="0"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方正黑体_GBK" w:cs="Times New Roman"/>
          <w:b w:val="0"/>
          <w:bCs/>
          <w:color w:val="auto"/>
          <w:kern w:val="0"/>
          <w:sz w:val="32"/>
          <w:szCs w:val="32"/>
          <w:highlight w:val="none"/>
          <w:lang w:val="en-US" w:eastAsia="zh-CN" w:bidi="ar"/>
        </w:rPr>
        <w:t>南优、中拓、北改：</w:t>
      </w:r>
      <w:r>
        <w:rPr>
          <w:rFonts w:hint="default" w:ascii="Times New Roman" w:hAnsi="Times New Roman" w:eastAsia="仿宋_GB2312" w:cs="Times New Roman"/>
          <w:color w:val="auto"/>
          <w:sz w:val="32"/>
          <w:szCs w:val="32"/>
          <w:highlight w:val="none"/>
          <w:lang w:val="en-US" w:eastAsia="zh-CN"/>
        </w:rPr>
        <w:t>理县国土空间规划提出的中心城区的发展方向为南优、中拓、北改。其中“南优”是指针对南部区域实施城市更新，优化功能布局，提升城市品质；“中拓”是指针对中部区域拓展城市空间，强化设施配套，提升服务水平；“北改”是指针对北部改造提升园区，推动工业转型，提高用地效率。</w:t>
      </w:r>
    </w:p>
    <w:p w14:paraId="17EAC5F2">
      <w:pPr>
        <w:keepNext w:val="0"/>
        <w:keepLines w:val="0"/>
        <w:pageBreakBefore w:val="0"/>
        <w:widowControl w:val="0"/>
        <w:numPr>
          <w:ilvl w:val="0"/>
          <w:numId w:val="50"/>
        </w:numPr>
        <w:kinsoku/>
        <w:wordWrap/>
        <w:topLinePunct w:val="0"/>
        <w:autoSpaceDE/>
        <w:autoSpaceDN/>
        <w:bidi w:val="0"/>
        <w:spacing w:line="560" w:lineRule="exact"/>
        <w:ind w:left="0" w:leftChars="0"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方正黑体_GBK" w:cs="Times New Roman"/>
          <w:b w:val="0"/>
          <w:bCs/>
          <w:color w:val="auto"/>
          <w:kern w:val="0"/>
          <w:sz w:val="32"/>
          <w:szCs w:val="32"/>
          <w:highlight w:val="none"/>
          <w:lang w:val="en-US" w:eastAsia="zh-CN" w:bidi="ar"/>
        </w:rPr>
        <w:t>四个不摘：</w:t>
      </w:r>
      <w:r>
        <w:rPr>
          <w:rFonts w:hint="default" w:ascii="Times New Roman" w:hAnsi="Times New Roman" w:eastAsia="仿宋_GB2312" w:cs="Times New Roman"/>
          <w:color w:val="auto"/>
          <w:sz w:val="32"/>
          <w:szCs w:val="32"/>
          <w:highlight w:val="none"/>
          <w:lang w:val="en-US" w:eastAsia="zh-CN"/>
        </w:rPr>
        <w:t>“四个不摘”是中国在脱贫攻坚战取得全面胜利后，为巩固拓展脱贫攻坚成果、防止规模性返贫而设立的一项过渡性政策原则，具体内容包括摘帽不摘责任、摘帽不摘政策、摘帽不摘帮扶、摘帽不摘监管。</w:t>
      </w:r>
    </w:p>
    <w:p w14:paraId="30DD943D">
      <w:pPr>
        <w:keepNext w:val="0"/>
        <w:keepLines w:val="0"/>
        <w:pageBreakBefore w:val="0"/>
        <w:widowControl w:val="0"/>
        <w:numPr>
          <w:ilvl w:val="0"/>
          <w:numId w:val="50"/>
        </w:numPr>
        <w:kinsoku/>
        <w:wordWrap/>
        <w:topLinePunct w:val="0"/>
        <w:autoSpaceDE/>
        <w:autoSpaceDN/>
        <w:bidi w:val="0"/>
        <w:spacing w:line="560" w:lineRule="exact"/>
        <w:ind w:left="0" w:leftChars="0"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方正黑体_GBK" w:cs="Times New Roman"/>
          <w:b w:val="0"/>
          <w:bCs/>
          <w:color w:val="auto"/>
          <w:kern w:val="0"/>
          <w:sz w:val="32"/>
          <w:szCs w:val="32"/>
          <w:highlight w:val="none"/>
          <w:lang w:val="en-US" w:eastAsia="zh-CN" w:bidi="ar"/>
        </w:rPr>
        <w:t>“巡村包户”九条措施：</w:t>
      </w:r>
      <w:r>
        <w:rPr>
          <w:rFonts w:hint="default" w:ascii="Times New Roman" w:hAnsi="Times New Roman" w:eastAsia="仿宋_GB2312" w:cs="Times New Roman"/>
          <w:color w:val="auto"/>
          <w:sz w:val="32"/>
          <w:szCs w:val="32"/>
          <w:highlight w:val="none"/>
          <w:lang w:val="en-US" w:eastAsia="zh-CN"/>
        </w:rPr>
        <w:t>是阿坝州为巩固脱贫攻坚成果、防止返贫致贫而建立的常态化监测帮扶机制，核心是把走访排查、风险预警、政策落地、责任压实细化到村、到户、到人。具体包括明确适用范围、压实工作主体、固定走访时间、规范工作方式、细化工作任务、建立统一台账、强化统筹联动、压实四级责任、严格督促检查。</w:t>
      </w:r>
    </w:p>
    <w:p w14:paraId="0FEFB3B7">
      <w:pPr>
        <w:keepNext w:val="0"/>
        <w:keepLines w:val="0"/>
        <w:pageBreakBefore w:val="0"/>
        <w:widowControl w:val="0"/>
        <w:numPr>
          <w:ilvl w:val="0"/>
          <w:numId w:val="50"/>
        </w:numPr>
        <w:kinsoku/>
        <w:wordWrap/>
        <w:topLinePunct w:val="0"/>
        <w:autoSpaceDE/>
        <w:autoSpaceDN/>
        <w:bidi w:val="0"/>
        <w:spacing w:line="560" w:lineRule="exact"/>
        <w:ind w:left="0" w:leftChars="0"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方正黑体_GBK" w:cs="Times New Roman"/>
          <w:b w:val="0"/>
          <w:bCs/>
          <w:color w:val="auto"/>
          <w:kern w:val="0"/>
          <w:sz w:val="32"/>
          <w:szCs w:val="32"/>
          <w:highlight w:val="none"/>
          <w:lang w:val="en-US" w:eastAsia="zh-CN" w:bidi="ar"/>
        </w:rPr>
        <w:t>两不愁三保障：</w:t>
      </w:r>
      <w:r>
        <w:rPr>
          <w:rFonts w:hint="default" w:ascii="Times New Roman" w:hAnsi="Times New Roman" w:eastAsia="仿宋_GB2312" w:cs="Times New Roman"/>
          <w:color w:val="auto"/>
          <w:sz w:val="32"/>
          <w:szCs w:val="32"/>
          <w:highlight w:val="none"/>
          <w:lang w:val="en-US" w:eastAsia="zh-CN"/>
        </w:rPr>
        <w:t>“两不愁”是指不愁吃、不愁穿，“三保障”是指保障义务教育、基本医疗和住房安全。</w:t>
      </w:r>
    </w:p>
    <w:p w14:paraId="037DDBB7">
      <w:pPr>
        <w:keepNext w:val="0"/>
        <w:keepLines w:val="0"/>
        <w:pageBreakBefore w:val="0"/>
        <w:widowControl w:val="0"/>
        <w:numPr>
          <w:ilvl w:val="0"/>
          <w:numId w:val="50"/>
        </w:numPr>
        <w:kinsoku/>
        <w:wordWrap/>
        <w:topLinePunct w:val="0"/>
        <w:autoSpaceDE/>
        <w:autoSpaceDN/>
        <w:bidi w:val="0"/>
        <w:spacing w:line="560" w:lineRule="exact"/>
        <w:ind w:left="0" w:leftChars="0"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方正黑体_GBK" w:cs="Times New Roman"/>
          <w:b w:val="0"/>
          <w:bCs/>
          <w:color w:val="auto"/>
          <w:kern w:val="0"/>
          <w:sz w:val="32"/>
          <w:szCs w:val="32"/>
          <w:highlight w:val="none"/>
          <w:lang w:val="en-US" w:eastAsia="zh-CN" w:bidi="ar"/>
        </w:rPr>
        <w:t>“六个一批”增收行动：</w:t>
      </w:r>
      <w:r>
        <w:rPr>
          <w:rFonts w:hint="default" w:ascii="Times New Roman" w:hAnsi="Times New Roman" w:eastAsia="仿宋_GB2312" w:cs="Times New Roman"/>
          <w:color w:val="auto"/>
          <w:sz w:val="32"/>
          <w:szCs w:val="32"/>
          <w:highlight w:val="none"/>
          <w:lang w:val="en-US" w:eastAsia="zh-CN"/>
        </w:rPr>
        <w:t>是四川为巩固脱贫攻坚成果、促进农民特别是脱贫人口持续增收而推出的系统性举措，具体包括产业提档升级增收一批、乡村旅游带动增收一批、技能培训提升增收一批、劳务输出转移增收一批、帮扶车间和园区就地吸纳一批、政策兜底保障增收一批。</w:t>
      </w:r>
    </w:p>
    <w:p w14:paraId="1875C5A0">
      <w:pPr>
        <w:keepNext w:val="0"/>
        <w:keepLines w:val="0"/>
        <w:pageBreakBefore w:val="0"/>
        <w:widowControl w:val="0"/>
        <w:numPr>
          <w:ilvl w:val="0"/>
          <w:numId w:val="50"/>
        </w:numPr>
        <w:kinsoku/>
        <w:wordWrap/>
        <w:topLinePunct w:val="0"/>
        <w:autoSpaceDE/>
        <w:autoSpaceDN/>
        <w:bidi w:val="0"/>
        <w:spacing w:line="560" w:lineRule="exact"/>
        <w:ind w:left="0" w:leftChars="0"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方正黑体_GBK" w:cs="Times New Roman"/>
          <w:b w:val="0"/>
          <w:bCs/>
          <w:color w:val="auto"/>
          <w:kern w:val="0"/>
          <w:sz w:val="32"/>
          <w:szCs w:val="32"/>
          <w:highlight w:val="none"/>
          <w:lang w:val="en-US" w:eastAsia="zh-CN" w:bidi="ar"/>
        </w:rPr>
        <w:t>集体经济贷：</w:t>
      </w:r>
      <w:r>
        <w:rPr>
          <w:rFonts w:hint="default" w:ascii="Times New Roman" w:hAnsi="Times New Roman" w:eastAsia="仿宋_GB2312" w:cs="Times New Roman"/>
          <w:color w:val="auto"/>
          <w:sz w:val="32"/>
          <w:szCs w:val="32"/>
          <w:highlight w:val="none"/>
          <w:lang w:val="en-US" w:eastAsia="zh-CN"/>
        </w:rPr>
        <w:t>银行及财政、乡村振兴等部门专门为农村集体经济组织（含村股份经济合作社、强村公司等）设计的经营性贷款产品，支持范围包括特色种养、农产品加工、冷链物流、乡村旅游、厂房（设备）购置、流动资金周转等经营性支出，不得用于楼堂馆所和弥补村级日常运转经费。</w:t>
      </w:r>
    </w:p>
    <w:p w14:paraId="2B259478">
      <w:pPr>
        <w:keepNext w:val="0"/>
        <w:keepLines w:val="0"/>
        <w:pageBreakBefore w:val="0"/>
        <w:widowControl w:val="0"/>
        <w:numPr>
          <w:ilvl w:val="0"/>
          <w:numId w:val="50"/>
        </w:numPr>
        <w:kinsoku/>
        <w:wordWrap/>
        <w:topLinePunct w:val="0"/>
        <w:autoSpaceDE/>
        <w:autoSpaceDN/>
        <w:bidi w:val="0"/>
        <w:spacing w:line="560" w:lineRule="exact"/>
        <w:ind w:left="0" w:leftChars="0"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方正黑体_GBK" w:cs="Times New Roman"/>
          <w:b w:val="0"/>
          <w:bCs/>
          <w:color w:val="auto"/>
          <w:kern w:val="0"/>
          <w:sz w:val="32"/>
          <w:szCs w:val="32"/>
          <w:highlight w:val="none"/>
          <w:lang w:val="en-US" w:eastAsia="zh-CN" w:bidi="ar"/>
        </w:rPr>
        <w:t>城市15分钟公共服务圈：</w:t>
      </w:r>
      <w:r>
        <w:rPr>
          <w:rFonts w:hint="default" w:ascii="Times New Roman" w:hAnsi="Times New Roman" w:eastAsia="仿宋_GB2312" w:cs="Times New Roman"/>
          <w:color w:val="auto"/>
          <w:sz w:val="32"/>
          <w:szCs w:val="32"/>
          <w:highlight w:val="none"/>
          <w:lang w:val="en-US" w:eastAsia="zh-CN"/>
        </w:rPr>
        <w:t>指以居民住所为圆心，步行约15分钟（半径800—1000米、服务人口5万—10万人）可便捷到达或享受上门服务的基本公共服务网络。</w:t>
      </w:r>
    </w:p>
    <w:p w14:paraId="68AB8232">
      <w:pPr>
        <w:keepNext w:val="0"/>
        <w:keepLines w:val="0"/>
        <w:pageBreakBefore w:val="0"/>
        <w:widowControl w:val="0"/>
        <w:numPr>
          <w:ilvl w:val="0"/>
          <w:numId w:val="50"/>
        </w:numPr>
        <w:kinsoku/>
        <w:wordWrap/>
        <w:topLinePunct w:val="0"/>
        <w:autoSpaceDE/>
        <w:autoSpaceDN/>
        <w:bidi w:val="0"/>
        <w:spacing w:line="560" w:lineRule="exact"/>
        <w:ind w:left="0" w:leftChars="0"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方正黑体_GBK" w:cs="Times New Roman"/>
          <w:b w:val="0"/>
          <w:bCs/>
          <w:color w:val="auto"/>
          <w:kern w:val="0"/>
          <w:sz w:val="32"/>
          <w:szCs w:val="32"/>
          <w:highlight w:val="none"/>
          <w:lang w:val="en-US" w:eastAsia="zh-CN" w:bidi="ar"/>
        </w:rPr>
        <w:t>农村适度半径公共服务圈：</w:t>
      </w:r>
      <w:r>
        <w:rPr>
          <w:rFonts w:hint="default" w:ascii="Times New Roman" w:hAnsi="Times New Roman" w:eastAsia="仿宋_GB2312" w:cs="Times New Roman"/>
          <w:color w:val="auto"/>
          <w:sz w:val="32"/>
          <w:szCs w:val="32"/>
          <w:highlight w:val="none"/>
          <w:lang w:val="en-US" w:eastAsia="zh-CN"/>
        </w:rPr>
        <w:t>以农村居民出行规律和公共服务设施服务半径为基础，按照“分层级、均等化、共享化”原则，在县域内构建的乡村公共服务体系。</w:t>
      </w:r>
    </w:p>
    <w:p w14:paraId="702F73BF">
      <w:pPr>
        <w:keepNext w:val="0"/>
        <w:keepLines w:val="0"/>
        <w:pageBreakBefore w:val="0"/>
        <w:widowControl w:val="0"/>
        <w:numPr>
          <w:ilvl w:val="0"/>
          <w:numId w:val="50"/>
        </w:numPr>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黑体" w:cs="Times New Roman"/>
          <w:color w:val="auto"/>
          <w:sz w:val="32"/>
          <w:szCs w:val="32"/>
          <w:highlight w:val="none"/>
        </w:rPr>
        <w:t>飞地园区</w:t>
      </w:r>
      <w:r>
        <w:rPr>
          <w:rFonts w:hint="default" w:ascii="Times New Roman" w:hAnsi="Times New Roman" w:eastAsia="黑体"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eastAsia="zh-CN"/>
        </w:rPr>
        <w:t>打破行政区划限制，</w:t>
      </w:r>
      <w:r>
        <w:rPr>
          <w:rFonts w:hint="default" w:ascii="Times New Roman" w:hAnsi="Times New Roman" w:eastAsia="仿宋_GB2312" w:cs="Times New Roman"/>
          <w:color w:val="auto"/>
          <w:sz w:val="32"/>
          <w:szCs w:val="32"/>
          <w:highlight w:val="none"/>
          <w:lang w:val="en-US" w:eastAsia="zh-CN"/>
        </w:rPr>
        <w:t>与</w:t>
      </w:r>
      <w:r>
        <w:rPr>
          <w:rFonts w:hint="default" w:ascii="Times New Roman" w:hAnsi="Times New Roman" w:eastAsia="仿宋_GB2312" w:cs="Times New Roman"/>
          <w:color w:val="auto"/>
          <w:sz w:val="32"/>
          <w:szCs w:val="32"/>
          <w:highlight w:val="none"/>
          <w:lang w:eastAsia="zh-CN"/>
        </w:rPr>
        <w:t>发达地区（如浙江、遂宁、成渝地区）合作共建的产业载体。</w:t>
      </w:r>
    </w:p>
    <w:p w14:paraId="436011B2">
      <w:pPr>
        <w:keepNext w:val="0"/>
        <w:keepLines w:val="0"/>
        <w:pageBreakBefore w:val="0"/>
        <w:widowControl w:val="0"/>
        <w:numPr>
          <w:ilvl w:val="0"/>
          <w:numId w:val="50"/>
        </w:numPr>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黑体" w:cs="Times New Roman"/>
          <w:color w:val="auto"/>
          <w:sz w:val="32"/>
          <w:szCs w:val="32"/>
          <w:highlight w:val="none"/>
          <w:lang w:eastAsia="zh-CN"/>
        </w:rPr>
        <w:t>“四有”好老师：</w:t>
      </w:r>
      <w:r>
        <w:rPr>
          <w:rFonts w:hint="default" w:ascii="Times New Roman" w:hAnsi="Times New Roman" w:eastAsia="仿宋_GB2312" w:cs="Times New Roman"/>
          <w:color w:val="auto"/>
          <w:sz w:val="32"/>
          <w:szCs w:val="32"/>
          <w:highlight w:val="none"/>
          <w:lang w:eastAsia="zh-CN"/>
        </w:rPr>
        <w:t>有理想信念、有道德情操、有扎实学识、有仁爱之心的“四有”好老师。</w:t>
      </w:r>
    </w:p>
    <w:p w14:paraId="1E398305">
      <w:pPr>
        <w:keepNext w:val="0"/>
        <w:keepLines w:val="0"/>
        <w:pageBreakBefore w:val="0"/>
        <w:widowControl w:val="0"/>
        <w:numPr>
          <w:ilvl w:val="0"/>
          <w:numId w:val="50"/>
        </w:numPr>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黑体" w:cs="Times New Roman"/>
          <w:color w:val="auto"/>
          <w:sz w:val="32"/>
          <w:szCs w:val="32"/>
          <w:highlight w:val="none"/>
          <w:lang w:eastAsia="zh-CN"/>
        </w:rPr>
        <w:t>五育并举：</w:t>
      </w:r>
      <w:r>
        <w:rPr>
          <w:rFonts w:hint="default" w:ascii="Times New Roman" w:hAnsi="Times New Roman" w:eastAsia="仿宋_GB2312" w:cs="Times New Roman"/>
          <w:color w:val="auto"/>
          <w:sz w:val="32"/>
          <w:szCs w:val="32"/>
          <w:highlight w:val="none"/>
          <w:lang w:eastAsia="zh-CN"/>
        </w:rPr>
        <w:t>在现代化的教育中通过重视并实施德育、智育、体育、美育、劳动教育，促进人的全面发展。</w:t>
      </w:r>
    </w:p>
    <w:p w14:paraId="6A1C68C1">
      <w:pPr>
        <w:keepNext w:val="0"/>
        <w:keepLines w:val="0"/>
        <w:pageBreakBefore w:val="0"/>
        <w:widowControl w:val="0"/>
        <w:numPr>
          <w:ilvl w:val="0"/>
          <w:numId w:val="50"/>
        </w:numPr>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黑体" w:cs="Times New Roman"/>
          <w:color w:val="auto"/>
          <w:sz w:val="32"/>
          <w:szCs w:val="32"/>
          <w:highlight w:val="none"/>
          <w:lang w:eastAsia="zh-CN"/>
        </w:rPr>
        <w:t>“1+N”紧密型县域医共体：</w:t>
      </w:r>
      <w:r>
        <w:rPr>
          <w:rFonts w:hint="default" w:ascii="Times New Roman" w:hAnsi="Times New Roman" w:eastAsia="仿宋_GB2312" w:cs="Times New Roman"/>
          <w:color w:val="auto"/>
          <w:sz w:val="32"/>
          <w:szCs w:val="32"/>
          <w:highlight w:val="none"/>
          <w:lang w:eastAsia="zh-CN"/>
        </w:rPr>
        <w:t>以理县人民医院为核心龙头机构，联合县域内多个</w:t>
      </w:r>
      <w:r>
        <w:rPr>
          <w:rFonts w:hint="default" w:ascii="Times New Roman" w:hAnsi="Times New Roman" w:eastAsia="仿宋_GB2312" w:cs="Times New Roman"/>
          <w:color w:val="auto"/>
          <w:sz w:val="32"/>
          <w:szCs w:val="32"/>
          <w:highlight w:val="none"/>
          <w:lang w:val="en-US" w:eastAsia="zh-CN"/>
        </w:rPr>
        <w:t>县级医院、</w:t>
      </w:r>
      <w:r>
        <w:rPr>
          <w:rFonts w:hint="default" w:ascii="Times New Roman" w:hAnsi="Times New Roman" w:eastAsia="仿宋_GB2312" w:cs="Times New Roman"/>
          <w:color w:val="auto"/>
          <w:sz w:val="32"/>
          <w:szCs w:val="32"/>
          <w:highlight w:val="none"/>
          <w:lang w:eastAsia="zh-CN"/>
        </w:rPr>
        <w:t>乡镇卫生院、村卫生室等基层医疗机构。</w:t>
      </w:r>
    </w:p>
    <w:p w14:paraId="0306E6D5">
      <w:pPr>
        <w:keepNext w:val="0"/>
        <w:keepLines w:val="0"/>
        <w:pageBreakBefore w:val="0"/>
        <w:widowControl w:val="0"/>
        <w:numPr>
          <w:ilvl w:val="0"/>
          <w:numId w:val="50"/>
        </w:numPr>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黑体" w:cs="Times New Roman"/>
          <w:color w:val="auto"/>
          <w:sz w:val="32"/>
          <w:szCs w:val="32"/>
          <w:highlight w:val="none"/>
          <w:lang w:eastAsia="zh-CN"/>
        </w:rPr>
        <w:t>“三地四方”医联体：</w:t>
      </w:r>
      <w:r>
        <w:rPr>
          <w:rFonts w:hint="default" w:ascii="Times New Roman" w:hAnsi="Times New Roman" w:eastAsia="仿宋_GB2312" w:cs="Times New Roman"/>
          <w:color w:val="auto"/>
          <w:sz w:val="32"/>
          <w:szCs w:val="32"/>
          <w:highlight w:val="none"/>
          <w:lang w:eastAsia="zh-CN"/>
        </w:rPr>
        <w:t>“三地”即理县、船山、乐清；“四方”即阿坝州、遂宁市、温州市和国家、省州联系帮扶部门、社会组织和企业。</w:t>
      </w:r>
    </w:p>
    <w:p w14:paraId="3C956A8C">
      <w:pPr>
        <w:keepNext w:val="0"/>
        <w:keepLines w:val="0"/>
        <w:pageBreakBefore w:val="0"/>
        <w:widowControl w:val="0"/>
        <w:numPr>
          <w:ilvl w:val="0"/>
          <w:numId w:val="50"/>
        </w:numPr>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黑体" w:cs="Times New Roman"/>
          <w:color w:val="auto"/>
          <w:sz w:val="32"/>
          <w:szCs w:val="32"/>
          <w:highlight w:val="none"/>
          <w:lang w:eastAsia="zh-CN"/>
        </w:rPr>
        <w:t>残疾人两项补贴：</w:t>
      </w:r>
      <w:r>
        <w:rPr>
          <w:rFonts w:hint="default" w:ascii="Times New Roman" w:hAnsi="Times New Roman" w:eastAsia="仿宋_GB2312" w:cs="Times New Roman"/>
          <w:color w:val="auto"/>
          <w:sz w:val="32"/>
          <w:szCs w:val="32"/>
          <w:highlight w:val="none"/>
          <w:lang w:eastAsia="zh-CN"/>
        </w:rPr>
        <w:t>困难残疾人生活补贴和重度残疾人护理补贴。</w:t>
      </w:r>
    </w:p>
    <w:p w14:paraId="2613176A">
      <w:pPr>
        <w:keepNext w:val="0"/>
        <w:keepLines w:val="0"/>
        <w:pageBreakBefore w:val="0"/>
        <w:widowControl w:val="0"/>
        <w:numPr>
          <w:ilvl w:val="0"/>
          <w:numId w:val="50"/>
        </w:numPr>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黑体" w:cs="Times New Roman"/>
          <w:color w:val="auto"/>
          <w:sz w:val="32"/>
          <w:szCs w:val="32"/>
          <w:highlight w:val="none"/>
          <w:lang w:eastAsia="zh-CN"/>
        </w:rPr>
        <w:t>两纲：</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理县</w:t>
      </w:r>
      <w:r>
        <w:rPr>
          <w:rFonts w:hint="default" w:ascii="Times New Roman" w:hAnsi="Times New Roman" w:eastAsia="仿宋_GB2312" w:cs="Times New Roman"/>
          <w:color w:val="auto"/>
          <w:sz w:val="32"/>
          <w:szCs w:val="32"/>
          <w:highlight w:val="none"/>
          <w:lang w:eastAsia="zh-CN"/>
        </w:rPr>
        <w:t>妇女发展纲要（2021-2030年）》和《</w:t>
      </w:r>
      <w:r>
        <w:rPr>
          <w:rFonts w:hint="default" w:ascii="Times New Roman" w:hAnsi="Times New Roman" w:eastAsia="仿宋_GB2312" w:cs="Times New Roman"/>
          <w:color w:val="auto"/>
          <w:sz w:val="32"/>
          <w:szCs w:val="32"/>
          <w:highlight w:val="none"/>
          <w:lang w:val="en-US" w:eastAsia="zh-CN"/>
        </w:rPr>
        <w:t>理县</w:t>
      </w:r>
      <w:r>
        <w:rPr>
          <w:rFonts w:hint="default" w:ascii="Times New Roman" w:hAnsi="Times New Roman" w:eastAsia="仿宋_GB2312" w:cs="Times New Roman"/>
          <w:color w:val="auto"/>
          <w:sz w:val="32"/>
          <w:szCs w:val="32"/>
          <w:highlight w:val="none"/>
          <w:lang w:eastAsia="zh-CN"/>
        </w:rPr>
        <w:t>儿童发展纲要（2021-2030年）》。</w:t>
      </w:r>
    </w:p>
    <w:p w14:paraId="0DEE2588">
      <w:pPr>
        <w:keepNext w:val="0"/>
        <w:keepLines w:val="0"/>
        <w:pageBreakBefore w:val="0"/>
        <w:widowControl w:val="0"/>
        <w:numPr>
          <w:ilvl w:val="0"/>
          <w:numId w:val="50"/>
        </w:numPr>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方正黑体_GBK" w:cs="Times New Roman"/>
          <w:b w:val="0"/>
          <w:bCs/>
          <w:color w:val="auto"/>
          <w:kern w:val="0"/>
          <w:sz w:val="32"/>
          <w:szCs w:val="32"/>
          <w:highlight w:val="none"/>
          <w:lang w:val="en-US" w:eastAsia="zh-CN" w:bidi="ar"/>
        </w:rPr>
        <w:t>县管校聘：</w:t>
      </w:r>
      <w:r>
        <w:rPr>
          <w:rFonts w:hint="default" w:ascii="Times New Roman" w:hAnsi="Times New Roman" w:eastAsia="仿宋_GB2312" w:cs="Times New Roman"/>
          <w:color w:val="auto"/>
          <w:sz w:val="32"/>
          <w:szCs w:val="32"/>
          <w:highlight w:val="none"/>
          <w:lang w:val="en-US" w:eastAsia="zh-CN"/>
        </w:rPr>
        <w:t>义务教育教师管理的一项制度性改革，2014年试点、2021年全面推开，其核心是“编制县管、岗位县管、聘任校聘、流动常态”，把教师从“学校人”变成“系统人”，由县级教育行政部门在全县范围内统筹配置教师资源，以破解城乡、校际师资不均衡问题。</w:t>
      </w:r>
    </w:p>
    <w:p w14:paraId="04EF5E9D">
      <w:pPr>
        <w:keepNext w:val="0"/>
        <w:keepLines w:val="0"/>
        <w:pageBreakBefore w:val="0"/>
        <w:widowControl w:val="0"/>
        <w:numPr>
          <w:ilvl w:val="0"/>
          <w:numId w:val="50"/>
        </w:numPr>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方正黑体_GBK" w:cs="Times New Roman"/>
          <w:b w:val="0"/>
          <w:bCs/>
          <w:color w:val="auto"/>
          <w:kern w:val="0"/>
          <w:sz w:val="32"/>
          <w:szCs w:val="32"/>
          <w:highlight w:val="none"/>
          <w:lang w:val="en-US" w:eastAsia="zh-CN" w:bidi="ar"/>
        </w:rPr>
        <w:t>县管乡用：</w:t>
      </w:r>
      <w:r>
        <w:rPr>
          <w:rFonts w:hint="default" w:ascii="Times New Roman" w:hAnsi="Times New Roman" w:eastAsia="仿宋_GB2312" w:cs="Times New Roman"/>
          <w:color w:val="auto"/>
          <w:sz w:val="32"/>
          <w:szCs w:val="32"/>
          <w:highlight w:val="none"/>
          <w:lang w:val="en-US" w:eastAsia="zh-CN"/>
        </w:rPr>
        <w:t>“县管乡用”是“县管校聘”改革在乡镇层面的具体操作机制，核心要义是：编制、岗位、人事关系由县级统筹（县管），日常管理和使用由乡镇中心校或学区负责（乡用），实现“条块结合、以乡为主”的教师资源配置模式。</w:t>
      </w:r>
    </w:p>
    <w:p w14:paraId="4141314A">
      <w:pPr>
        <w:keepNext w:val="0"/>
        <w:keepLines w:val="0"/>
        <w:pageBreakBefore w:val="0"/>
        <w:widowControl w:val="0"/>
        <w:numPr>
          <w:ilvl w:val="0"/>
          <w:numId w:val="50"/>
        </w:numPr>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黑体" w:cs="Times New Roman"/>
          <w:color w:val="auto"/>
          <w:sz w:val="32"/>
          <w:szCs w:val="32"/>
          <w:highlight w:val="none"/>
          <w:lang w:eastAsia="zh-CN"/>
        </w:rPr>
        <w:t>三项计划：</w:t>
      </w:r>
      <w:r>
        <w:rPr>
          <w:rFonts w:hint="default" w:ascii="Times New Roman" w:hAnsi="Times New Roman" w:eastAsia="仿宋_GB2312" w:cs="Times New Roman"/>
          <w:color w:val="auto"/>
          <w:sz w:val="32"/>
          <w:szCs w:val="32"/>
          <w:highlight w:val="none"/>
          <w:lang w:eastAsia="zh-CN"/>
        </w:rPr>
        <w:t>各族青少年交流计划、各族群众互嵌式发展计划、旅游促进各民族交往交流交融计划。</w:t>
      </w:r>
    </w:p>
    <w:p w14:paraId="5BB9C474">
      <w:pPr>
        <w:keepNext w:val="0"/>
        <w:keepLines w:val="0"/>
        <w:pageBreakBefore w:val="0"/>
        <w:widowControl w:val="0"/>
        <w:numPr>
          <w:ilvl w:val="0"/>
          <w:numId w:val="50"/>
        </w:numPr>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黑体" w:cs="Times New Roman"/>
          <w:color w:val="auto"/>
          <w:sz w:val="32"/>
          <w:szCs w:val="32"/>
          <w:highlight w:val="none"/>
          <w:lang w:eastAsia="zh-CN"/>
        </w:rPr>
        <w:t>法律七进：</w:t>
      </w:r>
      <w:r>
        <w:rPr>
          <w:rFonts w:hint="default" w:ascii="Times New Roman" w:hAnsi="Times New Roman" w:eastAsia="仿宋_GB2312" w:cs="Times New Roman"/>
          <w:color w:val="auto"/>
          <w:sz w:val="32"/>
          <w:szCs w:val="32"/>
          <w:highlight w:val="none"/>
          <w:lang w:eastAsia="zh-CN"/>
        </w:rPr>
        <w:t>法律进机关（单位）、进乡村（社区）、进学校、进寺庙、进企业、进景区、进医院。</w:t>
      </w:r>
    </w:p>
    <w:p w14:paraId="20A7EE70">
      <w:pPr>
        <w:keepNext w:val="0"/>
        <w:keepLines w:val="0"/>
        <w:pageBreakBefore w:val="0"/>
        <w:widowControl w:val="0"/>
        <w:numPr>
          <w:ilvl w:val="0"/>
          <w:numId w:val="50"/>
        </w:numPr>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黑体" w:cs="Times New Roman"/>
          <w:color w:val="auto"/>
          <w:sz w:val="32"/>
          <w:szCs w:val="32"/>
          <w:highlight w:val="none"/>
          <w:lang w:eastAsia="zh-CN"/>
        </w:rPr>
        <w:t>三个意识：</w:t>
      </w:r>
      <w:r>
        <w:rPr>
          <w:rFonts w:hint="default" w:ascii="Times New Roman" w:hAnsi="Times New Roman" w:eastAsia="仿宋_GB2312" w:cs="Times New Roman"/>
          <w:color w:val="auto"/>
          <w:sz w:val="32"/>
          <w:szCs w:val="32"/>
          <w:highlight w:val="none"/>
          <w:lang w:eastAsia="zh-CN"/>
        </w:rPr>
        <w:t>国家意识、公民意识、法治意识。</w:t>
      </w:r>
    </w:p>
    <w:p w14:paraId="6AFA0992">
      <w:pPr>
        <w:keepNext w:val="0"/>
        <w:keepLines w:val="0"/>
        <w:pageBreakBefore w:val="0"/>
        <w:widowControl w:val="0"/>
        <w:numPr>
          <w:ilvl w:val="0"/>
          <w:numId w:val="50"/>
        </w:numPr>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黑体" w:cs="Times New Roman"/>
          <w:color w:val="auto"/>
          <w:sz w:val="32"/>
          <w:szCs w:val="32"/>
          <w:highlight w:val="none"/>
          <w:lang w:eastAsia="zh-CN"/>
        </w:rPr>
        <w:t>五老：</w:t>
      </w:r>
      <w:r>
        <w:rPr>
          <w:rFonts w:hint="default" w:ascii="Times New Roman" w:hAnsi="Times New Roman" w:eastAsia="仿宋_GB2312" w:cs="Times New Roman"/>
          <w:color w:val="auto"/>
          <w:sz w:val="32"/>
          <w:szCs w:val="32"/>
          <w:highlight w:val="none"/>
          <w:lang w:eastAsia="zh-CN"/>
        </w:rPr>
        <w:t>由老干部、老战士、老教师、老专家和老模范组成的“五老”志愿者。</w:t>
      </w:r>
    </w:p>
    <w:p w14:paraId="11F5F59D">
      <w:pPr>
        <w:keepNext w:val="0"/>
        <w:keepLines w:val="0"/>
        <w:pageBreakBefore w:val="0"/>
        <w:widowControl w:val="0"/>
        <w:numPr>
          <w:ilvl w:val="0"/>
          <w:numId w:val="50"/>
        </w:numPr>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黑体" w:cs="Times New Roman"/>
          <w:color w:val="auto"/>
          <w:sz w:val="32"/>
          <w:szCs w:val="32"/>
          <w:highlight w:val="none"/>
          <w:lang w:eastAsia="zh-CN"/>
        </w:rPr>
        <w:t>三反两防：</w:t>
      </w:r>
      <w:r>
        <w:rPr>
          <w:rFonts w:hint="default" w:ascii="Times New Roman" w:hAnsi="Times New Roman" w:eastAsia="仿宋_GB2312" w:cs="Times New Roman"/>
          <w:color w:val="auto"/>
          <w:sz w:val="32"/>
          <w:szCs w:val="32"/>
          <w:highlight w:val="none"/>
          <w:lang w:eastAsia="zh-CN"/>
        </w:rPr>
        <w:t>反分裂、反自焚、反渗透，防举旗举像、防群体性事件。</w:t>
      </w:r>
    </w:p>
    <w:p w14:paraId="7EB89A59">
      <w:pPr>
        <w:keepNext w:val="0"/>
        <w:keepLines w:val="0"/>
        <w:pageBreakBefore w:val="0"/>
        <w:widowControl w:val="0"/>
        <w:numPr>
          <w:ilvl w:val="0"/>
          <w:numId w:val="50"/>
        </w:numPr>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黑体" w:cs="Times New Roman"/>
          <w:color w:val="auto"/>
          <w:sz w:val="32"/>
          <w:szCs w:val="32"/>
          <w:highlight w:val="none"/>
          <w:lang w:eastAsia="zh-CN"/>
        </w:rPr>
        <w:t>安全生产知识“七进”：</w:t>
      </w:r>
      <w:r>
        <w:rPr>
          <w:rFonts w:hint="default" w:ascii="Times New Roman" w:hAnsi="Times New Roman" w:eastAsia="仿宋_GB2312" w:cs="Times New Roman"/>
          <w:color w:val="auto"/>
          <w:sz w:val="32"/>
          <w:szCs w:val="32"/>
          <w:highlight w:val="none"/>
          <w:lang w:eastAsia="zh-CN"/>
        </w:rPr>
        <w:t>安全生产进企业、进校园、进机关、进社区、进农村、进家庭、进公共场所。</w:t>
      </w:r>
    </w:p>
    <w:p w14:paraId="33C11CCC">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Chars="200"/>
        <w:textAlignment w:val="auto"/>
        <w:rPr>
          <w:rFonts w:hint="default" w:ascii="Times New Roman" w:hAnsi="Times New Roman" w:cs="Times New Roman"/>
          <w:color w:val="auto"/>
          <w:highlight w:val="none"/>
          <w:lang w:val="en-US" w:eastAsia="zh-CN"/>
        </w:rPr>
      </w:pPr>
    </w:p>
    <w:sectPr>
      <w:footerReference r:id="rId7" w:type="default"/>
      <w:pgSz w:w="11906" w:h="16838"/>
      <w:pgMar w:top="2098" w:right="1474" w:bottom="1984" w:left="1587" w:header="851" w:footer="992" w:gutter="0"/>
      <w:pgNumType w:fmt="numberInDash"/>
      <w:cols w:space="0" w:num="1"/>
      <w:rtlGutter w:val="0"/>
      <w:docGrid w:type="lines" w:linePitch="43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altName w:val="方正书宋_GBK"/>
    <w:panose1 w:val="02010600030101010101"/>
    <w:charset w:val="50"/>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楷体">
    <w:altName w:val="方正楷体_GBK"/>
    <w:panose1 w:val="02010609060101010101"/>
    <w:charset w:val="86"/>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等线">
    <w:altName w:val="汉仪中宋简"/>
    <w:panose1 w:val="02010600030101010101"/>
    <w:charset w:val="86"/>
    <w:family w:val="auto"/>
    <w:pitch w:val="default"/>
    <w:sig w:usb0="00000000" w:usb1="00000000" w:usb2="00000016" w:usb3="00000000" w:csb0="0004000F" w:csb1="00000000"/>
  </w:font>
  <w:font w:name="汉仪中宋简">
    <w:panose1 w:val="02010600000101010101"/>
    <w:charset w:val="86"/>
    <w:family w:val="auto"/>
    <w:pitch w:val="default"/>
    <w:sig w:usb0="00000001" w:usb1="080E0800" w:usb2="00000002" w:usb3="00000000" w:csb0="00040000" w:csb1="00000000"/>
  </w:font>
  <w:font w:name="方正小标宋简体">
    <w:panose1 w:val="02000000000000000000"/>
    <w:charset w:val="86"/>
    <w:family w:val="script"/>
    <w:pitch w:val="default"/>
    <w:sig w:usb0="A00002BF" w:usb1="184F6CFA" w:usb2="00000012" w:usb3="00000000" w:csb0="00040001" w:csb1="00000000"/>
  </w:font>
  <w:font w:name="楷体_GB2312">
    <w:altName w:val="方正楷体_GBK"/>
    <w:panose1 w:val="02010609030101010101"/>
    <w:charset w:val="86"/>
    <w:family w:val="auto"/>
    <w:pitch w:val="default"/>
    <w:sig w:usb0="00000000" w:usb1="00000000" w:usb2="00000000" w:usb3="00000000" w:csb0="00040000" w:csb1="00000000"/>
  </w:font>
  <w:font w:name="方正仿宋_GB2312">
    <w:altName w:val="方正仿宋_GBK"/>
    <w:panose1 w:val="02000000000000000000"/>
    <w:charset w:val="86"/>
    <w:family w:val="auto"/>
    <w:pitch w:val="default"/>
    <w:sig w:usb0="00000000" w:usb1="00000000" w:usb2="00000012" w:usb3="00000000" w:csb0="00040001" w:csb1="00000000"/>
  </w:font>
  <w:font w:name="微软雅黑">
    <w:altName w:val="方正黑体_GBK"/>
    <w:panose1 w:val="020B0503020204020204"/>
    <w:charset w:val="86"/>
    <w:family w:val="auto"/>
    <w:pitch w:val="default"/>
    <w:sig w:usb0="00000000" w:usb1="00000000" w:usb2="00000016" w:usb3="00000000" w:csb0="0004001F" w:csb1="00000000"/>
  </w:font>
  <w:font w:name="方正小标宋_GBK">
    <w:panose1 w:val="02000000000000000000"/>
    <w:charset w:val="86"/>
    <w:family w:val="auto"/>
    <w:pitch w:val="default"/>
    <w:sig w:usb0="A00002BF" w:usb1="38CF7CFA" w:usb2="00082016" w:usb3="00000000" w:csb0="00040001" w:csb1="00000000"/>
  </w:font>
  <w:font w:name="Wingdings 3">
    <w:panose1 w:val="05040102010807070707"/>
    <w:charset w:val="00"/>
    <w:family w:val="auto"/>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72BD58">
    <w:pPr>
      <w:widowControl w:val="0"/>
      <w:snapToGrid w:val="0"/>
      <w:spacing w:line="560" w:lineRule="exact"/>
      <w:ind w:firstLine="360" w:firstLineChars="200"/>
      <w:jc w:val="right"/>
      <w:rPr>
        <w:rFonts w:hint="eastAsia" w:ascii="等线" w:hAnsi="等线" w:eastAsia="宋体" w:cs="Times New Roman"/>
        <w:kern w:val="2"/>
        <w:sz w:val="18"/>
        <w:szCs w:val="18"/>
        <w:lang w:val="en-US" w:eastAsia="zh-CN" w:bidi="ar-S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2BA276">
    <w:pPr>
      <w:widowControl w:val="0"/>
      <w:snapToGrid w:val="0"/>
      <w:spacing w:line="560" w:lineRule="exact"/>
      <w:ind w:firstLine="360" w:firstLineChars="200"/>
      <w:jc w:val="right"/>
      <w:rPr>
        <w:rFonts w:hint="eastAsia" w:ascii="等线" w:hAnsi="等线" w:eastAsia="宋体" w:cs="Times New Roman"/>
        <w:kern w:val="2"/>
        <w:sz w:val="18"/>
        <w:szCs w:val="18"/>
        <w:lang w:val="en-US" w:eastAsia="zh-CN" w:bidi="ar-SA"/>
      </w:rPr>
    </w:pPr>
    <w:r>
      <w:rPr>
        <w:rFonts w:ascii="等线" w:hAnsi="等线" w:eastAsia="等线" w:cs="Times New Roman"/>
        <w:kern w:val="2"/>
        <w:sz w:val="18"/>
        <w:szCs w:val="18"/>
        <w:lang w:val="en-US" w:eastAsia="zh-CN" w:bidi="ar-SA"/>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378A285">
                          <w:pPr>
                            <w:keepNext w:val="0"/>
                            <w:keepLines w:val="0"/>
                            <w:pageBreakBefore w:val="0"/>
                            <w:widowControl w:val="0"/>
                            <w:kinsoku/>
                            <w:wordWrap/>
                            <w:overflowPunct/>
                            <w:topLinePunct w:val="0"/>
                            <w:bidi w:val="0"/>
                            <w:adjustRightInd/>
                            <w:snapToGrid w:val="0"/>
                            <w:spacing w:line="560" w:lineRule="exact"/>
                            <w:ind w:firstLine="0" w:firstLineChars="0"/>
                            <w:jc w:val="left"/>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fldChar w:fldCharType="begin"/>
                          </w:r>
                          <w:r>
                            <w:rPr>
                              <w:rFonts w:hint="eastAsia" w:ascii="宋体" w:hAnsi="宋体" w:eastAsia="宋体" w:cs="宋体"/>
                              <w:kern w:val="2"/>
                              <w:sz w:val="28"/>
                              <w:szCs w:val="28"/>
                              <w:lang w:val="en-US" w:eastAsia="zh-CN" w:bidi="ar-SA"/>
                            </w:rPr>
                            <w:instrText xml:space="preserve"> PAGE  \* MERGEFORMAT </w:instrText>
                          </w:r>
                          <w:r>
                            <w:rPr>
                              <w:rFonts w:hint="eastAsia" w:ascii="宋体" w:hAnsi="宋体" w:eastAsia="宋体" w:cs="宋体"/>
                              <w:kern w:val="2"/>
                              <w:sz w:val="28"/>
                              <w:szCs w:val="28"/>
                              <w:lang w:val="en-US" w:eastAsia="zh-CN" w:bidi="ar-SA"/>
                            </w:rPr>
                            <w:fldChar w:fldCharType="separate"/>
                          </w:r>
                          <w:r>
                            <w:rPr>
                              <w:rFonts w:hint="eastAsia" w:ascii="宋体" w:hAnsi="宋体" w:eastAsia="宋体" w:cs="宋体"/>
                              <w:kern w:val="2"/>
                              <w:sz w:val="28"/>
                              <w:szCs w:val="28"/>
                              <w:lang w:val="en-US" w:eastAsia="zh-CN" w:bidi="ar-SA"/>
                            </w:rPr>
                            <w:t>1</w:t>
                          </w:r>
                          <w:r>
                            <w:rPr>
                              <w:rFonts w:hint="eastAsia" w:ascii="宋体" w:hAnsi="宋体" w:eastAsia="宋体" w:cs="宋体"/>
                              <w:kern w:val="2"/>
                              <w:sz w:val="28"/>
                              <w:szCs w:val="28"/>
                              <w:lang w:val="en-US" w:eastAsia="zh-CN"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8PUr45AgAAcQQAAA4AAABkcnMvZTJvRG9jLnhtbK1UzY7TMBC+I/EO&#10;lu80aYFV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J8PUr45AgAAcQQAAA4AAAAAAAAAAQAgAAAAHwEAAGRycy9lMm9Eb2Mu&#10;eG1sUEsFBgAAAAAGAAYAWQEAAMoFAAAAAA==&#10;">
              <v:fill on="f" focussize="0,0"/>
              <v:stroke on="f" weight="0.5pt"/>
              <v:imagedata o:title=""/>
              <o:lock v:ext="edit" aspectratio="f"/>
              <v:textbox inset="0mm,0mm,0mm,0mm" style="mso-fit-shape-to-text:t;">
                <w:txbxContent>
                  <w:p w14:paraId="6378A285">
                    <w:pPr>
                      <w:keepNext w:val="0"/>
                      <w:keepLines w:val="0"/>
                      <w:pageBreakBefore w:val="0"/>
                      <w:widowControl w:val="0"/>
                      <w:kinsoku/>
                      <w:wordWrap/>
                      <w:overflowPunct/>
                      <w:topLinePunct w:val="0"/>
                      <w:bidi w:val="0"/>
                      <w:adjustRightInd/>
                      <w:snapToGrid w:val="0"/>
                      <w:spacing w:line="560" w:lineRule="exact"/>
                      <w:ind w:firstLine="0" w:firstLineChars="0"/>
                      <w:jc w:val="left"/>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fldChar w:fldCharType="begin"/>
                    </w:r>
                    <w:r>
                      <w:rPr>
                        <w:rFonts w:hint="eastAsia" w:ascii="宋体" w:hAnsi="宋体" w:eastAsia="宋体" w:cs="宋体"/>
                        <w:kern w:val="2"/>
                        <w:sz w:val="28"/>
                        <w:szCs w:val="28"/>
                        <w:lang w:val="en-US" w:eastAsia="zh-CN" w:bidi="ar-SA"/>
                      </w:rPr>
                      <w:instrText xml:space="preserve"> PAGE  \* MERGEFORMAT </w:instrText>
                    </w:r>
                    <w:r>
                      <w:rPr>
                        <w:rFonts w:hint="eastAsia" w:ascii="宋体" w:hAnsi="宋体" w:eastAsia="宋体" w:cs="宋体"/>
                        <w:kern w:val="2"/>
                        <w:sz w:val="28"/>
                        <w:szCs w:val="28"/>
                        <w:lang w:val="en-US" w:eastAsia="zh-CN" w:bidi="ar-SA"/>
                      </w:rPr>
                      <w:fldChar w:fldCharType="separate"/>
                    </w:r>
                    <w:r>
                      <w:rPr>
                        <w:rFonts w:hint="eastAsia" w:ascii="宋体" w:hAnsi="宋体" w:eastAsia="宋体" w:cs="宋体"/>
                        <w:kern w:val="2"/>
                        <w:sz w:val="28"/>
                        <w:szCs w:val="28"/>
                        <w:lang w:val="en-US" w:eastAsia="zh-CN" w:bidi="ar-SA"/>
                      </w:rPr>
                      <w:t>1</w:t>
                    </w:r>
                    <w:r>
                      <w:rPr>
                        <w:rFonts w:hint="eastAsia" w:ascii="宋体" w:hAnsi="宋体" w:eastAsia="宋体" w:cs="宋体"/>
                        <w:kern w:val="2"/>
                        <w:sz w:val="28"/>
                        <w:szCs w:val="28"/>
                        <w:lang w:val="en-US" w:eastAsia="zh-CN" w:bidi="ar-SA"/>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B6D5D0">
    <w:pPr>
      <w:pStyle w:val="12"/>
      <w:jc w:val="right"/>
      <w:rPr>
        <w:rFonts w:hint="eastAsia" w:eastAsia="宋体"/>
      </w:rP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C50704">
                          <w:pPr>
                            <w:pStyle w:val="12"/>
                            <w:keepNext w:val="0"/>
                            <w:keepLines w:val="0"/>
                            <w:pageBreakBefore w:val="0"/>
                            <w:widowControl w:val="0"/>
                            <w:kinsoku/>
                            <w:wordWrap/>
                            <w:overflowPunct/>
                            <w:topLinePunct w:val="0"/>
                            <w:bidi w:val="0"/>
                            <w:adjustRightInd/>
                            <w:snapToGrid w:val="0"/>
                            <w:ind w:firstLine="0" w:firstLineChars="0"/>
                            <w:textAlignment w:val="auto"/>
                            <w:rPr>
                              <w:rFonts w:hint="eastAsia" w:ascii="宋体" w:hAnsi="宋体" w:eastAsia="宋体" w:cs="宋体"/>
                              <w:sz w:val="28"/>
                              <w:szCs w:val="28"/>
                            </w:rPr>
                          </w:pPr>
                          <w:r>
                            <w:rPr>
                              <w:rFonts w:hint="default" w:ascii="Times New Roman" w:hAnsi="Times New Roman" w:eastAsia="宋体" w:cs="Times New Roman"/>
                              <w:sz w:val="28"/>
                              <w:szCs w:val="28"/>
                            </w:rPr>
                            <w:fldChar w:fldCharType="begin"/>
                          </w:r>
                          <w:r>
                            <w:rPr>
                              <w:rFonts w:hint="default" w:ascii="Times New Roman" w:hAnsi="Times New Roman" w:eastAsia="宋体" w:cs="Times New Roman"/>
                              <w:sz w:val="28"/>
                              <w:szCs w:val="28"/>
                            </w:rPr>
                            <w:instrText xml:space="preserve"> PAGE  \* MERGEFORMAT </w:instrText>
                          </w:r>
                          <w:r>
                            <w:rPr>
                              <w:rFonts w:hint="default" w:ascii="Times New Roman" w:hAnsi="Times New Roman" w:eastAsia="宋体" w:cs="Times New Roman"/>
                              <w:sz w:val="28"/>
                              <w:szCs w:val="28"/>
                            </w:rPr>
                            <w:fldChar w:fldCharType="separate"/>
                          </w:r>
                          <w:r>
                            <w:rPr>
                              <w:rFonts w:hint="default" w:ascii="Times New Roman" w:hAnsi="Times New Roman" w:eastAsia="宋体" w:cs="Times New Roman"/>
                              <w:sz w:val="28"/>
                              <w:szCs w:val="28"/>
                            </w:rPr>
                            <w:t>1</w:t>
                          </w:r>
                          <w:r>
                            <w:rPr>
                              <w:rFonts w:hint="default" w:ascii="Times New Roman" w:hAnsi="Times New Roman" w:eastAsia="宋体" w:cs="Times New Roman"/>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CC50704">
                    <w:pPr>
                      <w:pStyle w:val="12"/>
                      <w:keepNext w:val="0"/>
                      <w:keepLines w:val="0"/>
                      <w:pageBreakBefore w:val="0"/>
                      <w:widowControl w:val="0"/>
                      <w:kinsoku/>
                      <w:wordWrap/>
                      <w:overflowPunct/>
                      <w:topLinePunct w:val="0"/>
                      <w:bidi w:val="0"/>
                      <w:adjustRightInd/>
                      <w:snapToGrid w:val="0"/>
                      <w:ind w:firstLine="0" w:firstLineChars="0"/>
                      <w:textAlignment w:val="auto"/>
                      <w:rPr>
                        <w:rFonts w:hint="eastAsia" w:ascii="宋体" w:hAnsi="宋体" w:eastAsia="宋体" w:cs="宋体"/>
                        <w:sz w:val="28"/>
                        <w:szCs w:val="28"/>
                      </w:rPr>
                    </w:pPr>
                    <w:r>
                      <w:rPr>
                        <w:rFonts w:hint="default" w:ascii="Times New Roman" w:hAnsi="Times New Roman" w:eastAsia="宋体" w:cs="Times New Roman"/>
                        <w:sz w:val="28"/>
                        <w:szCs w:val="28"/>
                      </w:rPr>
                      <w:fldChar w:fldCharType="begin"/>
                    </w:r>
                    <w:r>
                      <w:rPr>
                        <w:rFonts w:hint="default" w:ascii="Times New Roman" w:hAnsi="Times New Roman" w:eastAsia="宋体" w:cs="Times New Roman"/>
                        <w:sz w:val="28"/>
                        <w:szCs w:val="28"/>
                      </w:rPr>
                      <w:instrText xml:space="preserve"> PAGE  \* MERGEFORMAT </w:instrText>
                    </w:r>
                    <w:r>
                      <w:rPr>
                        <w:rFonts w:hint="default" w:ascii="Times New Roman" w:hAnsi="Times New Roman" w:eastAsia="宋体" w:cs="Times New Roman"/>
                        <w:sz w:val="28"/>
                        <w:szCs w:val="28"/>
                      </w:rPr>
                      <w:fldChar w:fldCharType="separate"/>
                    </w:r>
                    <w:r>
                      <w:rPr>
                        <w:rFonts w:hint="default" w:ascii="Times New Roman" w:hAnsi="Times New Roman" w:eastAsia="宋体" w:cs="Times New Roman"/>
                        <w:sz w:val="28"/>
                        <w:szCs w:val="28"/>
                      </w:rPr>
                      <w:t>1</w:t>
                    </w:r>
                    <w:r>
                      <w:rPr>
                        <w:rFonts w:hint="default" w:ascii="Times New Roman" w:hAnsi="Times New Roman" w:eastAsia="宋体" w:cs="Times New Roman"/>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38283F"/>
    <w:multiLevelType w:val="singleLevel"/>
    <w:tmpl w:val="8138283F"/>
    <w:lvl w:ilvl="0" w:tentative="0">
      <w:start w:val="1"/>
      <w:numFmt w:val="chineseCounting"/>
      <w:suff w:val="space"/>
      <w:lvlText w:val="第%1篇"/>
      <w:lvlJc w:val="left"/>
      <w:pPr>
        <w:tabs>
          <w:tab w:val="left" w:pos="0"/>
        </w:tabs>
      </w:pPr>
      <w:rPr>
        <w:rFonts w:hint="eastAsia" w:eastAsia="方正小标宋简体"/>
        <w:sz w:val="44"/>
        <w:szCs w:val="44"/>
      </w:rPr>
    </w:lvl>
  </w:abstractNum>
  <w:abstractNum w:abstractNumId="1">
    <w:nsid w:val="C4162C79"/>
    <w:multiLevelType w:val="singleLevel"/>
    <w:tmpl w:val="C4162C79"/>
    <w:lvl w:ilvl="0" w:tentative="0">
      <w:start w:val="1"/>
      <w:numFmt w:val="chineseCounting"/>
      <w:pStyle w:val="24"/>
      <w:suff w:val="space"/>
      <w:lvlText w:val="第%1章"/>
      <w:lvlJc w:val="left"/>
      <w:pPr>
        <w:tabs>
          <w:tab w:val="left" w:pos="0"/>
        </w:tabs>
      </w:pPr>
      <w:rPr>
        <w:rFonts w:hint="eastAsia" w:ascii="方正小标宋简体" w:hAnsi="方正小标宋简体" w:eastAsia="黑体" w:cs="黑体"/>
        <w:sz w:val="32"/>
        <w:szCs w:val="32"/>
      </w:rPr>
    </w:lvl>
  </w:abstractNum>
  <w:abstractNum w:abstractNumId="2">
    <w:nsid w:val="EF9504CA"/>
    <w:multiLevelType w:val="singleLevel"/>
    <w:tmpl w:val="EF9504CA"/>
    <w:lvl w:ilvl="0" w:tentative="0">
      <w:start w:val="1"/>
      <w:numFmt w:val="chineseCounting"/>
      <w:pStyle w:val="25"/>
      <w:suff w:val="space"/>
      <w:lvlText w:val="第%1节"/>
      <w:lvlJc w:val="left"/>
      <w:pPr>
        <w:tabs>
          <w:tab w:val="left" w:pos="0"/>
        </w:tabs>
      </w:pPr>
      <w:rPr>
        <w:rFonts w:hint="eastAsia" w:eastAsia="楷体_GB2312" w:cs="楷体_GB2312"/>
        <w:sz w:val="32"/>
        <w:szCs w:val="32"/>
      </w:rPr>
    </w:lvl>
  </w:abstractNum>
  <w:abstractNum w:abstractNumId="3">
    <w:nsid w:val="00000006"/>
    <w:multiLevelType w:val="singleLevel"/>
    <w:tmpl w:val="00000006"/>
    <w:lvl w:ilvl="0" w:tentative="0">
      <w:start w:val="1"/>
      <w:numFmt w:val="bullet"/>
      <w:lvlText w:val=""/>
      <w:lvlJc w:val="left"/>
      <w:pPr>
        <w:ind w:left="420" w:hanging="420"/>
      </w:pPr>
      <w:rPr>
        <w:rFonts w:hint="default" w:ascii="Wingdings" w:hAnsi="Wingdings"/>
      </w:rPr>
    </w:lvl>
  </w:abstractNum>
  <w:abstractNum w:abstractNumId="4">
    <w:nsid w:val="377956A7"/>
    <w:multiLevelType w:val="singleLevel"/>
    <w:tmpl w:val="377956A7"/>
    <w:lvl w:ilvl="0" w:tentative="0">
      <w:start w:val="1"/>
      <w:numFmt w:val="decimal"/>
      <w:suff w:val="nothing"/>
      <w:lvlText w:val="%1."/>
      <w:lvlJc w:val="left"/>
      <w:pPr>
        <w:ind w:left="425" w:hanging="425"/>
      </w:pPr>
      <w:rPr>
        <w:rFonts w:hint="default"/>
      </w:rPr>
    </w:lvl>
  </w:abstractNum>
  <w:abstractNum w:abstractNumId="5">
    <w:nsid w:val="53110957"/>
    <w:multiLevelType w:val="singleLevel"/>
    <w:tmpl w:val="53110957"/>
    <w:lvl w:ilvl="0" w:tentative="0">
      <w:start w:val="1"/>
      <w:numFmt w:val="bullet"/>
      <w:lvlText w:val=""/>
      <w:lvlJc w:val="left"/>
      <w:pPr>
        <w:ind w:left="420" w:hanging="420"/>
      </w:pPr>
      <w:rPr>
        <w:rFonts w:hint="default" w:ascii="Wingdings" w:hAnsi="Wingdings"/>
      </w:rPr>
    </w:lvl>
  </w:abstractNum>
  <w:abstractNum w:abstractNumId="6">
    <w:nsid w:val="6B0565AA"/>
    <w:multiLevelType w:val="singleLevel"/>
    <w:tmpl w:val="6B0565AA"/>
    <w:lvl w:ilvl="0" w:tentative="0">
      <w:start w:val="1"/>
      <w:numFmt w:val="bullet"/>
      <w:lvlText w:val=""/>
      <w:lvlJc w:val="left"/>
      <w:pPr>
        <w:ind w:left="420" w:hanging="420"/>
      </w:pPr>
      <w:rPr>
        <w:rFonts w:hint="default" w:ascii="Wingdings" w:hAnsi="Wingdings"/>
      </w:rPr>
    </w:lvl>
  </w:abstractNum>
  <w:abstractNum w:abstractNumId="7">
    <w:nsid w:val="6B94ED17"/>
    <w:multiLevelType w:val="singleLevel"/>
    <w:tmpl w:val="6B94ED17"/>
    <w:lvl w:ilvl="0" w:tentative="0">
      <w:start w:val="1"/>
      <w:numFmt w:val="chineseCounting"/>
      <w:suff w:val="space"/>
      <w:lvlText w:val="第%1节"/>
      <w:lvlJc w:val="left"/>
      <w:rPr>
        <w:rFonts w:hint="eastAsia"/>
        <w:sz w:val="32"/>
        <w:szCs w:val="32"/>
      </w:rPr>
    </w:lvl>
  </w:abstractNum>
  <w:abstractNum w:abstractNumId="8">
    <w:nsid w:val="7A794891"/>
    <w:multiLevelType w:val="singleLevel"/>
    <w:tmpl w:val="7A794891"/>
    <w:lvl w:ilvl="0" w:tentative="0">
      <w:start w:val="1"/>
      <w:numFmt w:val="bullet"/>
      <w:lvlText w:val=""/>
      <w:lvlJc w:val="left"/>
      <w:pPr>
        <w:ind w:left="420" w:hanging="420"/>
      </w:pPr>
      <w:rPr>
        <w:rFonts w:hint="default" w:ascii="Wingdings" w:hAnsi="Wingdings"/>
      </w:rPr>
    </w:lvl>
  </w:abstractNum>
  <w:num w:numId="1">
    <w:abstractNumId w:val="1"/>
  </w:num>
  <w:num w:numId="2">
    <w:abstractNumId w:val="2"/>
  </w:num>
  <w:num w:numId="3">
    <w:abstractNumId w:val="0"/>
  </w:num>
  <w:num w:numId="4">
    <w:abstractNumId w:val="7"/>
    <w:lvlOverride w:ilvl="0">
      <w:startOverride w:val="1"/>
    </w:lvlOverride>
  </w:num>
  <w:num w:numId="5">
    <w:abstractNumId w:val="3"/>
  </w:num>
  <w:num w:numId="6">
    <w:abstractNumId w:val="7"/>
    <w:lvlOverride w:ilvl="0">
      <w:startOverride w:val="1"/>
    </w:lvlOverride>
  </w:num>
  <w:num w:numId="7">
    <w:abstractNumId w:val="7"/>
    <w:lvlOverride w:ilvl="0">
      <w:startOverride w:val="1"/>
    </w:lvlOverride>
  </w:num>
  <w:num w:numId="8">
    <w:abstractNumId w:val="7"/>
    <w:lvlOverride w:ilvl="0">
      <w:startOverride w:val="1"/>
    </w:lvlOverride>
  </w:num>
  <w:num w:numId="9">
    <w:abstractNumId w:val="7"/>
    <w:lvlOverride w:ilvl="0">
      <w:startOverride w:val="1"/>
    </w:lvlOverride>
  </w:num>
  <w:num w:numId="10">
    <w:abstractNumId w:val="7"/>
    <w:lvlOverride w:ilvl="0">
      <w:startOverride w:val="1"/>
    </w:lvlOverride>
  </w:num>
  <w:num w:numId="11">
    <w:abstractNumId w:val="7"/>
    <w:lvlOverride w:ilvl="0">
      <w:startOverride w:val="1"/>
    </w:lvlOverride>
  </w:num>
  <w:num w:numId="12">
    <w:abstractNumId w:val="7"/>
    <w:lvlOverride w:ilvl="0">
      <w:startOverride w:val="1"/>
    </w:lvlOverride>
  </w:num>
  <w:num w:numId="13">
    <w:abstractNumId w:val="8"/>
  </w:num>
  <w:num w:numId="14">
    <w:abstractNumId w:val="7"/>
    <w:lvlOverride w:ilvl="0">
      <w:startOverride w:val="1"/>
    </w:lvlOverride>
  </w:num>
  <w:num w:numId="15">
    <w:abstractNumId w:val="7"/>
    <w:lvlOverride w:ilvl="0">
      <w:startOverride w:val="1"/>
    </w:lvlOverride>
  </w:num>
  <w:num w:numId="16">
    <w:abstractNumId w:val="7"/>
    <w:lvlOverride w:ilvl="0">
      <w:startOverride w:val="1"/>
    </w:lvlOverride>
  </w:num>
  <w:num w:numId="17">
    <w:abstractNumId w:val="7"/>
    <w:lvlOverride w:ilvl="0">
      <w:startOverride w:val="1"/>
    </w:lvlOverride>
  </w:num>
  <w:num w:numId="18">
    <w:abstractNumId w:val="7"/>
    <w:lvlOverride w:ilvl="0">
      <w:startOverride w:val="1"/>
    </w:lvlOverride>
  </w:num>
  <w:num w:numId="19">
    <w:abstractNumId w:val="7"/>
  </w:num>
  <w:num w:numId="20">
    <w:abstractNumId w:val="7"/>
    <w:lvlOverride w:ilvl="0">
      <w:startOverride w:val="1"/>
    </w:lvlOverride>
  </w:num>
  <w:num w:numId="21">
    <w:abstractNumId w:val="7"/>
    <w:lvlOverride w:ilvl="0">
      <w:startOverride w:val="1"/>
    </w:lvlOverride>
  </w:num>
  <w:num w:numId="22">
    <w:abstractNumId w:val="7"/>
    <w:lvlOverride w:ilvl="0">
      <w:startOverride w:val="1"/>
    </w:lvlOverride>
  </w:num>
  <w:num w:numId="23">
    <w:abstractNumId w:val="6"/>
  </w:num>
  <w:num w:numId="24">
    <w:abstractNumId w:val="7"/>
    <w:lvlOverride w:ilvl="0">
      <w:startOverride w:val="1"/>
    </w:lvlOverride>
  </w:num>
  <w:num w:numId="25">
    <w:abstractNumId w:val="7"/>
    <w:lvlOverride w:ilvl="0">
      <w:startOverride w:val="1"/>
    </w:lvlOverride>
  </w:num>
  <w:num w:numId="26">
    <w:abstractNumId w:val="7"/>
    <w:lvlOverride w:ilvl="0">
      <w:startOverride w:val="1"/>
    </w:lvlOverride>
  </w:num>
  <w:num w:numId="27">
    <w:abstractNumId w:val="7"/>
    <w:lvlOverride w:ilvl="0">
      <w:startOverride w:val="1"/>
    </w:lvlOverride>
  </w:num>
  <w:num w:numId="28">
    <w:abstractNumId w:val="7"/>
    <w:lvlOverride w:ilvl="0">
      <w:startOverride w:val="1"/>
    </w:lvlOverride>
  </w:num>
  <w:num w:numId="29">
    <w:abstractNumId w:val="7"/>
    <w:lvlOverride w:ilvl="0">
      <w:startOverride w:val="1"/>
    </w:lvlOverride>
  </w:num>
  <w:num w:numId="30">
    <w:abstractNumId w:val="7"/>
    <w:lvlOverride w:ilvl="0">
      <w:startOverride w:val="1"/>
    </w:lvlOverride>
  </w:num>
  <w:num w:numId="31">
    <w:abstractNumId w:val="5"/>
  </w:num>
  <w:num w:numId="32">
    <w:abstractNumId w:val="7"/>
    <w:lvlOverride w:ilvl="0">
      <w:startOverride w:val="1"/>
    </w:lvlOverride>
  </w:num>
  <w:num w:numId="33">
    <w:abstractNumId w:val="7"/>
    <w:lvlOverride w:ilvl="0">
      <w:startOverride w:val="1"/>
    </w:lvlOverride>
  </w:num>
  <w:num w:numId="34">
    <w:abstractNumId w:val="7"/>
    <w:lvlOverride w:ilvl="0">
      <w:startOverride w:val="1"/>
    </w:lvlOverride>
  </w:num>
  <w:num w:numId="35">
    <w:abstractNumId w:val="7"/>
    <w:lvlOverride w:ilvl="0">
      <w:startOverride w:val="1"/>
    </w:lvlOverride>
  </w:num>
  <w:num w:numId="36">
    <w:abstractNumId w:val="7"/>
    <w:lvlOverride w:ilvl="0">
      <w:startOverride w:val="1"/>
    </w:lvlOverride>
  </w:num>
  <w:num w:numId="37">
    <w:abstractNumId w:val="7"/>
    <w:lvlOverride w:ilvl="0">
      <w:startOverride w:val="1"/>
    </w:lvlOverride>
  </w:num>
  <w:num w:numId="38">
    <w:abstractNumId w:val="7"/>
    <w:lvlOverride w:ilvl="0">
      <w:startOverride w:val="1"/>
    </w:lvlOverride>
  </w:num>
  <w:num w:numId="39">
    <w:abstractNumId w:val="7"/>
    <w:lvlOverride w:ilvl="0">
      <w:startOverride w:val="1"/>
    </w:lvlOverride>
  </w:num>
  <w:num w:numId="40">
    <w:abstractNumId w:val="7"/>
    <w:lvlOverride w:ilvl="0">
      <w:startOverride w:val="1"/>
    </w:lvlOverride>
  </w:num>
  <w:num w:numId="41">
    <w:abstractNumId w:val="7"/>
    <w:lvlOverride w:ilvl="0">
      <w:startOverride w:val="1"/>
    </w:lvlOverride>
  </w:num>
  <w:num w:numId="42">
    <w:abstractNumId w:val="7"/>
    <w:lvlOverride w:ilvl="0">
      <w:startOverride w:val="1"/>
    </w:lvlOverride>
  </w:num>
  <w:num w:numId="43">
    <w:abstractNumId w:val="7"/>
    <w:lvlOverride w:ilvl="0">
      <w:startOverride w:val="1"/>
    </w:lvlOverride>
  </w:num>
  <w:num w:numId="44">
    <w:abstractNumId w:val="7"/>
    <w:lvlOverride w:ilvl="0">
      <w:startOverride w:val="1"/>
    </w:lvlOverride>
  </w:num>
  <w:num w:numId="45">
    <w:abstractNumId w:val="7"/>
    <w:lvlOverride w:ilvl="0">
      <w:startOverride w:val="1"/>
    </w:lvlOverride>
  </w:num>
  <w:num w:numId="46">
    <w:abstractNumId w:val="7"/>
    <w:lvlOverride w:ilvl="0">
      <w:startOverride w:val="1"/>
    </w:lvlOverride>
  </w:num>
  <w:num w:numId="47">
    <w:abstractNumId w:val="7"/>
    <w:lvlOverride w:ilvl="0">
      <w:startOverride w:val="1"/>
    </w:lvlOverride>
  </w:num>
  <w:num w:numId="48">
    <w:abstractNumId w:val="7"/>
    <w:lvlOverride w:ilvl="0">
      <w:startOverride w:val="1"/>
    </w:lvlOverride>
  </w:num>
  <w:num w:numId="49">
    <w:abstractNumId w:val="7"/>
    <w:lvlOverride w:ilvl="0">
      <w:startOverride w:val="1"/>
    </w:lvlOverride>
  </w:num>
  <w:num w:numId="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9"/>
  <w:embedTrueTypeFonts/>
  <w:saveSubsetFonts/>
  <w:bordersDoNotSurroundHeader w:val="0"/>
  <w:bordersDoNotSurroundFooter w:val="0"/>
  <w:documentProtection w:enforcement="0"/>
  <w:defaultTabStop w:val="420"/>
  <w:drawingGridVerticalSpacing w:val="220"/>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D654326"/>
    <w:rsid w:val="00076791"/>
    <w:rsid w:val="000F5645"/>
    <w:rsid w:val="00107DE6"/>
    <w:rsid w:val="00132CB8"/>
    <w:rsid w:val="003C74AE"/>
    <w:rsid w:val="0055574E"/>
    <w:rsid w:val="00847DE1"/>
    <w:rsid w:val="00B03A02"/>
    <w:rsid w:val="00B62B4D"/>
    <w:rsid w:val="00C30909"/>
    <w:rsid w:val="00CB77BE"/>
    <w:rsid w:val="00DB20F7"/>
    <w:rsid w:val="0125238F"/>
    <w:rsid w:val="01435864"/>
    <w:rsid w:val="0186171C"/>
    <w:rsid w:val="01B84D05"/>
    <w:rsid w:val="01C03272"/>
    <w:rsid w:val="01E92234"/>
    <w:rsid w:val="01EF7A90"/>
    <w:rsid w:val="02996215"/>
    <w:rsid w:val="02B06FC6"/>
    <w:rsid w:val="02B42FAF"/>
    <w:rsid w:val="02BC02E4"/>
    <w:rsid w:val="0306659A"/>
    <w:rsid w:val="036D7252"/>
    <w:rsid w:val="03742EAE"/>
    <w:rsid w:val="03B665B5"/>
    <w:rsid w:val="03C07382"/>
    <w:rsid w:val="03CA1FAF"/>
    <w:rsid w:val="03DB3ADF"/>
    <w:rsid w:val="040D7310"/>
    <w:rsid w:val="043F474B"/>
    <w:rsid w:val="048473D7"/>
    <w:rsid w:val="04934A97"/>
    <w:rsid w:val="049E532B"/>
    <w:rsid w:val="04BD54E3"/>
    <w:rsid w:val="04C47046"/>
    <w:rsid w:val="04E50427"/>
    <w:rsid w:val="04E70C1E"/>
    <w:rsid w:val="04F05A45"/>
    <w:rsid w:val="0532605E"/>
    <w:rsid w:val="054A15F9"/>
    <w:rsid w:val="05557F9E"/>
    <w:rsid w:val="056A3A4A"/>
    <w:rsid w:val="05807266"/>
    <w:rsid w:val="059960DD"/>
    <w:rsid w:val="05BE78F1"/>
    <w:rsid w:val="05CC0260"/>
    <w:rsid w:val="05D55216"/>
    <w:rsid w:val="05F72E03"/>
    <w:rsid w:val="05FA407D"/>
    <w:rsid w:val="05FD2371"/>
    <w:rsid w:val="060B0516"/>
    <w:rsid w:val="063160C1"/>
    <w:rsid w:val="06325A5E"/>
    <w:rsid w:val="06494C3A"/>
    <w:rsid w:val="06622973"/>
    <w:rsid w:val="066623C4"/>
    <w:rsid w:val="066D248A"/>
    <w:rsid w:val="06733ACD"/>
    <w:rsid w:val="068608AC"/>
    <w:rsid w:val="06AA0191"/>
    <w:rsid w:val="06E2153E"/>
    <w:rsid w:val="06EB2968"/>
    <w:rsid w:val="070F0084"/>
    <w:rsid w:val="0730481F"/>
    <w:rsid w:val="074309F6"/>
    <w:rsid w:val="07577FFE"/>
    <w:rsid w:val="07660A33"/>
    <w:rsid w:val="0773321B"/>
    <w:rsid w:val="077F1302"/>
    <w:rsid w:val="078558EA"/>
    <w:rsid w:val="07911761"/>
    <w:rsid w:val="07AA4BA2"/>
    <w:rsid w:val="07BF4042"/>
    <w:rsid w:val="07C407AD"/>
    <w:rsid w:val="07D23B28"/>
    <w:rsid w:val="07F7429B"/>
    <w:rsid w:val="080A7414"/>
    <w:rsid w:val="08674270"/>
    <w:rsid w:val="08836BD0"/>
    <w:rsid w:val="08B5026C"/>
    <w:rsid w:val="08E81045"/>
    <w:rsid w:val="08FF3F01"/>
    <w:rsid w:val="09135CAB"/>
    <w:rsid w:val="094A7EC4"/>
    <w:rsid w:val="094C3466"/>
    <w:rsid w:val="094E3682"/>
    <w:rsid w:val="09AB7CD5"/>
    <w:rsid w:val="09C13F1E"/>
    <w:rsid w:val="0A155669"/>
    <w:rsid w:val="0A265207"/>
    <w:rsid w:val="0A2D217F"/>
    <w:rsid w:val="0A304CFB"/>
    <w:rsid w:val="0A4C52A4"/>
    <w:rsid w:val="0A6856A9"/>
    <w:rsid w:val="0A6A629A"/>
    <w:rsid w:val="0AC27E84"/>
    <w:rsid w:val="0AFA2B41"/>
    <w:rsid w:val="0AFA761E"/>
    <w:rsid w:val="0B0A5387"/>
    <w:rsid w:val="0B0A5CA9"/>
    <w:rsid w:val="0B172FF1"/>
    <w:rsid w:val="0B2E72C7"/>
    <w:rsid w:val="0B3E2E09"/>
    <w:rsid w:val="0B4715AC"/>
    <w:rsid w:val="0BCB720C"/>
    <w:rsid w:val="0BED24F2"/>
    <w:rsid w:val="0BF57DE5"/>
    <w:rsid w:val="0C46551C"/>
    <w:rsid w:val="0C526FE5"/>
    <w:rsid w:val="0C752D52"/>
    <w:rsid w:val="0C790A16"/>
    <w:rsid w:val="0C8E2713"/>
    <w:rsid w:val="0CA57A5D"/>
    <w:rsid w:val="0CD3660A"/>
    <w:rsid w:val="0CF92203"/>
    <w:rsid w:val="0CFC11DB"/>
    <w:rsid w:val="0D103128"/>
    <w:rsid w:val="0D24018D"/>
    <w:rsid w:val="0D517EF5"/>
    <w:rsid w:val="0D654326"/>
    <w:rsid w:val="0D6C20AD"/>
    <w:rsid w:val="0D6C2D76"/>
    <w:rsid w:val="0D7511DD"/>
    <w:rsid w:val="0D946626"/>
    <w:rsid w:val="0D9D504C"/>
    <w:rsid w:val="0D9E67E5"/>
    <w:rsid w:val="0DC63AC7"/>
    <w:rsid w:val="0DE67374"/>
    <w:rsid w:val="0E0367E9"/>
    <w:rsid w:val="0E6A070C"/>
    <w:rsid w:val="0E934117"/>
    <w:rsid w:val="0EA55AF2"/>
    <w:rsid w:val="0ED558F6"/>
    <w:rsid w:val="0EF10D38"/>
    <w:rsid w:val="0F0E0A78"/>
    <w:rsid w:val="0F357995"/>
    <w:rsid w:val="0F4948EC"/>
    <w:rsid w:val="0F662B9A"/>
    <w:rsid w:val="0FA61182"/>
    <w:rsid w:val="0FE13DA4"/>
    <w:rsid w:val="0FE32D76"/>
    <w:rsid w:val="0FFF1232"/>
    <w:rsid w:val="101A4AE5"/>
    <w:rsid w:val="101D4DF0"/>
    <w:rsid w:val="105103D0"/>
    <w:rsid w:val="105C6685"/>
    <w:rsid w:val="106F4149"/>
    <w:rsid w:val="108005C5"/>
    <w:rsid w:val="109112D2"/>
    <w:rsid w:val="109776BD"/>
    <w:rsid w:val="10B81EFA"/>
    <w:rsid w:val="10D4204A"/>
    <w:rsid w:val="10D7731C"/>
    <w:rsid w:val="10DB78ED"/>
    <w:rsid w:val="11170296"/>
    <w:rsid w:val="11513D10"/>
    <w:rsid w:val="115806FA"/>
    <w:rsid w:val="116F12D7"/>
    <w:rsid w:val="117526ED"/>
    <w:rsid w:val="11775DA9"/>
    <w:rsid w:val="118A0FD0"/>
    <w:rsid w:val="118B2A74"/>
    <w:rsid w:val="119B788E"/>
    <w:rsid w:val="11A26319"/>
    <w:rsid w:val="11B573DC"/>
    <w:rsid w:val="11D4369E"/>
    <w:rsid w:val="11FC3C7B"/>
    <w:rsid w:val="120C50A7"/>
    <w:rsid w:val="125E7165"/>
    <w:rsid w:val="126F6B43"/>
    <w:rsid w:val="12810624"/>
    <w:rsid w:val="12823991"/>
    <w:rsid w:val="129904F4"/>
    <w:rsid w:val="12BA1E45"/>
    <w:rsid w:val="12C7072D"/>
    <w:rsid w:val="12DF16EB"/>
    <w:rsid w:val="130354DD"/>
    <w:rsid w:val="131B53CF"/>
    <w:rsid w:val="13347445"/>
    <w:rsid w:val="133F3180"/>
    <w:rsid w:val="134A1C81"/>
    <w:rsid w:val="13506AAF"/>
    <w:rsid w:val="135E4441"/>
    <w:rsid w:val="136D62B3"/>
    <w:rsid w:val="13AC347F"/>
    <w:rsid w:val="13D739F0"/>
    <w:rsid w:val="13D75959"/>
    <w:rsid w:val="143C0CA7"/>
    <w:rsid w:val="144B713C"/>
    <w:rsid w:val="146B610A"/>
    <w:rsid w:val="14791570"/>
    <w:rsid w:val="14AB7E8B"/>
    <w:rsid w:val="14B101D2"/>
    <w:rsid w:val="14CB7C52"/>
    <w:rsid w:val="14CF38C9"/>
    <w:rsid w:val="14DF7D8F"/>
    <w:rsid w:val="14EF1A8D"/>
    <w:rsid w:val="15022E87"/>
    <w:rsid w:val="15274143"/>
    <w:rsid w:val="152D6C76"/>
    <w:rsid w:val="153E6BC4"/>
    <w:rsid w:val="15406575"/>
    <w:rsid w:val="1546602E"/>
    <w:rsid w:val="154A2FFE"/>
    <w:rsid w:val="155973C9"/>
    <w:rsid w:val="155D0ED5"/>
    <w:rsid w:val="15820DB2"/>
    <w:rsid w:val="15DC47B4"/>
    <w:rsid w:val="15DC620E"/>
    <w:rsid w:val="15DF5D8E"/>
    <w:rsid w:val="16053E14"/>
    <w:rsid w:val="160E6673"/>
    <w:rsid w:val="16443E43"/>
    <w:rsid w:val="167A13F7"/>
    <w:rsid w:val="16F83100"/>
    <w:rsid w:val="17204573"/>
    <w:rsid w:val="17442ED7"/>
    <w:rsid w:val="17446A3D"/>
    <w:rsid w:val="174C7453"/>
    <w:rsid w:val="177A2963"/>
    <w:rsid w:val="17884F6F"/>
    <w:rsid w:val="17BA2E9E"/>
    <w:rsid w:val="17CF3BE0"/>
    <w:rsid w:val="17FD6BA2"/>
    <w:rsid w:val="181159F8"/>
    <w:rsid w:val="185A16FC"/>
    <w:rsid w:val="186429FB"/>
    <w:rsid w:val="18C4126B"/>
    <w:rsid w:val="190348A7"/>
    <w:rsid w:val="190A3122"/>
    <w:rsid w:val="190C5243"/>
    <w:rsid w:val="19404D95"/>
    <w:rsid w:val="198C1D89"/>
    <w:rsid w:val="199D433D"/>
    <w:rsid w:val="19B0104C"/>
    <w:rsid w:val="19B275C8"/>
    <w:rsid w:val="19B47531"/>
    <w:rsid w:val="19DE635C"/>
    <w:rsid w:val="19E25737"/>
    <w:rsid w:val="19F93196"/>
    <w:rsid w:val="1A2367C2"/>
    <w:rsid w:val="1A5B1EA7"/>
    <w:rsid w:val="1A624E75"/>
    <w:rsid w:val="1A904362"/>
    <w:rsid w:val="1B0B3018"/>
    <w:rsid w:val="1B324BB2"/>
    <w:rsid w:val="1B351FAC"/>
    <w:rsid w:val="1B375AF1"/>
    <w:rsid w:val="1B3F4207"/>
    <w:rsid w:val="1B4346C9"/>
    <w:rsid w:val="1B590209"/>
    <w:rsid w:val="1B642891"/>
    <w:rsid w:val="1B862808"/>
    <w:rsid w:val="1B9E33F9"/>
    <w:rsid w:val="1BC81072"/>
    <w:rsid w:val="1BD87507"/>
    <w:rsid w:val="1BF27E9D"/>
    <w:rsid w:val="1BF4109B"/>
    <w:rsid w:val="1C0D4CD7"/>
    <w:rsid w:val="1C3E504A"/>
    <w:rsid w:val="1C411734"/>
    <w:rsid w:val="1C44694B"/>
    <w:rsid w:val="1C8305F6"/>
    <w:rsid w:val="1C832374"/>
    <w:rsid w:val="1CAA7140"/>
    <w:rsid w:val="1CE123EB"/>
    <w:rsid w:val="1CF30371"/>
    <w:rsid w:val="1D1C7D64"/>
    <w:rsid w:val="1D3C1D18"/>
    <w:rsid w:val="1D4053B2"/>
    <w:rsid w:val="1D562918"/>
    <w:rsid w:val="1D660B43"/>
    <w:rsid w:val="1D9935A9"/>
    <w:rsid w:val="1DAB29F9"/>
    <w:rsid w:val="1DC37D43"/>
    <w:rsid w:val="1DFD036C"/>
    <w:rsid w:val="1E042958"/>
    <w:rsid w:val="1E392745"/>
    <w:rsid w:val="1E51534F"/>
    <w:rsid w:val="1EB9574B"/>
    <w:rsid w:val="1EBF675C"/>
    <w:rsid w:val="1F2E38BE"/>
    <w:rsid w:val="1F316F2E"/>
    <w:rsid w:val="1F345BBF"/>
    <w:rsid w:val="1F381476"/>
    <w:rsid w:val="1F4E05E9"/>
    <w:rsid w:val="1F666BD8"/>
    <w:rsid w:val="1FAA3C61"/>
    <w:rsid w:val="1FCD71E8"/>
    <w:rsid w:val="1FE32C6A"/>
    <w:rsid w:val="1FEA0532"/>
    <w:rsid w:val="201900EE"/>
    <w:rsid w:val="201F799D"/>
    <w:rsid w:val="204213F3"/>
    <w:rsid w:val="20827A42"/>
    <w:rsid w:val="20981EA4"/>
    <w:rsid w:val="20983709"/>
    <w:rsid w:val="20FF72E4"/>
    <w:rsid w:val="210501EA"/>
    <w:rsid w:val="211072FD"/>
    <w:rsid w:val="21154D5A"/>
    <w:rsid w:val="215A09BE"/>
    <w:rsid w:val="21CB5418"/>
    <w:rsid w:val="21E87D78"/>
    <w:rsid w:val="21EB7868"/>
    <w:rsid w:val="21F03485"/>
    <w:rsid w:val="22280C35"/>
    <w:rsid w:val="2256435E"/>
    <w:rsid w:val="228F0082"/>
    <w:rsid w:val="22F015DA"/>
    <w:rsid w:val="22FF181D"/>
    <w:rsid w:val="2302130E"/>
    <w:rsid w:val="237742D3"/>
    <w:rsid w:val="237C0B95"/>
    <w:rsid w:val="23841D23"/>
    <w:rsid w:val="2393640A"/>
    <w:rsid w:val="23952182"/>
    <w:rsid w:val="23C10881"/>
    <w:rsid w:val="23EF3773"/>
    <w:rsid w:val="23FC02AA"/>
    <w:rsid w:val="24190F4C"/>
    <w:rsid w:val="241F522A"/>
    <w:rsid w:val="243D75AA"/>
    <w:rsid w:val="244020ED"/>
    <w:rsid w:val="24475D49"/>
    <w:rsid w:val="249D3757"/>
    <w:rsid w:val="24A77F65"/>
    <w:rsid w:val="24BB79C6"/>
    <w:rsid w:val="250A5531"/>
    <w:rsid w:val="25273672"/>
    <w:rsid w:val="25551BC9"/>
    <w:rsid w:val="255A7EFB"/>
    <w:rsid w:val="25652EDE"/>
    <w:rsid w:val="256B470B"/>
    <w:rsid w:val="25852ABC"/>
    <w:rsid w:val="259D2A0B"/>
    <w:rsid w:val="25B20DC9"/>
    <w:rsid w:val="25CA0C50"/>
    <w:rsid w:val="25E22D30"/>
    <w:rsid w:val="263D5E89"/>
    <w:rsid w:val="26427165"/>
    <w:rsid w:val="265A4FBD"/>
    <w:rsid w:val="266B0F78"/>
    <w:rsid w:val="266E19CE"/>
    <w:rsid w:val="268E668F"/>
    <w:rsid w:val="26920BFA"/>
    <w:rsid w:val="269A66B7"/>
    <w:rsid w:val="26A56238"/>
    <w:rsid w:val="26F228A5"/>
    <w:rsid w:val="26FD5F46"/>
    <w:rsid w:val="27061C16"/>
    <w:rsid w:val="27091836"/>
    <w:rsid w:val="270B6448"/>
    <w:rsid w:val="27135897"/>
    <w:rsid w:val="274719E5"/>
    <w:rsid w:val="27595274"/>
    <w:rsid w:val="276C35E2"/>
    <w:rsid w:val="276D17BF"/>
    <w:rsid w:val="27700695"/>
    <w:rsid w:val="27BE7BFA"/>
    <w:rsid w:val="27CF1CA7"/>
    <w:rsid w:val="27D05536"/>
    <w:rsid w:val="28072F22"/>
    <w:rsid w:val="281254A1"/>
    <w:rsid w:val="28245648"/>
    <w:rsid w:val="288E0F4E"/>
    <w:rsid w:val="28A36D97"/>
    <w:rsid w:val="28DA3395"/>
    <w:rsid w:val="28DF040E"/>
    <w:rsid w:val="28E03E9F"/>
    <w:rsid w:val="292518B2"/>
    <w:rsid w:val="292C7E1A"/>
    <w:rsid w:val="292D00A9"/>
    <w:rsid w:val="2944442E"/>
    <w:rsid w:val="295233F1"/>
    <w:rsid w:val="2967011C"/>
    <w:rsid w:val="296F1718"/>
    <w:rsid w:val="298645A2"/>
    <w:rsid w:val="2992505B"/>
    <w:rsid w:val="29A96C5C"/>
    <w:rsid w:val="29C50326"/>
    <w:rsid w:val="29C966E1"/>
    <w:rsid w:val="29ED13A6"/>
    <w:rsid w:val="29F14408"/>
    <w:rsid w:val="2A127040"/>
    <w:rsid w:val="2A925337"/>
    <w:rsid w:val="2AA03D05"/>
    <w:rsid w:val="2ACC2BBA"/>
    <w:rsid w:val="2AF7102C"/>
    <w:rsid w:val="2B226D03"/>
    <w:rsid w:val="2B275DB5"/>
    <w:rsid w:val="2B4F0E68"/>
    <w:rsid w:val="2B5327A4"/>
    <w:rsid w:val="2B6F5066"/>
    <w:rsid w:val="2B710DDE"/>
    <w:rsid w:val="2B942D1F"/>
    <w:rsid w:val="2B946FB4"/>
    <w:rsid w:val="2B9652EF"/>
    <w:rsid w:val="2BBA1C3C"/>
    <w:rsid w:val="2BDF4040"/>
    <w:rsid w:val="2C376479"/>
    <w:rsid w:val="2C3B112F"/>
    <w:rsid w:val="2C716EE8"/>
    <w:rsid w:val="2C9222A7"/>
    <w:rsid w:val="2CA42EF9"/>
    <w:rsid w:val="2D2236A2"/>
    <w:rsid w:val="2D270418"/>
    <w:rsid w:val="2D281D80"/>
    <w:rsid w:val="2D6D3827"/>
    <w:rsid w:val="2D8B35C7"/>
    <w:rsid w:val="2D8B3CEE"/>
    <w:rsid w:val="2DBE69D7"/>
    <w:rsid w:val="2DC0075F"/>
    <w:rsid w:val="2DEE2BBA"/>
    <w:rsid w:val="2DF40F8E"/>
    <w:rsid w:val="2E0B038E"/>
    <w:rsid w:val="2E6D7F83"/>
    <w:rsid w:val="2E7C01C6"/>
    <w:rsid w:val="2EA9088F"/>
    <w:rsid w:val="2EA96AE1"/>
    <w:rsid w:val="2ED31DB0"/>
    <w:rsid w:val="2ED350EC"/>
    <w:rsid w:val="2ED52D07"/>
    <w:rsid w:val="2EF0528F"/>
    <w:rsid w:val="2F2A6FC2"/>
    <w:rsid w:val="2F3953A7"/>
    <w:rsid w:val="2F471370"/>
    <w:rsid w:val="2F6B1FE9"/>
    <w:rsid w:val="2F825908"/>
    <w:rsid w:val="2F8D01B1"/>
    <w:rsid w:val="2F9101CB"/>
    <w:rsid w:val="2FAE307E"/>
    <w:rsid w:val="2FAF45CB"/>
    <w:rsid w:val="2FBD5DE4"/>
    <w:rsid w:val="2FCF07C9"/>
    <w:rsid w:val="2FD162F0"/>
    <w:rsid w:val="2FE76A5C"/>
    <w:rsid w:val="2FE9779E"/>
    <w:rsid w:val="2FED5954"/>
    <w:rsid w:val="30053A0D"/>
    <w:rsid w:val="30073ABF"/>
    <w:rsid w:val="30145578"/>
    <w:rsid w:val="30194AFE"/>
    <w:rsid w:val="303B5E5F"/>
    <w:rsid w:val="304233F1"/>
    <w:rsid w:val="306C6018"/>
    <w:rsid w:val="30703D5A"/>
    <w:rsid w:val="30937A49"/>
    <w:rsid w:val="30A417AB"/>
    <w:rsid w:val="30BA4FD6"/>
    <w:rsid w:val="30C92D31"/>
    <w:rsid w:val="30E454B6"/>
    <w:rsid w:val="31124E12"/>
    <w:rsid w:val="314A1AEA"/>
    <w:rsid w:val="315A745C"/>
    <w:rsid w:val="31605CA2"/>
    <w:rsid w:val="317A1902"/>
    <w:rsid w:val="31880C30"/>
    <w:rsid w:val="31A81008"/>
    <w:rsid w:val="31BD2FCF"/>
    <w:rsid w:val="31EB3F96"/>
    <w:rsid w:val="32105F15"/>
    <w:rsid w:val="325D030E"/>
    <w:rsid w:val="32892F5C"/>
    <w:rsid w:val="328B2E79"/>
    <w:rsid w:val="32A23F73"/>
    <w:rsid w:val="32A80FE8"/>
    <w:rsid w:val="33185FE3"/>
    <w:rsid w:val="332C20E9"/>
    <w:rsid w:val="33460DA3"/>
    <w:rsid w:val="33686B56"/>
    <w:rsid w:val="33951F8F"/>
    <w:rsid w:val="33957634"/>
    <w:rsid w:val="34003EF7"/>
    <w:rsid w:val="341E29A6"/>
    <w:rsid w:val="345179FF"/>
    <w:rsid w:val="34605140"/>
    <w:rsid w:val="346A21A8"/>
    <w:rsid w:val="347D1D21"/>
    <w:rsid w:val="34A51AF9"/>
    <w:rsid w:val="34A915E9"/>
    <w:rsid w:val="34AE061D"/>
    <w:rsid w:val="350A7ADD"/>
    <w:rsid w:val="35312ACA"/>
    <w:rsid w:val="35352E7D"/>
    <w:rsid w:val="354B26A0"/>
    <w:rsid w:val="354D45E9"/>
    <w:rsid w:val="35586B6B"/>
    <w:rsid w:val="355F5CE3"/>
    <w:rsid w:val="358D7245"/>
    <w:rsid w:val="35C91817"/>
    <w:rsid w:val="35DF3F1C"/>
    <w:rsid w:val="35EA1EB9"/>
    <w:rsid w:val="36175DA3"/>
    <w:rsid w:val="36356EAC"/>
    <w:rsid w:val="36455341"/>
    <w:rsid w:val="36512389"/>
    <w:rsid w:val="366B28CE"/>
    <w:rsid w:val="36814911"/>
    <w:rsid w:val="36AA0B8B"/>
    <w:rsid w:val="36C3270A"/>
    <w:rsid w:val="36CA5847"/>
    <w:rsid w:val="36E25286"/>
    <w:rsid w:val="36F72AFB"/>
    <w:rsid w:val="3741225E"/>
    <w:rsid w:val="37555B6E"/>
    <w:rsid w:val="3787198A"/>
    <w:rsid w:val="37AD0256"/>
    <w:rsid w:val="37B30825"/>
    <w:rsid w:val="37F718E9"/>
    <w:rsid w:val="37FF7772"/>
    <w:rsid w:val="38063E53"/>
    <w:rsid w:val="383218F5"/>
    <w:rsid w:val="38601494"/>
    <w:rsid w:val="386926F4"/>
    <w:rsid w:val="386A7126"/>
    <w:rsid w:val="388C7CF5"/>
    <w:rsid w:val="38E70932"/>
    <w:rsid w:val="390C5304"/>
    <w:rsid w:val="39100718"/>
    <w:rsid w:val="392F491D"/>
    <w:rsid w:val="3986014B"/>
    <w:rsid w:val="39D71C6A"/>
    <w:rsid w:val="39FE23D7"/>
    <w:rsid w:val="3A4140DE"/>
    <w:rsid w:val="3A960861"/>
    <w:rsid w:val="3A9D35BE"/>
    <w:rsid w:val="3AAB2FD1"/>
    <w:rsid w:val="3AB5564E"/>
    <w:rsid w:val="3ABA1CA1"/>
    <w:rsid w:val="3AC322EE"/>
    <w:rsid w:val="3ADB40F3"/>
    <w:rsid w:val="3AE570F3"/>
    <w:rsid w:val="3B4639C5"/>
    <w:rsid w:val="3B743B28"/>
    <w:rsid w:val="3B93737B"/>
    <w:rsid w:val="3BC75101"/>
    <w:rsid w:val="3C011D0B"/>
    <w:rsid w:val="3C2B4FD9"/>
    <w:rsid w:val="3C4C02AC"/>
    <w:rsid w:val="3C5D19C1"/>
    <w:rsid w:val="3C6348C7"/>
    <w:rsid w:val="3C6B1A78"/>
    <w:rsid w:val="3C863B75"/>
    <w:rsid w:val="3C9012E0"/>
    <w:rsid w:val="3CA97838"/>
    <w:rsid w:val="3CC4745D"/>
    <w:rsid w:val="3CDE5A72"/>
    <w:rsid w:val="3CF85133"/>
    <w:rsid w:val="3D075D45"/>
    <w:rsid w:val="3D2C2DB7"/>
    <w:rsid w:val="3D440462"/>
    <w:rsid w:val="3D4A148F"/>
    <w:rsid w:val="3D6F4DF8"/>
    <w:rsid w:val="3D7B1CF7"/>
    <w:rsid w:val="3D7B56F7"/>
    <w:rsid w:val="3DDB658B"/>
    <w:rsid w:val="3DE95DA9"/>
    <w:rsid w:val="3DEE5944"/>
    <w:rsid w:val="3E042930"/>
    <w:rsid w:val="3E1A70B4"/>
    <w:rsid w:val="3E456D30"/>
    <w:rsid w:val="3E66054B"/>
    <w:rsid w:val="3E666CAA"/>
    <w:rsid w:val="3E6F175D"/>
    <w:rsid w:val="3E79618C"/>
    <w:rsid w:val="3EC15D23"/>
    <w:rsid w:val="3F0C1354"/>
    <w:rsid w:val="3F333F65"/>
    <w:rsid w:val="3F3E6DD2"/>
    <w:rsid w:val="3F4F7037"/>
    <w:rsid w:val="3F514D57"/>
    <w:rsid w:val="3F536D21"/>
    <w:rsid w:val="3FEC4A80"/>
    <w:rsid w:val="3FEE1C38"/>
    <w:rsid w:val="402C30CE"/>
    <w:rsid w:val="402E32EA"/>
    <w:rsid w:val="40302BBE"/>
    <w:rsid w:val="405E0EF6"/>
    <w:rsid w:val="409C6D1B"/>
    <w:rsid w:val="40B05AAD"/>
    <w:rsid w:val="40CD2B03"/>
    <w:rsid w:val="40D3332E"/>
    <w:rsid w:val="41016540"/>
    <w:rsid w:val="411F2462"/>
    <w:rsid w:val="413E130B"/>
    <w:rsid w:val="415F5D2D"/>
    <w:rsid w:val="41604029"/>
    <w:rsid w:val="41943621"/>
    <w:rsid w:val="41BF13DE"/>
    <w:rsid w:val="428752E3"/>
    <w:rsid w:val="42A85489"/>
    <w:rsid w:val="42C14BE7"/>
    <w:rsid w:val="42C615B8"/>
    <w:rsid w:val="434D2655"/>
    <w:rsid w:val="4353542C"/>
    <w:rsid w:val="4361391A"/>
    <w:rsid w:val="437473DB"/>
    <w:rsid w:val="43841A30"/>
    <w:rsid w:val="438C67FA"/>
    <w:rsid w:val="43A05407"/>
    <w:rsid w:val="43DB1093"/>
    <w:rsid w:val="442567B2"/>
    <w:rsid w:val="4432556A"/>
    <w:rsid w:val="44407EC3"/>
    <w:rsid w:val="44890AEF"/>
    <w:rsid w:val="449F0313"/>
    <w:rsid w:val="44A94712"/>
    <w:rsid w:val="451B6CAC"/>
    <w:rsid w:val="452151CC"/>
    <w:rsid w:val="458A0FC3"/>
    <w:rsid w:val="458D3152"/>
    <w:rsid w:val="459A2FF4"/>
    <w:rsid w:val="45A7763E"/>
    <w:rsid w:val="45C108A7"/>
    <w:rsid w:val="45DD0F34"/>
    <w:rsid w:val="460D2BFC"/>
    <w:rsid w:val="461D4BCB"/>
    <w:rsid w:val="46586D4B"/>
    <w:rsid w:val="469320F9"/>
    <w:rsid w:val="46DE3B3D"/>
    <w:rsid w:val="47462ED8"/>
    <w:rsid w:val="475F022D"/>
    <w:rsid w:val="475F1429"/>
    <w:rsid w:val="47985A8C"/>
    <w:rsid w:val="479F062A"/>
    <w:rsid w:val="482F19FB"/>
    <w:rsid w:val="484A2C8B"/>
    <w:rsid w:val="48564329"/>
    <w:rsid w:val="48585AAB"/>
    <w:rsid w:val="485D582E"/>
    <w:rsid w:val="48961A2D"/>
    <w:rsid w:val="48BC5937"/>
    <w:rsid w:val="48C6265B"/>
    <w:rsid w:val="48D63A46"/>
    <w:rsid w:val="48DE18A6"/>
    <w:rsid w:val="48DE6038"/>
    <w:rsid w:val="48DF306D"/>
    <w:rsid w:val="49331971"/>
    <w:rsid w:val="49521C69"/>
    <w:rsid w:val="496658A3"/>
    <w:rsid w:val="49804BB7"/>
    <w:rsid w:val="49901853"/>
    <w:rsid w:val="49A60395"/>
    <w:rsid w:val="49BD7110"/>
    <w:rsid w:val="49D00F6E"/>
    <w:rsid w:val="49EF3EDB"/>
    <w:rsid w:val="4A1C0855"/>
    <w:rsid w:val="4A4215A5"/>
    <w:rsid w:val="4A631F37"/>
    <w:rsid w:val="4A6F0787"/>
    <w:rsid w:val="4A7142E8"/>
    <w:rsid w:val="4A816A58"/>
    <w:rsid w:val="4A8E2E3F"/>
    <w:rsid w:val="4ABE22C1"/>
    <w:rsid w:val="4AD93E52"/>
    <w:rsid w:val="4AE22CC2"/>
    <w:rsid w:val="4AE616BF"/>
    <w:rsid w:val="4AF01A75"/>
    <w:rsid w:val="4B2E0642"/>
    <w:rsid w:val="4B425E9C"/>
    <w:rsid w:val="4B427C4A"/>
    <w:rsid w:val="4B577B99"/>
    <w:rsid w:val="4B661B8A"/>
    <w:rsid w:val="4B72549A"/>
    <w:rsid w:val="4B737DFF"/>
    <w:rsid w:val="4B835989"/>
    <w:rsid w:val="4B92297F"/>
    <w:rsid w:val="4B924E5A"/>
    <w:rsid w:val="4BC131D4"/>
    <w:rsid w:val="4BC42D59"/>
    <w:rsid w:val="4BE40D01"/>
    <w:rsid w:val="4BF90C50"/>
    <w:rsid w:val="4BFC4C67"/>
    <w:rsid w:val="4C2B0BB7"/>
    <w:rsid w:val="4C5B0FC3"/>
    <w:rsid w:val="4C5B7215"/>
    <w:rsid w:val="4C702379"/>
    <w:rsid w:val="4C7073C8"/>
    <w:rsid w:val="4C8E01B8"/>
    <w:rsid w:val="4CB701C3"/>
    <w:rsid w:val="4D1A130C"/>
    <w:rsid w:val="4D3B0DF4"/>
    <w:rsid w:val="4D9C1893"/>
    <w:rsid w:val="4D9D560B"/>
    <w:rsid w:val="4DCB0DA3"/>
    <w:rsid w:val="4DE2243C"/>
    <w:rsid w:val="4DEB6377"/>
    <w:rsid w:val="4E01301A"/>
    <w:rsid w:val="4E2A0808"/>
    <w:rsid w:val="4E2D4BE1"/>
    <w:rsid w:val="4E3046D1"/>
    <w:rsid w:val="4E30647F"/>
    <w:rsid w:val="4E375A60"/>
    <w:rsid w:val="4E3F66C2"/>
    <w:rsid w:val="4E916F1E"/>
    <w:rsid w:val="4ED212E5"/>
    <w:rsid w:val="4ED91DC5"/>
    <w:rsid w:val="4EFE032C"/>
    <w:rsid w:val="4EFF35F5"/>
    <w:rsid w:val="4F01411C"/>
    <w:rsid w:val="4F0C086A"/>
    <w:rsid w:val="4F6176BF"/>
    <w:rsid w:val="4F9A4981"/>
    <w:rsid w:val="4FA82EFF"/>
    <w:rsid w:val="4FA87A03"/>
    <w:rsid w:val="4FF03CB1"/>
    <w:rsid w:val="50113D90"/>
    <w:rsid w:val="50281B04"/>
    <w:rsid w:val="505C6F59"/>
    <w:rsid w:val="505D0295"/>
    <w:rsid w:val="507D3743"/>
    <w:rsid w:val="50B25872"/>
    <w:rsid w:val="50D92B4F"/>
    <w:rsid w:val="50DB0924"/>
    <w:rsid w:val="50EF43D0"/>
    <w:rsid w:val="510E5B23"/>
    <w:rsid w:val="5164091A"/>
    <w:rsid w:val="51667866"/>
    <w:rsid w:val="516715CB"/>
    <w:rsid w:val="51695F30"/>
    <w:rsid w:val="51890380"/>
    <w:rsid w:val="51A40BFA"/>
    <w:rsid w:val="51B14398"/>
    <w:rsid w:val="51D3784E"/>
    <w:rsid w:val="51E67581"/>
    <w:rsid w:val="51E7154B"/>
    <w:rsid w:val="52485EE1"/>
    <w:rsid w:val="524A3FB4"/>
    <w:rsid w:val="525B586F"/>
    <w:rsid w:val="52793457"/>
    <w:rsid w:val="52803148"/>
    <w:rsid w:val="52863ED3"/>
    <w:rsid w:val="529945F3"/>
    <w:rsid w:val="52C11B82"/>
    <w:rsid w:val="52D7128B"/>
    <w:rsid w:val="52E16923"/>
    <w:rsid w:val="52EB2107"/>
    <w:rsid w:val="52EC506B"/>
    <w:rsid w:val="53162691"/>
    <w:rsid w:val="53325B90"/>
    <w:rsid w:val="535632A6"/>
    <w:rsid w:val="535F3A8F"/>
    <w:rsid w:val="53794425"/>
    <w:rsid w:val="537B0E37"/>
    <w:rsid w:val="53A70821"/>
    <w:rsid w:val="53AA0FF0"/>
    <w:rsid w:val="53AE0572"/>
    <w:rsid w:val="53F01B21"/>
    <w:rsid w:val="54104CD5"/>
    <w:rsid w:val="541561A0"/>
    <w:rsid w:val="54171112"/>
    <w:rsid w:val="541E1BA7"/>
    <w:rsid w:val="54265EF9"/>
    <w:rsid w:val="547A48F8"/>
    <w:rsid w:val="54815C87"/>
    <w:rsid w:val="54AC316C"/>
    <w:rsid w:val="54F6656E"/>
    <w:rsid w:val="551835BA"/>
    <w:rsid w:val="55332D15"/>
    <w:rsid w:val="554007EB"/>
    <w:rsid w:val="55462741"/>
    <w:rsid w:val="55517407"/>
    <w:rsid w:val="556F27DD"/>
    <w:rsid w:val="557F79C3"/>
    <w:rsid w:val="55822F4A"/>
    <w:rsid w:val="5594550F"/>
    <w:rsid w:val="55A707BA"/>
    <w:rsid w:val="55AA02F5"/>
    <w:rsid w:val="55E81E7D"/>
    <w:rsid w:val="55F67FAE"/>
    <w:rsid w:val="56191A9A"/>
    <w:rsid w:val="563C093F"/>
    <w:rsid w:val="5643567B"/>
    <w:rsid w:val="56556FC1"/>
    <w:rsid w:val="56AB2B47"/>
    <w:rsid w:val="56C524F2"/>
    <w:rsid w:val="56C84EF8"/>
    <w:rsid w:val="571F7091"/>
    <w:rsid w:val="572F19CA"/>
    <w:rsid w:val="575E2DBF"/>
    <w:rsid w:val="57A11429"/>
    <w:rsid w:val="57AC0813"/>
    <w:rsid w:val="57BD0D84"/>
    <w:rsid w:val="57C351F2"/>
    <w:rsid w:val="57D30900"/>
    <w:rsid w:val="57DE0CFA"/>
    <w:rsid w:val="57F96890"/>
    <w:rsid w:val="5810485E"/>
    <w:rsid w:val="585607FD"/>
    <w:rsid w:val="58605D46"/>
    <w:rsid w:val="58B0447C"/>
    <w:rsid w:val="58B6732D"/>
    <w:rsid w:val="58BC728D"/>
    <w:rsid w:val="58D81BED"/>
    <w:rsid w:val="58E0355F"/>
    <w:rsid w:val="58E40592"/>
    <w:rsid w:val="59064EB4"/>
    <w:rsid w:val="59857B7E"/>
    <w:rsid w:val="599825F2"/>
    <w:rsid w:val="59A71CEC"/>
    <w:rsid w:val="59B166C6"/>
    <w:rsid w:val="59C02467"/>
    <w:rsid w:val="59CA708F"/>
    <w:rsid w:val="59D423B5"/>
    <w:rsid w:val="59DE3233"/>
    <w:rsid w:val="5A0D0F78"/>
    <w:rsid w:val="5A370430"/>
    <w:rsid w:val="5A4F5EDF"/>
    <w:rsid w:val="5A5E7555"/>
    <w:rsid w:val="5AD54636"/>
    <w:rsid w:val="5ADD283A"/>
    <w:rsid w:val="5B0519EE"/>
    <w:rsid w:val="5B0B3659"/>
    <w:rsid w:val="5B307ABF"/>
    <w:rsid w:val="5B480C66"/>
    <w:rsid w:val="5B5437AD"/>
    <w:rsid w:val="5B7C71A8"/>
    <w:rsid w:val="5B7E5556"/>
    <w:rsid w:val="5BB41C2D"/>
    <w:rsid w:val="5BB53972"/>
    <w:rsid w:val="5BBE7ADC"/>
    <w:rsid w:val="5BD42698"/>
    <w:rsid w:val="5BD743DE"/>
    <w:rsid w:val="5BE70AC5"/>
    <w:rsid w:val="5BE80399"/>
    <w:rsid w:val="5BFF1AC4"/>
    <w:rsid w:val="5C043425"/>
    <w:rsid w:val="5C226175"/>
    <w:rsid w:val="5C371727"/>
    <w:rsid w:val="5C372982"/>
    <w:rsid w:val="5C566F47"/>
    <w:rsid w:val="5C6A7000"/>
    <w:rsid w:val="5C7550A1"/>
    <w:rsid w:val="5C8B72C7"/>
    <w:rsid w:val="5C8C1A29"/>
    <w:rsid w:val="5CC4334F"/>
    <w:rsid w:val="5CF03347"/>
    <w:rsid w:val="5CF35248"/>
    <w:rsid w:val="5D027239"/>
    <w:rsid w:val="5D46181B"/>
    <w:rsid w:val="5DE45FCB"/>
    <w:rsid w:val="5E0F35C8"/>
    <w:rsid w:val="5E323B4E"/>
    <w:rsid w:val="5E79352B"/>
    <w:rsid w:val="5E800D5D"/>
    <w:rsid w:val="5E9D6A6A"/>
    <w:rsid w:val="5E9F7435"/>
    <w:rsid w:val="5EC56770"/>
    <w:rsid w:val="5F08322C"/>
    <w:rsid w:val="5F166FCB"/>
    <w:rsid w:val="5F2D4540"/>
    <w:rsid w:val="5F615BB1"/>
    <w:rsid w:val="5F7F6703"/>
    <w:rsid w:val="5FAD5DEE"/>
    <w:rsid w:val="5FB52719"/>
    <w:rsid w:val="60070FF5"/>
    <w:rsid w:val="601D60F7"/>
    <w:rsid w:val="601F56DA"/>
    <w:rsid w:val="60234411"/>
    <w:rsid w:val="60327E35"/>
    <w:rsid w:val="60410BE4"/>
    <w:rsid w:val="6050316B"/>
    <w:rsid w:val="606E519E"/>
    <w:rsid w:val="60AF649D"/>
    <w:rsid w:val="60BB7E2A"/>
    <w:rsid w:val="60E2185B"/>
    <w:rsid w:val="60E23D48"/>
    <w:rsid w:val="60E27AAD"/>
    <w:rsid w:val="61196F59"/>
    <w:rsid w:val="611B712C"/>
    <w:rsid w:val="617C3A5E"/>
    <w:rsid w:val="617F52FC"/>
    <w:rsid w:val="6199004C"/>
    <w:rsid w:val="61BA27D8"/>
    <w:rsid w:val="61BD61EC"/>
    <w:rsid w:val="61BF7DEE"/>
    <w:rsid w:val="61C922B4"/>
    <w:rsid w:val="61D246F2"/>
    <w:rsid w:val="61E37639"/>
    <w:rsid w:val="621B59F9"/>
    <w:rsid w:val="622D4D58"/>
    <w:rsid w:val="626F711E"/>
    <w:rsid w:val="629E28D5"/>
    <w:rsid w:val="62A56FE4"/>
    <w:rsid w:val="62E775FD"/>
    <w:rsid w:val="62F57AC0"/>
    <w:rsid w:val="62FF0707"/>
    <w:rsid w:val="630755A9"/>
    <w:rsid w:val="6312056F"/>
    <w:rsid w:val="63676048"/>
    <w:rsid w:val="636F37F5"/>
    <w:rsid w:val="63716EC6"/>
    <w:rsid w:val="63BE035D"/>
    <w:rsid w:val="63C8313E"/>
    <w:rsid w:val="63CA6CE8"/>
    <w:rsid w:val="63F006F8"/>
    <w:rsid w:val="63F10CAF"/>
    <w:rsid w:val="64073C02"/>
    <w:rsid w:val="64165F40"/>
    <w:rsid w:val="644B4EB2"/>
    <w:rsid w:val="644C3BBB"/>
    <w:rsid w:val="64794D3A"/>
    <w:rsid w:val="649068CA"/>
    <w:rsid w:val="64D94D23"/>
    <w:rsid w:val="64DD2B0F"/>
    <w:rsid w:val="65114874"/>
    <w:rsid w:val="653D7F10"/>
    <w:rsid w:val="654F25C1"/>
    <w:rsid w:val="65534FCC"/>
    <w:rsid w:val="656551E3"/>
    <w:rsid w:val="658B0713"/>
    <w:rsid w:val="65A417D5"/>
    <w:rsid w:val="65B86875"/>
    <w:rsid w:val="65D5198E"/>
    <w:rsid w:val="65F339A7"/>
    <w:rsid w:val="661C136B"/>
    <w:rsid w:val="661F393F"/>
    <w:rsid w:val="661F44BB"/>
    <w:rsid w:val="6626043C"/>
    <w:rsid w:val="66522FDF"/>
    <w:rsid w:val="66A9783B"/>
    <w:rsid w:val="66B20D8A"/>
    <w:rsid w:val="66DA66F4"/>
    <w:rsid w:val="66E352FC"/>
    <w:rsid w:val="66E51EAD"/>
    <w:rsid w:val="670043FE"/>
    <w:rsid w:val="6703383A"/>
    <w:rsid w:val="67155954"/>
    <w:rsid w:val="676A25AA"/>
    <w:rsid w:val="677D7AF6"/>
    <w:rsid w:val="67CE024B"/>
    <w:rsid w:val="67EB36EB"/>
    <w:rsid w:val="680822C2"/>
    <w:rsid w:val="682170D3"/>
    <w:rsid w:val="683C6814"/>
    <w:rsid w:val="68442DFB"/>
    <w:rsid w:val="685E5C6B"/>
    <w:rsid w:val="68CC3CE5"/>
    <w:rsid w:val="68D0468F"/>
    <w:rsid w:val="68D20DB2"/>
    <w:rsid w:val="68D80885"/>
    <w:rsid w:val="68E2712B"/>
    <w:rsid w:val="68E54CE5"/>
    <w:rsid w:val="68F14C3B"/>
    <w:rsid w:val="68F95994"/>
    <w:rsid w:val="69076303"/>
    <w:rsid w:val="691579EA"/>
    <w:rsid w:val="691D5B26"/>
    <w:rsid w:val="692077CC"/>
    <w:rsid w:val="693D6B67"/>
    <w:rsid w:val="694110E9"/>
    <w:rsid w:val="695A2E06"/>
    <w:rsid w:val="695B664F"/>
    <w:rsid w:val="69765BA6"/>
    <w:rsid w:val="697F0D63"/>
    <w:rsid w:val="698B7C5F"/>
    <w:rsid w:val="69967687"/>
    <w:rsid w:val="699B6A4B"/>
    <w:rsid w:val="69CA0EC3"/>
    <w:rsid w:val="69D1246D"/>
    <w:rsid w:val="69E065A4"/>
    <w:rsid w:val="6A2151A2"/>
    <w:rsid w:val="6A2B531A"/>
    <w:rsid w:val="6A2C7558"/>
    <w:rsid w:val="6A2F0853"/>
    <w:rsid w:val="6A591802"/>
    <w:rsid w:val="6A5F216E"/>
    <w:rsid w:val="6A643BF5"/>
    <w:rsid w:val="6AB204F0"/>
    <w:rsid w:val="6AD55F8D"/>
    <w:rsid w:val="6ADF1441"/>
    <w:rsid w:val="6AEE41CC"/>
    <w:rsid w:val="6B0C0E92"/>
    <w:rsid w:val="6B0D2DCF"/>
    <w:rsid w:val="6B59096C"/>
    <w:rsid w:val="6B827EC3"/>
    <w:rsid w:val="6BD44496"/>
    <w:rsid w:val="6BFD4450"/>
    <w:rsid w:val="6C000567"/>
    <w:rsid w:val="6C276CBC"/>
    <w:rsid w:val="6C366F81"/>
    <w:rsid w:val="6C53185F"/>
    <w:rsid w:val="6C5D16A6"/>
    <w:rsid w:val="6C715BBA"/>
    <w:rsid w:val="6C9D2ADA"/>
    <w:rsid w:val="6CB23210"/>
    <w:rsid w:val="6CC85DA9"/>
    <w:rsid w:val="6D1504AB"/>
    <w:rsid w:val="6D271428"/>
    <w:rsid w:val="6D5B643F"/>
    <w:rsid w:val="6D5D3A41"/>
    <w:rsid w:val="6D68133A"/>
    <w:rsid w:val="6D6F26C8"/>
    <w:rsid w:val="6D806684"/>
    <w:rsid w:val="6D8128AB"/>
    <w:rsid w:val="6DA305C4"/>
    <w:rsid w:val="6DBC619D"/>
    <w:rsid w:val="6DBC6D3A"/>
    <w:rsid w:val="6DD54C21"/>
    <w:rsid w:val="6DD87381"/>
    <w:rsid w:val="6DE27C66"/>
    <w:rsid w:val="6E684D47"/>
    <w:rsid w:val="6E91222A"/>
    <w:rsid w:val="6E963C85"/>
    <w:rsid w:val="6EC47ADD"/>
    <w:rsid w:val="6ED84CA2"/>
    <w:rsid w:val="6EE72F27"/>
    <w:rsid w:val="6EE92007"/>
    <w:rsid w:val="6F105FB7"/>
    <w:rsid w:val="6F265009"/>
    <w:rsid w:val="6F48197F"/>
    <w:rsid w:val="6F9B3BC3"/>
    <w:rsid w:val="6FBF2FD0"/>
    <w:rsid w:val="6FE95C1F"/>
    <w:rsid w:val="6FEF7A37"/>
    <w:rsid w:val="6FF03D41"/>
    <w:rsid w:val="6FFC43C3"/>
    <w:rsid w:val="70127EF9"/>
    <w:rsid w:val="70271038"/>
    <w:rsid w:val="70607AC6"/>
    <w:rsid w:val="7064403B"/>
    <w:rsid w:val="707B381A"/>
    <w:rsid w:val="707E5C1B"/>
    <w:rsid w:val="70925ECE"/>
    <w:rsid w:val="70A628A5"/>
    <w:rsid w:val="7104137A"/>
    <w:rsid w:val="712437CA"/>
    <w:rsid w:val="7132242F"/>
    <w:rsid w:val="713752AB"/>
    <w:rsid w:val="716B31A7"/>
    <w:rsid w:val="71706A0F"/>
    <w:rsid w:val="719E357C"/>
    <w:rsid w:val="719E396F"/>
    <w:rsid w:val="71BE3C1E"/>
    <w:rsid w:val="71D82FD2"/>
    <w:rsid w:val="72031631"/>
    <w:rsid w:val="72127AC6"/>
    <w:rsid w:val="72332D17"/>
    <w:rsid w:val="723D1AFF"/>
    <w:rsid w:val="72520E7E"/>
    <w:rsid w:val="72640BB1"/>
    <w:rsid w:val="72710C91"/>
    <w:rsid w:val="72966949"/>
    <w:rsid w:val="729F57FE"/>
    <w:rsid w:val="72B776CF"/>
    <w:rsid w:val="72C84BE8"/>
    <w:rsid w:val="72FC49FE"/>
    <w:rsid w:val="73076EF2"/>
    <w:rsid w:val="73497518"/>
    <w:rsid w:val="735D361F"/>
    <w:rsid w:val="73703C06"/>
    <w:rsid w:val="737A5923"/>
    <w:rsid w:val="737C6FFA"/>
    <w:rsid w:val="73D62817"/>
    <w:rsid w:val="740443FA"/>
    <w:rsid w:val="744A04A3"/>
    <w:rsid w:val="748A7DE8"/>
    <w:rsid w:val="748C590E"/>
    <w:rsid w:val="749809E1"/>
    <w:rsid w:val="74AA048A"/>
    <w:rsid w:val="74B66881"/>
    <w:rsid w:val="74D53759"/>
    <w:rsid w:val="74F6217B"/>
    <w:rsid w:val="75181898"/>
    <w:rsid w:val="75837777"/>
    <w:rsid w:val="75AD3A57"/>
    <w:rsid w:val="75E43528"/>
    <w:rsid w:val="76233603"/>
    <w:rsid w:val="7686218D"/>
    <w:rsid w:val="76A42AF0"/>
    <w:rsid w:val="76AE7278"/>
    <w:rsid w:val="76D67F05"/>
    <w:rsid w:val="76E97CE6"/>
    <w:rsid w:val="76F21423"/>
    <w:rsid w:val="7750356B"/>
    <w:rsid w:val="775652F1"/>
    <w:rsid w:val="77B27D81"/>
    <w:rsid w:val="77B87C8B"/>
    <w:rsid w:val="78170DD1"/>
    <w:rsid w:val="78281DF2"/>
    <w:rsid w:val="787153FD"/>
    <w:rsid w:val="78793335"/>
    <w:rsid w:val="789227C4"/>
    <w:rsid w:val="78A05E2C"/>
    <w:rsid w:val="78FF5702"/>
    <w:rsid w:val="7947161B"/>
    <w:rsid w:val="794D45BF"/>
    <w:rsid w:val="79517126"/>
    <w:rsid w:val="79786BBC"/>
    <w:rsid w:val="7A073617"/>
    <w:rsid w:val="7A0C3382"/>
    <w:rsid w:val="7A0D6AAF"/>
    <w:rsid w:val="7A1E4A72"/>
    <w:rsid w:val="7A33700B"/>
    <w:rsid w:val="7A74131E"/>
    <w:rsid w:val="7AB93BDA"/>
    <w:rsid w:val="7B0703E4"/>
    <w:rsid w:val="7B175C0B"/>
    <w:rsid w:val="7B6D5212"/>
    <w:rsid w:val="7B7143CE"/>
    <w:rsid w:val="7B7D2454"/>
    <w:rsid w:val="7B9C289E"/>
    <w:rsid w:val="7BA63759"/>
    <w:rsid w:val="7BC63F8B"/>
    <w:rsid w:val="7BE525A0"/>
    <w:rsid w:val="7C183D10"/>
    <w:rsid w:val="7C1E0412"/>
    <w:rsid w:val="7C255834"/>
    <w:rsid w:val="7C547659"/>
    <w:rsid w:val="7C5A2DF4"/>
    <w:rsid w:val="7C5E1319"/>
    <w:rsid w:val="7C9F63FA"/>
    <w:rsid w:val="7D152080"/>
    <w:rsid w:val="7D333136"/>
    <w:rsid w:val="7D33726F"/>
    <w:rsid w:val="7D480840"/>
    <w:rsid w:val="7D7F2165"/>
    <w:rsid w:val="7DA96CC1"/>
    <w:rsid w:val="7DBB02B5"/>
    <w:rsid w:val="7DCA437F"/>
    <w:rsid w:val="7DE44A0D"/>
    <w:rsid w:val="7DE71EDA"/>
    <w:rsid w:val="7E2D4E52"/>
    <w:rsid w:val="7E440A1B"/>
    <w:rsid w:val="7E492AC2"/>
    <w:rsid w:val="7E4B172B"/>
    <w:rsid w:val="7EE336F3"/>
    <w:rsid w:val="7EFE1AFE"/>
    <w:rsid w:val="7F124575"/>
    <w:rsid w:val="7F2F7F0A"/>
    <w:rsid w:val="7F482E61"/>
    <w:rsid w:val="7F4C0666"/>
    <w:rsid w:val="7F52617C"/>
    <w:rsid w:val="7F5F07EF"/>
    <w:rsid w:val="7F9D305D"/>
    <w:rsid w:val="7FB7416B"/>
    <w:rsid w:val="7FF79D8B"/>
    <w:rsid w:val="BFCE2318"/>
    <w:rsid w:val="CE36A9CB"/>
    <w:rsid w:val="DEB55238"/>
    <w:rsid w:val="E7F7FA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960" w:firstLineChars="200"/>
      <w:jc w:val="both"/>
    </w:pPr>
    <w:rPr>
      <w:rFonts w:ascii="Times New Roman" w:hAnsi="Times New Roman" w:eastAsia="仿宋_GB2312" w:cs="Times New Roman"/>
      <w:kern w:val="2"/>
      <w:sz w:val="32"/>
      <w:szCs w:val="22"/>
      <w:lang w:val="en-US" w:eastAsia="zh-CN" w:bidi="ar-SA"/>
    </w:rPr>
  </w:style>
  <w:style w:type="paragraph" w:styleId="2">
    <w:name w:val="heading 1"/>
    <w:basedOn w:val="1"/>
    <w:next w:val="1"/>
    <w:qFormat/>
    <w:uiPriority w:val="0"/>
    <w:pPr>
      <w:keepNext/>
      <w:keepLines/>
      <w:jc w:val="center"/>
      <w:outlineLvl w:val="0"/>
    </w:pPr>
    <w:rPr>
      <w:rFonts w:ascii="Times New Roman" w:hAnsi="Times New Roman" w:eastAsia="黑体" w:cs="Times New Roman"/>
      <w:bCs/>
      <w:kern w:val="44"/>
      <w:sz w:val="36"/>
      <w:szCs w:val="44"/>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20">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4">
    <w:name w:val="Normal Indent"/>
    <w:basedOn w:val="1"/>
    <w:next w:val="1"/>
    <w:qFormat/>
    <w:uiPriority w:val="0"/>
    <w:pPr>
      <w:spacing w:line="480" w:lineRule="exact"/>
      <w:ind w:firstLine="567"/>
    </w:pPr>
    <w:rPr>
      <w:sz w:val="28"/>
    </w:rPr>
  </w:style>
  <w:style w:type="paragraph" w:styleId="5">
    <w:name w:val="index 5"/>
    <w:basedOn w:val="1"/>
    <w:next w:val="1"/>
    <w:qFormat/>
    <w:uiPriority w:val="0"/>
    <w:pPr>
      <w:ind w:left="800" w:leftChars="800"/>
    </w:pPr>
  </w:style>
  <w:style w:type="paragraph" w:styleId="6">
    <w:name w:val="annotation text"/>
    <w:basedOn w:val="1"/>
    <w:qFormat/>
    <w:uiPriority w:val="0"/>
    <w:pPr>
      <w:jc w:val="left"/>
    </w:pPr>
  </w:style>
  <w:style w:type="paragraph" w:styleId="7">
    <w:name w:val="Body Text"/>
    <w:basedOn w:val="1"/>
    <w:qFormat/>
    <w:uiPriority w:val="0"/>
    <w:pPr>
      <w:spacing w:line="560" w:lineRule="exact"/>
    </w:pPr>
    <w:rPr>
      <w:rFonts w:eastAsia="仿宋_GB2312" w:cs="Times New Roman"/>
      <w:sz w:val="28"/>
      <w:szCs w:val="20"/>
    </w:rPr>
  </w:style>
  <w:style w:type="paragraph" w:styleId="8">
    <w:name w:val="Body Text Indent"/>
    <w:basedOn w:val="1"/>
    <w:next w:val="9"/>
    <w:qFormat/>
    <w:uiPriority w:val="0"/>
    <w:pPr>
      <w:spacing w:after="120"/>
      <w:ind w:left="200" w:leftChars="200"/>
    </w:pPr>
    <w:rPr>
      <w:rFonts w:ascii="Times New Roman" w:hAnsi="Times New Roman" w:eastAsia="宋体" w:cs="Times New Roman"/>
    </w:rPr>
  </w:style>
  <w:style w:type="paragraph" w:styleId="9">
    <w:name w:val="Body Text First Indent 2"/>
    <w:basedOn w:val="8"/>
    <w:next w:val="1"/>
    <w:qFormat/>
    <w:uiPriority w:val="0"/>
    <w:pPr>
      <w:widowControl w:val="0"/>
      <w:spacing w:before="100" w:beforeAutospacing="1" w:after="120"/>
      <w:ind w:left="200" w:leftChars="200" w:firstLine="200" w:firstLineChars="200"/>
      <w:jc w:val="both"/>
    </w:pPr>
    <w:rPr>
      <w:rFonts w:ascii="Calibri" w:hAnsi="Calibri" w:eastAsia="宋体" w:cs="Times New Roman"/>
      <w:kern w:val="0"/>
      <w:sz w:val="24"/>
      <w:szCs w:val="24"/>
      <w:lang w:val="en-US" w:eastAsia="zh-CN" w:bidi="ar-SA"/>
    </w:rPr>
  </w:style>
  <w:style w:type="paragraph" w:styleId="10">
    <w:name w:val="toc 3"/>
    <w:basedOn w:val="1"/>
    <w:next w:val="1"/>
    <w:qFormat/>
    <w:uiPriority w:val="39"/>
    <w:pPr>
      <w:ind w:left="640" w:leftChars="200" w:firstLine="0" w:firstLineChars="0"/>
    </w:pPr>
    <w:rPr>
      <w:rFonts w:ascii="Times New Roman" w:hAnsi="Times New Roman" w:eastAsia="楷体"/>
    </w:rPr>
  </w:style>
  <w:style w:type="paragraph" w:styleId="11">
    <w:name w:val="Plain Text"/>
    <w:basedOn w:val="1"/>
    <w:next w:val="5"/>
    <w:qFormat/>
    <w:uiPriority w:val="0"/>
    <w:rPr>
      <w:rFonts w:ascii="宋体" w:hAnsi="宋体"/>
    </w:rPr>
  </w:style>
  <w:style w:type="paragraph" w:styleId="12">
    <w:name w:val="footer"/>
    <w:basedOn w:val="1"/>
    <w:qFormat/>
    <w:uiPriority w:val="0"/>
    <w:pPr>
      <w:tabs>
        <w:tab w:val="center" w:pos="4153"/>
        <w:tab w:val="right" w:pos="8306"/>
      </w:tabs>
      <w:snapToGrid w:val="0"/>
      <w:jc w:val="left"/>
    </w:pPr>
    <w:rPr>
      <w:rFonts w:ascii="等线" w:hAnsi="等线" w:eastAsia="等线" w:cs="Times New Roman"/>
      <w:sz w:val="18"/>
      <w:szCs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toc 1"/>
    <w:basedOn w:val="1"/>
    <w:next w:val="1"/>
    <w:qFormat/>
    <w:uiPriority w:val="39"/>
    <w:pPr>
      <w:ind w:firstLine="0" w:firstLineChars="0"/>
    </w:pPr>
    <w:rPr>
      <w:rFonts w:ascii="Times New Roman" w:hAnsi="Times New Roman" w:eastAsia="方正小标宋简体"/>
    </w:rPr>
  </w:style>
  <w:style w:type="paragraph" w:styleId="15">
    <w:name w:val="toc 2"/>
    <w:basedOn w:val="1"/>
    <w:next w:val="1"/>
    <w:qFormat/>
    <w:uiPriority w:val="39"/>
    <w:pPr>
      <w:ind w:left="320" w:leftChars="100" w:firstLine="0" w:firstLineChars="0"/>
    </w:pPr>
    <w:rPr>
      <w:rFonts w:ascii="Times New Roman" w:hAnsi="Times New Roman" w:eastAsia="黑体"/>
    </w:rPr>
  </w:style>
  <w:style w:type="paragraph" w:styleId="16">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7">
    <w:name w:val="Normal (Web)"/>
    <w:basedOn w:val="1"/>
    <w:qFormat/>
    <w:uiPriority w:val="99"/>
    <w:pPr>
      <w:spacing w:beforeAutospacing="1" w:afterAutospacing="1"/>
      <w:jc w:val="left"/>
    </w:pPr>
    <w:rPr>
      <w:rFonts w:cs="Times New Roman"/>
      <w:kern w:val="0"/>
      <w:sz w:val="24"/>
    </w:r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Emphasis"/>
    <w:basedOn w:val="20"/>
    <w:qFormat/>
    <w:uiPriority w:val="0"/>
    <w:rPr>
      <w:i/>
    </w:rPr>
  </w:style>
  <w:style w:type="character" w:styleId="22">
    <w:name w:val="Hyperlink"/>
    <w:qFormat/>
    <w:uiPriority w:val="99"/>
    <w:rPr>
      <w:rFonts w:ascii="等线" w:hAnsi="等线" w:eastAsia="等线" w:cs="Times New Roman"/>
      <w:color w:val="0563C1"/>
      <w:u w:val="single"/>
    </w:rPr>
  </w:style>
  <w:style w:type="paragraph" w:customStyle="1" w:styleId="23">
    <w:name w:val="篇"/>
    <w:basedOn w:val="1"/>
    <w:qFormat/>
    <w:uiPriority w:val="0"/>
    <w:pPr>
      <w:spacing w:before="100" w:beforeLines="100" w:after="100" w:afterLines="100" w:line="560" w:lineRule="exact"/>
      <w:ind w:firstLine="0" w:firstLineChars="0"/>
      <w:jc w:val="center"/>
    </w:pPr>
    <w:rPr>
      <w:rFonts w:ascii="Times New Roman" w:hAnsi="Times New Roman" w:eastAsia="方正小标宋简体"/>
      <w:sz w:val="36"/>
    </w:rPr>
  </w:style>
  <w:style w:type="paragraph" w:customStyle="1" w:styleId="24">
    <w:name w:val="章"/>
    <w:basedOn w:val="1"/>
    <w:qFormat/>
    <w:uiPriority w:val="0"/>
    <w:pPr>
      <w:keepNext/>
      <w:numPr>
        <w:ilvl w:val="0"/>
        <w:numId w:val="1"/>
      </w:numPr>
      <w:snapToGrid w:val="0"/>
      <w:spacing w:before="100" w:beforeLines="100" w:after="100" w:afterLines="100"/>
      <w:ind w:firstLine="0" w:firstLineChars="0"/>
      <w:jc w:val="center"/>
      <w:outlineLvl w:val="1"/>
    </w:pPr>
    <w:rPr>
      <w:rFonts w:ascii="Times New Roman" w:hAnsi="Times New Roman" w:eastAsia="黑体" w:cstheme="minorBidi"/>
      <w:color w:val="000000" w:themeColor="text1"/>
      <w:sz w:val="32"/>
      <w:szCs w:val="24"/>
      <w14:textFill>
        <w14:solidFill>
          <w14:schemeClr w14:val="tx1"/>
        </w14:solidFill>
      </w14:textFill>
    </w:rPr>
  </w:style>
  <w:style w:type="paragraph" w:customStyle="1" w:styleId="25">
    <w:name w:val="节"/>
    <w:basedOn w:val="1"/>
    <w:qFormat/>
    <w:uiPriority w:val="0"/>
    <w:pPr>
      <w:keepNext/>
      <w:numPr>
        <w:ilvl w:val="0"/>
        <w:numId w:val="2"/>
      </w:numPr>
      <w:snapToGrid w:val="0"/>
      <w:spacing w:before="100" w:beforeLines="100" w:after="100" w:afterLines="100"/>
      <w:ind w:firstLine="0" w:firstLineChars="0"/>
      <w:jc w:val="center"/>
      <w:outlineLvl w:val="2"/>
    </w:pPr>
    <w:rPr>
      <w:rFonts w:ascii="Times New Roman" w:hAnsi="Times New Roman" w:eastAsia="楷体_GB2312" w:cs="方正小标宋简体"/>
      <w:b/>
      <w:bCs/>
      <w:color w:val="000000"/>
      <w:szCs w:val="32"/>
    </w:rPr>
  </w:style>
  <w:style w:type="paragraph" w:customStyle="1" w:styleId="26">
    <w:name w:val="正文1"/>
    <w:basedOn w:val="1"/>
    <w:qFormat/>
    <w:uiPriority w:val="0"/>
    <w:rPr>
      <w:rFonts w:hint="eastAsia"/>
    </w:rPr>
  </w:style>
  <w:style w:type="character" w:customStyle="1" w:styleId="27">
    <w:name w:val="NormalCharacter"/>
    <w:qFormat/>
    <w:uiPriority w:val="0"/>
  </w:style>
  <w:style w:type="character" w:customStyle="1" w:styleId="28">
    <w:name w:val="font71"/>
    <w:basedOn w:val="20"/>
    <w:qFormat/>
    <w:uiPriority w:val="0"/>
    <w:rPr>
      <w:rFonts w:ascii="黑体" w:hAnsi="宋体" w:eastAsia="黑体" w:cs="黑体"/>
      <w:color w:val="000000"/>
      <w:sz w:val="18"/>
      <w:szCs w:val="18"/>
      <w:u w:val="none"/>
    </w:rPr>
  </w:style>
  <w:style w:type="character" w:customStyle="1" w:styleId="29">
    <w:name w:val="font11"/>
    <w:basedOn w:val="20"/>
    <w:qFormat/>
    <w:uiPriority w:val="0"/>
    <w:rPr>
      <w:rFonts w:hint="eastAsia" w:ascii="宋体" w:hAnsi="宋体" w:eastAsia="宋体" w:cs="宋体"/>
      <w:b/>
      <w:bCs/>
      <w:color w:val="000000"/>
      <w:sz w:val="20"/>
      <w:szCs w:val="20"/>
      <w:u w:val="none"/>
    </w:rPr>
  </w:style>
  <w:style w:type="character" w:customStyle="1" w:styleId="30">
    <w:name w:val="font31"/>
    <w:basedOn w:val="20"/>
    <w:qFormat/>
    <w:uiPriority w:val="0"/>
    <w:rPr>
      <w:rFonts w:hint="default" w:ascii="Times New Roman" w:hAnsi="Times New Roman" w:cs="Times New Roman"/>
      <w:color w:val="000000"/>
      <w:sz w:val="20"/>
      <w:szCs w:val="20"/>
      <w:u w:val="none"/>
    </w:rPr>
  </w:style>
  <w:style w:type="character" w:customStyle="1" w:styleId="31">
    <w:name w:val="font21"/>
    <w:basedOn w:val="20"/>
    <w:qFormat/>
    <w:uiPriority w:val="0"/>
    <w:rPr>
      <w:rFonts w:hint="eastAsia" w:ascii="宋体" w:hAnsi="宋体" w:eastAsia="宋体" w:cs="宋体"/>
      <w:color w:val="000000"/>
      <w:sz w:val="20"/>
      <w:szCs w:val="20"/>
      <w:u w:val="none"/>
    </w:rPr>
  </w:style>
  <w:style w:type="character" w:customStyle="1" w:styleId="32">
    <w:name w:val="font41"/>
    <w:basedOn w:val="20"/>
    <w:qFormat/>
    <w:uiPriority w:val="0"/>
    <w:rPr>
      <w:rFonts w:hint="default" w:ascii="Times New Roman" w:hAnsi="Times New Roman" w:cs="Times New Roman"/>
      <w:color w:val="000000"/>
      <w:sz w:val="20"/>
      <w:szCs w:val="20"/>
      <w:u w:val="none"/>
    </w:rPr>
  </w:style>
  <w:style w:type="character" w:customStyle="1" w:styleId="33">
    <w:name w:val="font81"/>
    <w:basedOn w:val="20"/>
    <w:qFormat/>
    <w:uiPriority w:val="0"/>
    <w:rPr>
      <w:rFonts w:hint="eastAsia" w:ascii="宋体" w:hAnsi="宋体" w:eastAsia="宋体" w:cs="宋体"/>
      <w:b/>
      <w:bCs/>
      <w:color w:val="000000"/>
      <w:sz w:val="20"/>
      <w:szCs w:val="20"/>
      <w:u w:val="none"/>
    </w:rPr>
  </w:style>
  <w:style w:type="character" w:customStyle="1" w:styleId="34">
    <w:name w:val="font51"/>
    <w:basedOn w:val="20"/>
    <w:qFormat/>
    <w:uiPriority w:val="0"/>
    <w:rPr>
      <w:rFonts w:hint="default" w:ascii="Times New Roman" w:hAnsi="Times New Roman" w:cs="Times New Roman"/>
      <w:color w:val="000000"/>
      <w:sz w:val="20"/>
      <w:szCs w:val="20"/>
      <w:u w:val="none"/>
    </w:rPr>
  </w:style>
  <w:style w:type="character" w:customStyle="1" w:styleId="35">
    <w:name w:val="font61"/>
    <w:basedOn w:val="20"/>
    <w:qFormat/>
    <w:uiPriority w:val="0"/>
    <w:rPr>
      <w:rFonts w:hint="eastAsia" w:ascii="宋体" w:hAnsi="宋体" w:eastAsia="宋体" w:cs="宋体"/>
      <w:b/>
      <w:bCs/>
      <w:color w:val="000000"/>
      <w:sz w:val="20"/>
      <w:szCs w:val="20"/>
      <w:u w:val="none"/>
    </w:rPr>
  </w:style>
  <w:style w:type="character" w:customStyle="1" w:styleId="36">
    <w:name w:val="font112"/>
    <w:basedOn w:val="20"/>
    <w:qFormat/>
    <w:uiPriority w:val="0"/>
    <w:rPr>
      <w:rFonts w:hint="default" w:ascii="Times New Roman" w:hAnsi="Times New Roman" w:cs="Times New Roman"/>
      <w:b/>
      <w:bCs/>
      <w:color w:val="FFFFFF"/>
      <w:sz w:val="28"/>
      <w:szCs w:val="28"/>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047a54d4-beb0-469d-b9c0-a6f4435fe277</errorID>
      <errorWord xmlns="http://schemas.wps.cn/vas-ai-hub/contract-review">嘉康</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嘉庚</item>
      </candidateList>
      <explain xmlns="http://schemas.wps.cn/vas-ai-hub/contract-review"/>
      <paraID xmlns="http://schemas.wps.cn/vas-ai-hub/contract-review">5D0FE7E2</paraID>
      <start xmlns="http://schemas.wps.cn/vas-ai-hub/contract-review">870</start>
      <end xmlns="http://schemas.wps.cn/vas-ai-hub/contract-review">872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79fa4463-e42d-4040-8f7a-c50b28de5416</errorID>
      <errorWord xmlns="http://schemas.wps.cn/vas-ai-hub/contract-review">羌年</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今年</item>
      </candidateList>
      <explain xmlns="http://schemas.wps.cn/vas-ai-hub/contract-review"/>
      <paraID xmlns="http://schemas.wps.cn/vas-ai-hub/contract-review">5D0FE7E2</paraID>
      <start xmlns="http://schemas.wps.cn/vas-ai-hub/contract-review">1154</start>
      <end xmlns="http://schemas.wps.cn/vas-ai-hub/contract-review">1156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38b87172-b6d3-4fea-bb44-8a70644c6979</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39486623</paraID>
      <start xmlns="http://schemas.wps.cn/vas-ai-hub/contract-review">0</start>
      <end xmlns="http://schemas.wps.cn/vas-ai-hub/contract-review">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a72d69be-93ac-42d5-905a-718309296adb</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6AA7714</paraID>
      <start xmlns="http://schemas.wps.cn/vas-ai-hub/contract-review">0</start>
      <end xmlns="http://schemas.wps.cn/vas-ai-hub/contract-review">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c63cc53d-36c5-41c7-9f7c-598770bc0af7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7F9A9652</paraID>
      <start xmlns="http://schemas.wps.cn/vas-ai-hub/contract-review">0</start>
      <end xmlns="http://schemas.wps.cn/vas-ai-hub/contract-review">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093644c6-50ef-4733-b4c0-2209f7562763</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19CE87F9</paraID>
      <start xmlns="http://schemas.wps.cn/vas-ai-hub/contract-review">0</start>
      <end xmlns="http://schemas.wps.cn/vas-ai-hub/contract-review">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5ee7c20e-333c-4ae1-ba63-0b279a9efcf8</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4679ED25</paraID>
      <start xmlns="http://schemas.wps.cn/vas-ai-hub/contract-review">0</start>
      <end xmlns="http://schemas.wps.cn/vas-ai-hub/contract-review">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d3bc89a3-647b-43b1-8ef6-670dbbf247ea</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75F86C97</paraID>
      <start xmlns="http://schemas.wps.cn/vas-ai-hub/contract-review">0</start>
      <end xmlns="http://schemas.wps.cn/vas-ai-hub/contract-review">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7922a5b7-d3b3-4770-8f09-920120c03190</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5F92EC5E</paraID>
      <start xmlns="http://schemas.wps.cn/vas-ai-hub/contract-review">0</start>
      <end xmlns="http://schemas.wps.cn/vas-ai-hub/contract-review">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ad4f7b7e-276b-4fc2-9209-ad32590dae33</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181BF83D</paraID>
      <start xmlns="http://schemas.wps.cn/vas-ai-hub/contract-review">0</start>
      <end xmlns="http://schemas.wps.cn/vas-ai-hub/contract-review">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ab505544-268d-47c0-92c6-581d1154694f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3DD45B44</paraID>
      <start xmlns="http://schemas.wps.cn/vas-ai-hub/contract-review">0</start>
      <end xmlns="http://schemas.wps.cn/vas-ai-hub/contract-review">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10a327fd-4792-4da9-8d6a-86f66e94edfd</errorID>
      <errorWord xmlns="http://schemas.wps.cn/vas-ai-hub/contract-review">生态红线</errorWord>
      <group xmlns="http://schemas.wps.cn/vas-ai-hub/contract-review">L1_Political</group>
      <groupName xmlns="http://schemas.wps.cn/vas-ai-hub/contract-review">政治性问题</groupName>
      <ability xmlns="http://schemas.wps.cn/vas-ai-hub/contract-review">L2_Unpolitical</ability>
      <abilityName xmlns="http://schemas.wps.cn/vas-ai-hub/contract-review">政治敏感错误</abilityName>
      <candidateList xmlns="http://schemas.wps.cn/vas-ai-hub/contract-review">
        <item xmlns="http://schemas.wps.cn/vas-ai-hub/contract-review">生态保护红线</item>
      </candidateList>
      <explain xmlns="http://schemas.wps.cn/vas-ai-hub/contract-review"/>
      <paraID xmlns="http://schemas.wps.cn/vas-ai-hub/contract-review">4F9A53E1</paraID>
      <start xmlns="http://schemas.wps.cn/vas-ai-hub/contract-review">0</start>
      <end xmlns="http://schemas.wps.cn/vas-ai-hub/contract-review">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a784b7e4-b149-42f5-b839-51451ea34cfb</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
      <paraID xmlns="http://schemas.wps.cn/vas-ai-hub/contract-review"> 6C608D2</paraID>
      <start xmlns="http://schemas.wps.cn/vas-ai-hub/contract-review">0</start>
      <end xmlns="http://schemas.wps.cn/vas-ai-hub/contract-review">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83bdd974-162e-4073-bda4-a8c3eb808324</errorID>
      <errorWord xmlns="http://schemas.wps.cn/vas-ai-hub/contract-review">、和</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item xmlns="http://schemas.wps.cn/vas-ai-hub/contract-review">和</item>
      </candidateList>
      <explain xmlns="http://schemas.wps.cn/vas-ai-hub/contract-review">“及”“和”“等”连词前不宜使用顿号，建议删除（或使用逗号）。</explain>
      <paraID xmlns="http://schemas.wps.cn/vas-ai-hub/contract-review">640520D2</paraID>
      <start xmlns="http://schemas.wps.cn/vas-ai-hub/contract-review">326</start>
      <end xmlns="http://schemas.wps.cn/vas-ai-hub/contract-review">328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2481e941-03d0-4087-8d7c-3240159f40f4</errorID>
      <errorWord xmlns="http://schemas.wps.cn/vas-ai-hub/contract-review">绿色低碳工业</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绿色低碳产业</item>
      </candidateList>
      <explain xmlns="http://schemas.wps.cn/vas-ai-hub/contract-review">词汇“绿色低碳产业”在特定场景下为固定表述形式，请确认此处的“绿色低碳工业”是否存在不当。</explain>
      <paraID xmlns="http://schemas.wps.cn/vas-ai-hub/contract-review">3528D4E9</paraID>
      <start xmlns="http://schemas.wps.cn/vas-ai-hub/contract-review">53</start>
      <end xmlns="http://schemas.wps.cn/vas-ai-hub/contract-review">59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a232e0f3-1efd-4372-b496-159e980cb15e</errorID>
      <errorWord xmlns="http://schemas.wps.cn/vas-ai-hub/contract-review">、和</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item xmlns="http://schemas.wps.cn/vas-ai-hub/contract-review">和</item>
      </candidateList>
      <explain xmlns="http://schemas.wps.cn/vas-ai-hub/contract-review">“及”“和”“等”连词前不宜使用顿号，建议删除（或使用逗号）。</explain>
      <paraID xmlns="http://schemas.wps.cn/vas-ai-hub/contract-review">468424C8</paraID>
      <start xmlns="http://schemas.wps.cn/vas-ai-hub/contract-review">38</start>
      <end xmlns="http://schemas.wps.cn/vas-ai-hub/contract-review">40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da900a29-9e26-44dc-b7c5-0252d246a8de</errorID>
      <errorWord xmlns="http://schemas.wps.cn/vas-ai-hub/contract-review">、和</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item xmlns="http://schemas.wps.cn/vas-ai-hub/contract-review">和</item>
      </candidateList>
      <explain xmlns="http://schemas.wps.cn/vas-ai-hub/contract-review">“及”“和”“等”连词前不宜使用顿号，建议删除（或使用逗号）。</explain>
      <paraID xmlns="http://schemas.wps.cn/vas-ai-hub/contract-review">69E99E81</paraID>
      <start xmlns="http://schemas.wps.cn/vas-ai-hub/contract-review">33</start>
      <end xmlns="http://schemas.wps.cn/vas-ai-hub/contract-review">35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88b417cc-adc8-40bb-9051-9d3d6dda70b1</errorID>
      <errorWord xmlns="http://schemas.wps.cn/vas-ai-hub/contract-review">嘉康</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嘉庚</item>
      </candidateList>
      <explain xmlns="http://schemas.wps.cn/vas-ai-hub/contract-review"/>
      <paraID xmlns="http://schemas.wps.cn/vas-ai-hub/contract-review">61770FA6</paraID>
      <start xmlns="http://schemas.wps.cn/vas-ai-hub/contract-review">183</start>
      <end xmlns="http://schemas.wps.cn/vas-ai-hub/contract-review">185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44c3a307-bfb7-4eab-8f4d-e85a781d7e15</errorID>
      <errorWord xmlns="http://schemas.wps.cn/vas-ai-hub/contract-review">、和</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item xmlns="http://schemas.wps.cn/vas-ai-hub/contract-review">和</item>
      </candidateList>
      <explain xmlns="http://schemas.wps.cn/vas-ai-hub/contract-review">“及”“和”“等”连词前不宜使用顿号，建议删除（或使用逗号）。</explain>
      <paraID xmlns="http://schemas.wps.cn/vas-ai-hub/contract-review">1AFDC378</paraID>
      <start xmlns="http://schemas.wps.cn/vas-ai-hub/contract-review">115</start>
      <end xmlns="http://schemas.wps.cn/vas-ai-hub/contract-review">117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7ee88596-fe52-466e-8727-e190bb881d58</errorID>
      <errorWord xmlns="http://schemas.wps.cn/vas-ai-hub/contract-review">吉柯</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古柯</item>
      </candidateList>
      <explain xmlns="http://schemas.wps.cn/vas-ai-hub/contract-review"/>
      <paraID xmlns="http://schemas.wps.cn/vas-ai-hub/contract-review">38321AD1</paraID>
      <start xmlns="http://schemas.wps.cn/vas-ai-hub/contract-review">101</start>
      <end xmlns="http://schemas.wps.cn/vas-ai-hub/contract-review">103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a0c437b2-2028-4ca1-ab2a-37db809488b0</errorID>
      <errorWord xmlns="http://schemas.wps.cn/vas-ai-hub/contract-review">森林四库</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森林‘四库’</item>
      </candidateList>
      <explain xmlns="http://schemas.wps.cn/vas-ai-hub/contract-review">注意检查当前固定表述标点是否使用规范。</explain>
      <paraID xmlns="http://schemas.wps.cn/vas-ai-hub/contract-review">3166E98D</paraID>
      <start xmlns="http://schemas.wps.cn/vas-ai-hub/contract-review">152</start>
      <end xmlns="http://schemas.wps.cn/vas-ai-hub/contract-review">156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3850687a-86ff-431a-ac5f-ae2c2b6525ce</errorID>
      <errorWord xmlns="http://schemas.wps.cn/vas-ai-hub/contract-review">种粮补助</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种粮补贴</item>
      </candidateList>
      <explain xmlns="http://schemas.wps.cn/vas-ai-hub/contract-review"/>
      <paraID xmlns="http://schemas.wps.cn/vas-ai-hub/contract-review">1B5CC3A5</paraID>
      <start xmlns="http://schemas.wps.cn/vas-ai-hub/contract-review">52</start>
      <end xmlns="http://schemas.wps.cn/vas-ai-hub/contract-review">56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90d0e989-01ad-4516-b344-a2cbc0d29709</errorID>
      <errorWord xmlns="http://schemas.wps.cn/vas-ai-hub/contract-review">森林四库</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森林“四库”</item>
      </candidateList>
      <explain xmlns="http://schemas.wps.cn/vas-ai-hub/contract-review">注意检查当前固定表述标点是否使用规范。</explain>
      <paraID xmlns="http://schemas.wps.cn/vas-ai-hub/contract-review">1B5CC3A5</paraID>
      <start xmlns="http://schemas.wps.cn/vas-ai-hub/contract-review">559</start>
      <end xmlns="http://schemas.wps.cn/vas-ai-hub/contract-review">563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41092887-03cb-4845-a5f1-4bbe1b489b0e</errorID>
      <errorWord xmlns="http://schemas.wps.cn/vas-ai-hub/contract-review">硫磺</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硫黄</item>
      </candidateList>
      <explain xmlns="http://schemas.wps.cn/vas-ai-hub/contract-review"/>
      <paraID xmlns="http://schemas.wps.cn/vas-ai-hub/contract-review">483C1E53</paraID>
      <start xmlns="http://schemas.wps.cn/vas-ai-hub/contract-review">128</start>
      <end xmlns="http://schemas.wps.cn/vas-ai-hub/contract-review">130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bd409b4f-f1fe-4d16-9355-2861d0a32bfb</errorID>
      <errorWord xmlns="http://schemas.wps.cn/vas-ai-hub/contract-review">绿色低碳工业</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绿色低碳产业</item>
      </candidateList>
      <explain xmlns="http://schemas.wps.cn/vas-ai-hub/contract-review">词汇“绿色低碳产业”在特定场景下为固定表述形式，请确认此处的“绿色低碳工业”是否存在不当。</explain>
      <paraID xmlns="http://schemas.wps.cn/vas-ai-hub/contract-review">6A53DA3D</paraID>
      <start xmlns="http://schemas.wps.cn/vas-ai-hub/contract-review">5</start>
      <end xmlns="http://schemas.wps.cn/vas-ai-hub/contract-review">11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935f13f5-43db-4bbc-b152-a290bc8a360a</errorID>
      <errorWord xmlns="http://schemas.wps.cn/vas-ai-hub/contract-review">制造业数智化转型</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制造业数字化转型</item>
      </candidateList>
      <explain xmlns="http://schemas.wps.cn/vas-ai-hub/contract-review">词汇“制造业数字化转型”在特定场景下为固定表述形式，请确认此处的“制造业数智化转型”是否存在不当。</explain>
      <paraID xmlns="http://schemas.wps.cn/vas-ai-hub/contract-review">2A4FD36F</paraID>
      <start xmlns="http://schemas.wps.cn/vas-ai-hub/contract-review">3</start>
      <end xmlns="http://schemas.wps.cn/vas-ai-hub/contract-review">11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e1683bf2-eaf6-49cc-b283-d958e9a55c95</errorID>
      <errorWord xmlns="http://schemas.wps.cn/vas-ai-hub/contract-review">智改数转网联</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“智改数转网联”</item>
      </candidateList>
      <explain xmlns="http://schemas.wps.cn/vas-ai-hub/contract-review">注意检查当前固定表述标点是否使用规范。</explain>
      <paraID xmlns="http://schemas.wps.cn/vas-ai-hub/contract-review">40150884</paraID>
      <start xmlns="http://schemas.wps.cn/vas-ai-hub/contract-review">167</start>
      <end xmlns="http://schemas.wps.cn/vas-ai-hub/contract-review">173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b3d683c0-dec5-4649-a8e0-7c096b70ddb5</errorID>
      <errorWord xmlns="http://schemas.wps.cn/vas-ai-hub/contract-review">带货</errorWord>
      <group xmlns="http://schemas.wps.cn/vas-ai-hub/contract-review">L1_Official</group>
      <groupName xmlns="http://schemas.wps.cn/vas-ai-hub/contract-review">公文问题</groupName>
      <ability xmlns="http://schemas.wps.cn/vas-ai-hub/contract-review">L2_Official</ability>
      <abilityName xmlns="http://schemas.wps.cn/vas-ai-hub/contract-review">公文问题</abilityName>
      <candidateList xmlns="http://schemas.wps.cn/vas-ai-hub/contract-review"/>
      <explain xmlns="http://schemas.wps.cn/vas-ai-hub/contract-review">公文中禁止出现该词语</explain>
      <paraID xmlns="http://schemas.wps.cn/vas-ai-hub/contract-review">41F32431</paraID>
      <start xmlns="http://schemas.wps.cn/vas-ai-hub/contract-review">66</start>
      <end xmlns="http://schemas.wps.cn/vas-ai-hub/contract-review">68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eff549ad-20ce-4655-9607-6d30f6518bc1</errorID>
      <errorWord xmlns="http://schemas.wps.cn/vas-ai-hub/contract-review">不可避让</errorWord>
      <group xmlns="http://schemas.wps.cn/vas-ai-hub/contract-review">L1_Knowledge</group>
      <groupName xmlns="http://schemas.wps.cn/vas-ai-hub/contract-review">知识性问题</groupName>
      <ability xmlns="http://schemas.wps.cn/vas-ai-hub/contract-review">L2_Idiom</ability>
      <abilityName xmlns="http://schemas.wps.cn/vas-ai-hub/contract-review">成语和诗歌</abilityName>
      <candidateList xmlns="http://schemas.wps.cn/vas-ai-hub/contract-review">
        <item xmlns="http://schemas.wps.cn/vas-ai-hub/contract-review">不可避免</item>
      </candidateList>
      <explain xmlns="http://schemas.wps.cn/vas-ai-hub/contract-review"/>
      <paraID xmlns="http://schemas.wps.cn/vas-ai-hub/contract-review">52B66E36</paraID>
      <start xmlns="http://schemas.wps.cn/vas-ai-hub/contract-review">142</start>
      <end xmlns="http://schemas.wps.cn/vas-ai-hub/contract-review">146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f919ec4a-d569-487f-b23b-cbb70d42b632</errorID>
      <errorWord xmlns="http://schemas.wps.cn/vas-ai-hub/contract-review">城乡结合部</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城乡接合部</item>
      </candidateList>
      <explain xmlns="http://schemas.wps.cn/vas-ai-hub/contract-review"/>
      <paraID xmlns="http://schemas.wps.cn/vas-ai-hub/contract-review">2D858403</paraID>
      <start xmlns="http://schemas.wps.cn/vas-ai-hub/contract-review">20</start>
      <end xmlns="http://schemas.wps.cn/vas-ai-hub/contract-review">25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0a6dc299-69ee-47ac-92b1-b1df4a4e689c</errorID>
      <errorWord xmlns="http://schemas.wps.cn/vas-ai-hub/contract-review">四川阿坝理县</errorWord>
      <group xmlns="http://schemas.wps.cn/vas-ai-hub/contract-review">L1_Knowledge</group>
      <groupName xmlns="http://schemas.wps.cn/vas-ai-hub/contract-review">知识性问题</groupName>
      <ability xmlns="http://schemas.wps.cn/vas-ai-hub/contract-review">L2_Location</ability>
      <abilityName xmlns="http://schemas.wps.cn/vas-ai-hub/contract-review">地名检查</abilityName>
      <candidateList xmlns="http://schemas.wps.cn/vas-ai-hub/contract-review">
        <item xmlns="http://schemas.wps.cn/vas-ai-hub/contract-review">四川阿坝县</item>
      </candidateList>
      <explain xmlns="http://schemas.wps.cn/vas-ai-hub/contract-review">地名表述错误</explain>
      <paraID xmlns="http://schemas.wps.cn/vas-ai-hub/contract-review">1228A292</paraID>
      <start xmlns="http://schemas.wps.cn/vas-ai-hub/contract-review">63</start>
      <end xmlns="http://schemas.wps.cn/vas-ai-hub/contract-review">69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7e5163d5-9811-4962-ac32-3d33db073779</errorID>
      <errorWord xmlns="http://schemas.wps.cn/vas-ai-hub/contract-review">四川阿坝理县</errorWord>
      <group xmlns="http://schemas.wps.cn/vas-ai-hub/contract-review">L1_Knowledge</group>
      <groupName xmlns="http://schemas.wps.cn/vas-ai-hub/contract-review">知识性问题</groupName>
      <ability xmlns="http://schemas.wps.cn/vas-ai-hub/contract-review">L2_Location</ability>
      <abilityName xmlns="http://schemas.wps.cn/vas-ai-hub/contract-review">地名检查</abilityName>
      <candidateList xmlns="http://schemas.wps.cn/vas-ai-hub/contract-review">
        <item xmlns="http://schemas.wps.cn/vas-ai-hub/contract-review">四川阿坝县</item>
      </candidateList>
      <explain xmlns="http://schemas.wps.cn/vas-ai-hub/contract-review">地名表述错误</explain>
      <paraID xmlns="http://schemas.wps.cn/vas-ai-hub/contract-review">4A7AA512</paraID>
      <start xmlns="http://schemas.wps.cn/vas-ai-hub/contract-review">50</start>
      <end xmlns="http://schemas.wps.cn/vas-ai-hub/contract-review">56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34499089-19bf-4790-9a51-4f530580099f</errorID>
      <errorWord xmlns="http://schemas.wps.cn/vas-ai-hub/contract-review">管城</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城管</item>
      </candidateList>
      <explain xmlns="http://schemas.wps.cn/vas-ai-hub/contract-review"/>
      <paraID xmlns="http://schemas.wps.cn/vas-ai-hub/contract-review">5873099E</paraID>
      <start xmlns="http://schemas.wps.cn/vas-ai-hub/contract-review">116</start>
      <end xmlns="http://schemas.wps.cn/vas-ai-hub/contract-review">118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c4b40dbf-f05f-4e4f-96d8-782ff0876666</errorID>
      <errorWord xmlns="http://schemas.wps.cn/vas-ai-hub/contract-review">“免申即享”“直达快享”</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“免申即享、直达快享”</item>
      </candidateList>
      <explain xmlns="http://schemas.wps.cn/vas-ai-hub/contract-review">注意检查当前固定表述标点是否使用规范。</explain>
      <paraID xmlns="http://schemas.wps.cn/vas-ai-hub/contract-review">402E4AF5</paraID>
      <start xmlns="http://schemas.wps.cn/vas-ai-hub/contract-review">169</start>
      <end xmlns="http://schemas.wps.cn/vas-ai-hub/contract-review">181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e0f34235-fe6a-4969-8461-a6952952aa42</errorID>
      <errorWord xmlns="http://schemas.wps.cn/vas-ai-hub/contract-review">沙金</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金沙</item>
      </candidateList>
      <explain xmlns="http://schemas.wps.cn/vas-ai-hub/contract-review"/>
      <paraID xmlns="http://schemas.wps.cn/vas-ai-hub/contract-review">78CE5878</paraID>
      <start xmlns="http://schemas.wps.cn/vas-ai-hub/contract-review">67</start>
      <end xmlns="http://schemas.wps.cn/vas-ai-hub/contract-review">69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6029c939-49e4-43b6-b675-b79eb8b801a3</errorID>
      <errorWord xmlns="http://schemas.wps.cn/vas-ai-hub/contract-review">“零突破”</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“零的突破”</item>
      </candidateList>
      <explain xmlns="http://schemas.wps.cn/vas-ai-hub/contract-review"/>
      <paraID xmlns="http://schemas.wps.cn/vas-ai-hub/contract-review">37310A67</paraID>
      <start xmlns="http://schemas.wps.cn/vas-ai-hub/contract-review">334</start>
      <end xmlns="http://schemas.wps.cn/vas-ai-hub/contract-review">339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e0185b44-6120-466f-9831-ddbbe9644d23</errorID>
      <errorWord xmlns="http://schemas.wps.cn/vas-ai-hub/contract-review">包虫病</errorWord>
      <group xmlns="http://schemas.wps.cn/vas-ai-hub/contract-review">L1_Knowledge</group>
      <groupName xmlns="http://schemas.wps.cn/vas-ai-hub/contract-review">知识性问题</groupName>
      <ability xmlns="http://schemas.wps.cn/vas-ai-hub/contract-review">L2_Term</ability>
      <abilityName xmlns="http://schemas.wps.cn/vas-ai-hub/contract-review">专业术语</abilityName>
      <candidateList xmlns="http://schemas.wps.cn/vas-ai-hub/contract-review">
        <item xmlns="http://schemas.wps.cn/vas-ai-hub/contract-review">棘球蚴病</item>
      </candidateList>
      <explain xmlns="http://schemas.wps.cn/vas-ai-hub/contract-review">医学名词[包虫病]为不规范表述或旧称，其规范书面表述为[棘球蚴病]。</explain>
      <paraID xmlns="http://schemas.wps.cn/vas-ai-hub/contract-review">3588621C</paraID>
      <start xmlns="http://schemas.wps.cn/vas-ai-hub/contract-review">205</start>
      <end xmlns="http://schemas.wps.cn/vas-ai-hub/contract-review">208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d72d82ee-77b3-47bd-bd4e-6e1f956eba6e</errorID>
      <errorWord xmlns="http://schemas.wps.cn/vas-ai-hub/contract-review">带货</errorWord>
      <group xmlns="http://schemas.wps.cn/vas-ai-hub/contract-review">L1_Official</group>
      <groupName xmlns="http://schemas.wps.cn/vas-ai-hub/contract-review">公文问题</groupName>
      <ability xmlns="http://schemas.wps.cn/vas-ai-hub/contract-review">L2_Official</ability>
      <abilityName xmlns="http://schemas.wps.cn/vas-ai-hub/contract-review">公文问题</abilityName>
      <candidateList xmlns="http://schemas.wps.cn/vas-ai-hub/contract-review"/>
      <explain xmlns="http://schemas.wps.cn/vas-ai-hub/contract-review">公文中禁止出现该词语</explain>
      <paraID xmlns="http://schemas.wps.cn/vas-ai-hub/contract-review"> 43BBF75</paraID>
      <start xmlns="http://schemas.wps.cn/vas-ai-hub/contract-review">41</start>
      <end xmlns="http://schemas.wps.cn/vas-ai-hub/contract-review">43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a8bf7f15-c337-48e7-b848-037393f2a20e</errorID>
      <errorWord xmlns="http://schemas.wps.cn/vas-ai-hub/contract-review">村官</errorWord>
      <group xmlns="http://schemas.wps.cn/vas-ai-hub/contract-review">L1_Political</group>
      <groupName xmlns="http://schemas.wps.cn/vas-ai-hub/contract-review">政治性问题</groupName>
      <ability xmlns="http://schemas.wps.cn/vas-ai-hub/contract-review">L2_Unpolitical</ability>
      <abilityName xmlns="http://schemas.wps.cn/vas-ai-hub/contract-review">政治敏感错误</abilityName>
      <candidateList xmlns="http://schemas.wps.cn/vas-ai-hub/contract-review">
        <item xmlns="http://schemas.wps.cn/vas-ai-hub/contract-review">“村官”</item>
      </candidateList>
      <explain xmlns="http://schemas.wps.cn/vas-ai-hub/contract-review"/>
      <paraID xmlns="http://schemas.wps.cn/vas-ai-hub/contract-review">5E70C1DA</paraID>
      <start xmlns="http://schemas.wps.cn/vas-ai-hub/contract-review">169</start>
      <end xmlns="http://schemas.wps.cn/vas-ai-hub/contract-review">171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4d2034fd-d876-4cc8-99e4-6010557a6121</errorID>
      <errorWord xmlns="http://schemas.wps.cn/vas-ai-hub/contract-review">感党恩、听党话、跟党走</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听党话、感党恩、跟党走</item>
      </candidateList>
      <explain xmlns="http://schemas.wps.cn/vas-ai-hub/contract-review">词汇“听党话、感党恩、跟党走”在特定场景下为固定表述形式，请确认此处的“感党恩、听党话、跟党走”是否存在不当。</explain>
      <paraID xmlns="http://schemas.wps.cn/vas-ai-hub/contract-review">29B637C1</paraID>
      <start xmlns="http://schemas.wps.cn/vas-ai-hub/contract-review">199</start>
      <end xmlns="http://schemas.wps.cn/vas-ai-hub/contract-review">210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19847fdb-eb92-453c-9e1b-097f03813e92</errorID>
      <errorWord xmlns="http://schemas.wps.cn/vas-ai-hub/contract-review">一岗双责</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‘一岗双责’</item>
      </candidateList>
      <explain xmlns="http://schemas.wps.cn/vas-ai-hub/contract-review">注意检查当前固定表述标点是否使用规范。</explain>
      <paraID xmlns="http://schemas.wps.cn/vas-ai-hub/contract-review">60DEB43A</paraID>
      <start xmlns="http://schemas.wps.cn/vas-ai-hub/contract-review">10</start>
      <end xmlns="http://schemas.wps.cn/vas-ai-hub/contract-review">14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a601a747-aaa0-40fd-8796-99914c7044fc</errorID>
      <errorWord xmlns="http://schemas.wps.cn/vas-ai-hub/contract-review">好</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好地</item>
      </candidateList>
      <explain xmlns="http://schemas.wps.cn/vas-ai-hub/contract-review"/>
      <paraID xmlns="http://schemas.wps.cn/vas-ai-hub/contract-review">75696EF5</paraID>
      <start xmlns="http://schemas.wps.cn/vas-ai-hub/contract-review">214</start>
      <end xmlns="http://schemas.wps.cn/vas-ai-hub/contract-review">215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aded5169-70ef-4d90-802c-fd377c829bdc</errorID>
      <errorWord xmlns="http://schemas.wps.cn/vas-ai-hub/contract-review">最后一公里</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‘最后一公里’</item>
      </candidateList>
      <explain xmlns="http://schemas.wps.cn/vas-ai-hub/contract-review">注意检查当前固定表述标点是否使用规范。</explain>
      <paraID xmlns="http://schemas.wps.cn/vas-ai-hub/contract-review">6B1C5512</paraID>
      <start xmlns="http://schemas.wps.cn/vas-ai-hub/contract-review">100</start>
      <end xmlns="http://schemas.wps.cn/vas-ai-hub/contract-review">105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8bb3ba5a-42b7-4b88-a491-e5bfb0fe3a5d</errorID>
      <errorWord xmlns="http://schemas.wps.cn/vas-ai-hub/contract-review">十大民生工程</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“十大民生工程”</item>
      </candidateList>
      <explain xmlns="http://schemas.wps.cn/vas-ai-hub/contract-review">注意检查当前固定表述标点是否使用规范。</explain>
      <paraID xmlns="http://schemas.wps.cn/vas-ai-hub/contract-review">377E0698</paraID>
      <start xmlns="http://schemas.wps.cn/vas-ai-hub/contract-review">6</start>
      <end xmlns="http://schemas.wps.cn/vas-ai-hub/contract-review">12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cfe6b345-6dba-4f5c-b3b6-0fa91259d6b8</errorID>
      <errorWord xmlns="http://schemas.wps.cn/vas-ai-hub/contract-review">四个不摘</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“四个不摘”</item>
      </candidateList>
      <explain xmlns="http://schemas.wps.cn/vas-ai-hub/contract-review">注意检查当前固定表述标点是否使用规范。</explain>
      <paraID xmlns="http://schemas.wps.cn/vas-ai-hub/contract-review">17EAC5F2</paraID>
      <start xmlns="http://schemas.wps.cn/vas-ai-hub/contract-review">0</start>
      <end xmlns="http://schemas.wps.cn/vas-ai-hub/contract-review">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12239674-f921-4841-b162-de9b0633bcf4</errorID>
      <errorWord xmlns="http://schemas.wps.cn/vas-ai-hub/contract-review">巩固脱贫攻坚成果</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巩固拓展脱贫攻坚成果</item>
      </candidateList>
      <explain xmlns="http://schemas.wps.cn/vas-ai-hub/contract-review"/>
      <paraID xmlns="http://schemas.wps.cn/vas-ai-hub/contract-review">30DD943D</paraID>
      <start xmlns="http://schemas.wps.cn/vas-ai-hub/contract-review">16</start>
      <end xmlns="http://schemas.wps.cn/vas-ai-hub/contract-review">24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d7a712d0-60ff-4817-a7f6-e67941301597</errorID>
      <errorWord xmlns="http://schemas.wps.cn/vas-ai-hub/contract-review">两不愁三保障</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“两不愁三保障”</item>
      </candidateList>
      <explain xmlns="http://schemas.wps.cn/vas-ai-hub/contract-review">注意检查当前固定表述标点是否使用规范。</explain>
      <paraID xmlns="http://schemas.wps.cn/vas-ai-hub/contract-review"> FEFB3B7</paraID>
      <start xmlns="http://schemas.wps.cn/vas-ai-hub/contract-review">0</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96d52e0d-1e90-45c6-b4be-62d5de6058da</errorID>
      <errorWord xmlns="http://schemas.wps.cn/vas-ai-hub/contract-review">巩固脱贫攻坚成果</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巩固拓展脱贫攻坚成果</item>
      </candidateList>
      <explain xmlns="http://schemas.wps.cn/vas-ai-hub/contract-review"/>
      <paraID xmlns="http://schemas.wps.cn/vas-ai-hub/contract-review"> 37DDBB7</paraID>
      <start xmlns="http://schemas.wps.cn/vas-ai-hub/contract-review">15</start>
      <end xmlns="http://schemas.wps.cn/vas-ai-hub/contract-review">23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81d61e3f-3b02-4eeb-83b5-f6ea25710380</errorID>
      <errorWord xmlns="http://schemas.wps.cn/vas-ai-hub/contract-review">县管校聘</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“县管校聘”</item>
      </candidateList>
      <explain xmlns="http://schemas.wps.cn/vas-ai-hub/contract-review">注意检查当前固定表述标点是否使用规范。</explain>
      <paraID xmlns="http://schemas.wps.cn/vas-ai-hub/contract-review"> DEE2588</paraID>
      <start xmlns="http://schemas.wps.cn/vas-ai-hub/contract-review">0</start>
      <end xmlns="http://schemas.wps.cn/vas-ai-hub/contract-review">4</end>
      <status xmlns="http://schemas.wps.cn/vas-ai-hub/contract-review">unmodified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65b9a7c-653d-4f40-9626-2b194ff8fcd1}">
  <ds:schemaRefs/>
</ds:datastoreItem>
</file>

<file path=docProps/app.xml><?xml version="1.0" encoding="utf-8"?>
<Properties xmlns="http://schemas.openxmlformats.org/officeDocument/2006/extended-properties" xmlns:vt="http://schemas.openxmlformats.org/officeDocument/2006/docPropsVTypes">
  <Template>Normal.dotm</Template>
  <Pages>136</Pages>
  <Words>3058</Words>
  <Characters>3278</Characters>
  <Lines>0</Lines>
  <Paragraphs>0</Paragraphs>
  <TotalTime>1467</TotalTime>
  <ScaleCrop>false</ScaleCrop>
  <LinksUpToDate>false</LinksUpToDate>
  <CharactersWithSpaces>4016</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2025-05-21T13:49:00Z</dcterms:created>
  <dc:creator>WPS_1653462907</dc:creator>
  <cp:lastModifiedBy>song</cp:lastModifiedBy>
  <cp:lastPrinted>2026-03-06T04:02:00Z</cp:lastPrinted>
  <dcterms:modified xsi:type="dcterms:W3CDTF">2026-08-20T09:00:22Z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DC2C0E8C20ECC143A9DB826A8EFBC428_43</vt:lpwstr>
  </property>
  <property fmtid="{D5CDD505-2E9C-101B-9397-08002B2CF9AE}" pid="4" name="KSOTemplateDocerSaveRecord">
    <vt:lpwstr>eyJoZGlkIjoiZjU2Yzg0MGUzZTU3ZDc3Y2MyYmQxNTI5MWYxY2JlYjEiLCJ1c2VySWQiOiI1OTAyNzAyNzUifQ==</vt:lpwstr>
  </property>
</Properties>
</file>