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Times New Roman" w:eastAsia="方正小标宋_GBK" w:cs="Times New Roman" w:hAnsi="Times New Roman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方正小标宋_GBK" w:cs="Times New Roman" w:hAnsi="Times New Roman"/>
          <w:color w:val="000000"/>
          <w:sz w:val="44"/>
          <w:szCs w:val="44"/>
          <w14:textFill>
            <w14:solidFill>
              <w14:srgbClr w14:val="000000"/>
            </w14:solidFill>
          </w14:textFill>
          <w:lang w:eastAsia="zh-CN"/>
          <w:highlight w:val="auto"/>
        </w:rPr>
        <w:t>理县</w:t>
      </w:r>
      <w:r>
        <w:rPr>
          <w:rFonts w:ascii="Times New Roman" w:eastAsia="方正小标宋_GBK" w:cs="Times New Roman" w:hAnsi="Times New Roman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2024年国民经济和社会发展统计公报</w:t>
      </w:r>
    </w:p>
    <w:p>
      <w:pPr>
        <w:pStyle w:val="24"/>
        <w:jc w:val="center"/>
        <w:rPr>
          <w:rFonts w:ascii="楷体_GB2312" w:eastAsia="楷体_GB2312" w:cs="楷体_GB2312" w:hint="eastAsia"/>
          <w:b/>
          <w:bCs/>
          <w:sz w:val="32"/>
          <w:szCs w:val="32"/>
          <w:lang w:val="en-US" w:eastAsia="zh-CN"/>
        </w:rPr>
      </w:pPr>
      <w:r>
        <w:rPr>
          <w:rFonts w:ascii="楷体_GB2312" w:eastAsia="楷体_GB2312" w:cs="楷体_GB2312" w:hint="eastAsia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2025年4月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/>
        <w:jc w:val="both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今年以来，在县委、县政府的坚强领导下，在县人大，县政协的监督指导下，全县上下以习近平新时代中国特色社会主义思想为指导，认真落实中央经济工作会议和省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、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州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、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县委部署决策。围绕全州一州两区三家园战略部署和我县一廊两区三地四片五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的战略布局。切实增强经济活力、防范化解风险、改善社会预期、增进民生福祉、保持社会稳定。紧扣全年目标任务，着力稳住经济基本盘，经济社会保持平稳发展态势。</w:t>
      </w:r>
    </w:p>
    <w:p>
      <w:pPr>
        <w:pStyle w:val="15"/>
        <w:rPr>
          <w:rFonts w:ascii="Times New Roman" w:cs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/>
        <w:jc w:val="center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一、综合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全年实现地区生产总值375704万元，按可比价计算，比上年增长5 %。其中，第一产业实现增加值52845万元，增长1.9%，对经济增长的贡献率为5.3%，拉动经济增长0.3个百分点；第二产业实现增加值143301万元，增长3%，对经济增长的贡献率为23.1%，拉动经济增长1.2个百分点；第三产业实现增加值179558万元，增长7.5%，对经济增长的贡献率为71.6%，拉动经济增长3.6个百分点。2024年人均GDP为104507，增长5%（五经普修订后数据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1"/>
        <w:jc w:val="both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经济结构：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从结构上来分析，三次产业增加值占地区生产总值（GDP）的比重由上年的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12.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: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39.7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: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47.4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，调整为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14.1:38.1:47.8，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第二产业占GDP的比重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下降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了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1.6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个百分点，第三产业占GDP的比重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提高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了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0.8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个百分点。</w:t>
      </w:r>
    </w:p>
    <w:p>
      <w:pPr>
        <w:pStyle w:val="15"/>
        <w:rPr>
          <w:rFonts w:ascii="Times New Roman" w:eastAsia="方正仿宋_GBK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</w:rPr>
        <w:drawing>
          <wp:inline distT="0" distB="0" distL="114300" distR="114300">
            <wp:extent cx="5741034" cy="4062730"/>
            <wp:effectExtent l="0" t="0" r="0" b="0"/>
            <wp:docPr id="4" name="图表 8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3"/>
              </a:graphicData>
            </a:graphic>
          </wp:inline>
        </w:drawing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Chars="200" w:firstLine="42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cs="Times New Roman" w:hAnsi="Times New Roman"/>
          <w:color w:val="000000"/>
          <w:sz w:val="21"/>
          <w14:textFill>
            <w14:solidFill>
              <w14:srgbClr w14:val="000000"/>
            </w14:solidFill>
          </w14:textFill>
        </w:rPr>
        <w:drawing>
          <wp:anchor distT="0" distB="0" distL="114300" distR="114300" simplePos="0" relativeHeight="45" behindDoc="0" locked="0" layoutInCell="1" hidden="0" allowOverlap="1">
            <wp:simplePos x="0" y="0"/>
            <wp:positionH relativeFrom="column">
              <wp:posOffset>-27336</wp:posOffset>
            </wp:positionH>
            <wp:positionV relativeFrom="paragraph">
              <wp:posOffset>-5598709</wp:posOffset>
            </wp:positionV>
            <wp:extent cx="5641340" cy="3507740"/>
            <wp:effectExtent l="0" t="0" r="0" b="0"/>
            <wp:wrapTopAndBottom/>
            <wp:docPr id="5" name="图表 22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4"/>
              </a:graphicData>
            </a:graphic>
          </wp:anchor>
        </w:drawing>
      </w:r>
      <w:r>
        <w:rPr>
          <w:rFonts w:ascii="Times New Roman" w:eastAsia="仿宋_GB2312" w:cs="Times New Roman" w:hAnsi="Times New Roman"/>
          <w:color w:val="000000"/>
          <w:sz w:val="21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114298" distR="114298" simplePos="0" relativeHeight="39" behindDoc="0" locked="0" layoutInCell="1" hidden="0" allowOverlap="1">
                <wp:simplePos x="0" y="0"/>
                <wp:positionH relativeFrom="column">
                  <wp:posOffset>4329428</wp:posOffset>
                </wp:positionH>
                <wp:positionV relativeFrom="paragraph">
                  <wp:posOffset>2383785</wp:posOffset>
                </wp:positionV>
                <wp:extent cx="375919" cy="245109"/>
                <wp:effectExtent l="0" t="0" r="0" b="0"/>
                <wp:wrapNone/>
                <wp:docPr id="6" name="文本框 3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919" cy="245109"/>
                        </a:xfrm>
                        <a:prstGeom prst="rect"/>
                        <a:noFill/>
                        <a:ln w="6350" cmpd="sng" cap="flat">
                          <a:noFill/>
                          <a:prstDash val="solid"/>
                          <a:round/>
                        </a:ln>
                      </wps:spPr>
                      <wps:txbx id="7">
                        <w:txbxContent>
                          <w:p>
                            <w:pPr>
                              <w:rPr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31 8" o:spid="_x0000_s8" filled="f" stroked="f" strokeweight="0.5pt" style="position:absolute;margin-left:340.89984pt;margin-top:187.69965pt;width:29.59999pt;height:19.299995pt;z-index:39;mso-position-horizontal:absolute;mso-position-vertical:absolute;mso-wrap-distance-left:8.999863pt;mso-wrap-distance-right:8.999863pt;mso-wrap-style:square;">
                <v:stroke color="#000000"/>
                <v:textbox id="850" inset="2.54mm,1.27mm,2.54mm,1.27mm" o:insetmode="custom" style="layout-flow:horizontal;v-text-anchor:top;">
                  <w:txbxContent>
                    <w:p>
                      <w:pPr>
                        <w:rPr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仿宋_GB2312" w:cs="Times New Roman" w:hAnsi="Times New Roman"/>
          <w:color w:val="000000"/>
          <w:sz w:val="21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114298" distR="114298" simplePos="0" relativeHeight="37" behindDoc="0" locked="0" layoutInCell="1" hidden="0" allowOverlap="1">
                <wp:simplePos x="0" y="0"/>
                <wp:positionH relativeFrom="column">
                  <wp:posOffset>3462665</wp:posOffset>
                </wp:positionH>
                <wp:positionV relativeFrom="paragraph">
                  <wp:posOffset>2272059</wp:posOffset>
                </wp:positionV>
                <wp:extent cx="375919" cy="245110"/>
                <wp:effectExtent l="0" t="0" r="0" b="0"/>
                <wp:wrapNone/>
                <wp:docPr id="9" name="文本框 30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5919" cy="245110"/>
                        </a:xfrm>
                        <a:prstGeom prst="rect"/>
                        <a:noFill/>
                        <a:ln w="6350" cmpd="sng" cap="flat">
                          <a:noFill/>
                          <a:prstDash val="solid"/>
                          <a:round/>
                        </a:ln>
                      </wps:spPr>
                      <wps:txbx id="10">
                        <w:txbxContent>
                          <w:p>
                            <w:pPr>
                              <w:rPr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30 11" o:spid="_x0000_s11" filled="f" stroked="f" strokeweight="0.5pt" style="position:absolute;margin-left:272.65082pt;margin-top:178.90227pt;width:29.59999pt;height:19.300018pt;z-index:37;mso-position-horizontal:absolute;mso-position-vertical:absolute;mso-wrap-distance-left:8.999863pt;mso-wrap-distance-right:8.999863pt;mso-wrap-style:square;">
                <v:stroke color="#000000"/>
                <v:textbox id="851" inset="2.54mm,1.27mm,2.54mm,1.27mm" o:insetmode="custom" style="layout-flow:horizontal;v-text-anchor:top;">
                  <w:txbxContent>
                    <w:p>
                      <w:pPr>
                        <w:rPr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 xml:space="preserve"> 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 xml:space="preserve"> 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民营经济。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截至2024年12月31日，全县共有控股企业87户，注册资金达到289512.7万元，私营企业776户，注册资金达490576.3万元，个体工商户加快发展，现有个体工商户3973户，注册资金138853.4万元，现有农民专业合作社541个，注册资金63885.1万元。实现民营经济增加值167579万元，增长5.1%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 xml:space="preserve">                     二、农业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both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2024年，全县实现农林牧渔业总产值89746.2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万元，同比增长2.0%。其中：农业产值59327.2万元，增长2.3%；林业产值6230.7万元，增长3.51%；畜牧业产值20927万元，下降0.8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%；渔业产值150万元；农林牧渔服务业产值3111.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万元，增长5.5%。全年农林牧渔业增加值55068万元，按可比价计算比上年增长2%。全年农作物播种面积56873亩。其中：粮食作物播种面积23800亩；粮食总产量7436.53吨；蔬菜总产量111822 .15吨；水果总产量15165.87吨，肉类总产量3207.8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吨，其中：牛肉1258吨，羊肉75.78吨，猪肉1775吨，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  <w:highlight w:val="auto"/>
        </w:rPr>
        <w:t>禽肉83.6</w:t>
      </w:r>
      <w:r>
        <w:rPr>
          <w:rFonts w:ascii="Times New Roman" w:eastAsia="仿宋_GB2312" w:cs="Times New Roman" w:hAnsi="Times New Roman" w:hint="eastAsia"/>
          <w:color w:val="auto"/>
          <w:sz w:val="32"/>
          <w:szCs w:val="32"/>
          <w:lang w:val="en-US" w:eastAsia="zh-CN"/>
          <w:highlight w:val="auto"/>
        </w:rPr>
        <w:t>吨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  <w:highlight w:val="auto"/>
        </w:rPr>
        <w:t>；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牛出栏10200头，增长0.05%；牛存栏30053头；猪出栏22710头，下降9.16%，猪存栏24006头；羊出栏4945只，下降14.3%，羊存栏6504只；禽存栏18081（对、只），奶类产量101吨，下降23.31 %。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三、工业和建筑业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/>
        <w:jc w:val="left"/>
        <w:textAlignment w:val="auto"/>
        <w:rPr>
          <w:rFonts w:ascii="Times New Roman" w:eastAsia="仿宋_GB2312" w:cs="Times New Roman" w:hAnsi="Times New Roman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工业生产。</w:t>
      </w:r>
      <w:r>
        <w:rPr>
          <w:rFonts w:ascii="Times New Roman" w:eastAsia="仿宋_GB2312" w:cs="Times New Roman" w:hAnsi="Times New Roman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2024年，实现全部工业增加值128370万元，同比增长2.6%。其中，规模以上工业增加值下降3.9%。主要产品产量：累计发电</w:t>
      </w:r>
      <w:r>
        <w:rPr>
          <w:rFonts w:ascii="Times New Roman" w:eastAsia="仿宋_GB2312" w:cs="Times New Roman" w:hAnsi="Times New Roman" w:hint="eastAsia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量</w:t>
      </w:r>
      <w:r>
        <w:rPr>
          <w:rFonts w:ascii="Times New Roman" w:eastAsia="仿宋_GB2312" w:cs="Times New Roman" w:hAnsi="Times New Roman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424685万千瓦时；工业硅26375吨；高氯酸钾19379.3吨；氯酸钠12550.8吨；高钠 11213.3吨。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60"/>
        <w:jc w:val="left"/>
        <w:textAlignment w:val="auto"/>
        <w:rPr>
          <w:rFonts w:ascii="Times New Roman" w:eastAsia="仿宋_GB2312" w:cs="Times New Roman" w:hAnsi="Times New Roman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工业效益。</w:t>
      </w:r>
      <w:r>
        <w:rPr>
          <w:rFonts w:ascii="Times New Roman" w:eastAsia="仿宋_GB2312" w:cs="Times New Roman" w:hAnsi="Times New Roman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，全县共有规模以上工业企业14户，实现工业总产值160695.8万元，同比下降9.7%。其中：亏损企业4个，亏损额4845万元，下降4.1 %，实现利税总额18533.4万元，下降0.1 %，实现利润总额4496.6万元，下降1.2%；产品销售率达97.</w:t>
      </w:r>
      <w:r>
        <w:rPr>
          <w:rFonts w:ascii="Times New Roman" w:eastAsia="仿宋_GB2312" w:cs="Times New Roman" w:hAnsi="Times New Roman" w:hint="eastAsia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</w:t>
      </w:r>
      <w:r>
        <w:rPr>
          <w:rFonts w:ascii="Times New Roman" w:eastAsia="仿宋_GB2312" w:cs="Times New Roman" w:hAnsi="Times New Roman"/>
          <w:color w:val="000000"/>
          <w:kern w:val="0"/>
          <w:sz w:val="33"/>
          <w:szCs w:val="33"/>
          <w14:textFill>
            <w14:solidFill>
              <w14:srgbClr w14:val="000000"/>
            </w14:solidFill>
          </w14:textFill>
          <w:lang w:val="en-US" w:eastAsia="zh-CN"/>
          <w:highlight w:val="auto"/>
        </w:rPr>
        <w:t>%。</w:t>
      </w:r>
    </w:p>
    <w:p>
      <w:pPr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15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建筑业。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年末，全县具有资质等级的建筑业企业在统计库中的企业23家，全年建筑业企业实现总产值5.74亿元，同比下降16.6%。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</w:rPr>
        <w:drawing>
          <wp:anchor distT="0" distB="0" distL="114300" distR="114300" simplePos="0" relativeHeight="43" behindDoc="0" locked="0" layoutInCell="1" hidden="0" allowOverlap="1">
            <wp:simplePos x="0" y="0"/>
            <wp:positionH relativeFrom="column">
              <wp:posOffset>61530</wp:posOffset>
            </wp:positionH>
            <wp:positionV relativeFrom="paragraph">
              <wp:posOffset>211451</wp:posOffset>
            </wp:positionV>
            <wp:extent cx="5531485" cy="2761615"/>
            <wp:effectExtent l="0" t="0" r="0" b="0"/>
            <wp:wrapNone/>
            <wp:docPr id="12" name="图表 2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5"/>
              </a:graphicData>
            </a:graphic>
          </wp:anchor>
        </w:drawing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ind w:firstLineChars="900" w:firstLine="2880"/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四、固定资产投资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2024年，实现固定资产投资同比增长93.6 %，按投资结构分：基本建设投资增长48.5 %，分产业来看，第一产业投资增长  35.3 %，第二产业投资增长308.2 %，其中，工业投资增长308.2 %；第三产业投资增长 21.5 %。三次产业投资比例为4.4:65.3:30.3 。全年计划总投资在 5000万元以上的项目 11个，完成投资占计划总投资的 84.94 %。</w:t>
      </w:r>
    </w:p>
    <w:p>
      <w:pPr>
        <w:pStyle w:val="15"/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  <w:lang w:val="en-US" w:eastAsia="zh-CN"/>
        </w:rPr>
        <w:drawing>
          <wp:inline distT="0" distB="0" distL="114300" distR="114300">
            <wp:extent cx="5248909" cy="3467100"/>
            <wp:effectExtent l="0" t="0" r="0" b="0"/>
            <wp:docPr id="13" name="图表 2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6"/>
              </a:graphicData>
            </a:graphic>
          </wp:inline>
        </w:drawing>
      </w:r>
    </w:p>
    <w:p>
      <w:pPr>
        <w:pStyle w:val="15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center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五、服务业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 xml:space="preserve"> 2024年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全年实现服务业增加值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17.96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亿元，比上年增长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7.5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%。其中，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批发和零售增加值1.02亿元，增长8.5%；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交通运输仓储和邮政业增加值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0.58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亿元，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增长3.8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%；住宿和餐饮业增加值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2.25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亿元，增长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4.3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%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eastAsia="zh-CN"/>
        </w:rPr>
        <w:t>；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金融业增加值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0.96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亿元，增长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1.6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%；房地产业增加值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1.23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亿元，增长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3.2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%；其他服务业增加值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11.69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亿元，增长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9.4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  <w:t>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2024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全年规模以上服务业企业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户，实现营业收入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23546.1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万元，比上年下降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0.6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交通运输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2024年末，理县二级路（国道317线）133.548公里三级路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</w:rPr>
        <w:t>3.914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公里、四级路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</w:rPr>
        <w:t>636.843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公里。2024年货运周转量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19216.39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万吨公里，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增速3.96%。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客运周转量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10640.99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万人公里。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旅游业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。2024年全县接待游客599.9万人次，旅游综合收入53.92亿元，分别同比增长9.9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%和25.6%。</w:t>
      </w:r>
    </w:p>
    <w:p>
      <w:pPr>
        <w:pStyle w:val="15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</w:rPr>
        <w:drawing>
          <wp:inline distT="0" distB="0" distL="114300" distR="114300">
            <wp:extent cx="5562600" cy="2831465"/>
            <wp:effectExtent l="0" t="0" r="0" b="0"/>
            <wp:docPr id="14" name="图表 7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7"/>
              </a:graphicData>
            </a:graphic>
          </wp:inline>
        </w:drawing>
      </w:r>
    </w:p>
    <w:p>
      <w:pPr>
        <w:pStyle w:val="15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</w:rPr>
        <w:drawing>
          <wp:anchor distT="0" distB="0" distL="114300" distR="114300" simplePos="0" relativeHeight="41" behindDoc="0" locked="0" layoutInCell="1" hidden="0" allowOverlap="1">
            <wp:simplePos x="0" y="0"/>
            <wp:positionH relativeFrom="column">
              <wp:posOffset>128870</wp:posOffset>
            </wp:positionH>
            <wp:positionV relativeFrom="paragraph">
              <wp:posOffset>59054</wp:posOffset>
            </wp:positionV>
            <wp:extent cx="5445123" cy="2755900"/>
            <wp:effectExtent l="0" t="0" r="0" b="0"/>
            <wp:wrapNone/>
            <wp:docPr id="15" name="图表 6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8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:vertAlign w:val="baseline"/>
          <w14:textFill>
            <w14:solidFill>
              <w14:srgbClr w14:val="000000"/>
            </w14:solidFill>
          </w14:textFill>
          <w:lang w:val="en-US" w:eastAsia="zh-CN"/>
        </w:rPr>
        <w:t>六</w:t>
      </w:r>
      <w:r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、国内贸易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60"/>
        <w:jc w:val="left"/>
        <w:textAlignment w:val="auto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消费市场。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实现社会消费品零售总额57730万元，增长5.3 %。按经营单位所在地分，城镇实现零售额21641.7万元，下降14.9%，乡村实现零售额36087.8万元，增长22.8%。按国民经济行业划分零售业35177.1万元，下降6.6%，餐饮业22552.4万元，增长31.5%。</w:t>
      </w:r>
    </w:p>
    <w:p>
      <w:pPr>
        <w:pStyle w:val="15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</w:rPr>
        <w:drawing>
          <wp:inline distT="0" distB="0" distL="114300" distR="114300">
            <wp:extent cx="5627370" cy="3260090"/>
            <wp:effectExtent l="0" t="0" r="0" b="0"/>
            <wp:docPr id="16" name="图表 5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9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900" w:firstLine="2880"/>
        <w:jc w:val="both"/>
        <w:textAlignment w:val="auto"/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100" w:firstLine="3520"/>
        <w:jc w:val="both"/>
        <w:textAlignment w:val="auto"/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七、财政金融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  <w:highlight w:val="auto"/>
        </w:rPr>
        <w:t>财政。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，完成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一般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公共财政预算收入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12076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万元，比上年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增长16.1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%。其中：税收收入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8832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增长11.28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%；非税收入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3244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增长31.66%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。地方公共财政预算支出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150881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  <w:highlight w:val="auto"/>
        </w:rPr>
        <w:t>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7.57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%。其中：社会保障和就业支出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13653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下降3.38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%，住房保障性支出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4713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增长8.10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%，科学技术支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出478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增长46.18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%，一般公共服务支出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21400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2.16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%。</w:t>
      </w:r>
    </w:p>
    <w:p>
      <w:pPr>
        <w:pStyle w:val="15"/>
        <w:rPr>
          <w:rFonts w:ascii="Times New Roman" w:eastAsia="仿宋_GB2312" w:cs="Times New Roman" w:hAnsi="Times New Roman"/>
          <w:color w:val="000000"/>
          <w14:textFill>
            <w14:solidFill>
              <w14:srgbClr w14:val="000000"/>
            </w14:solidFill>
          </w14:textFill>
          <w:lang w:eastAsia="zh-CN"/>
        </w:rPr>
      </w:pPr>
      <w:r>
        <w:rPr>
          <w:rFonts w:ascii="Times New Roman" w:cs="Times New Roman" w:hAnsi="Times New Roman"/>
          <w:color w:val="000000"/>
          <w14:textFill>
            <w14:solidFill>
              <w14:srgbClr w14:val="000000"/>
            </w14:solidFill>
          </w14:textFill>
        </w:rPr>
        <w:drawing>
          <wp:inline distT="0" distB="0" distL="114300" distR="114300">
            <wp:extent cx="5798820" cy="3002280"/>
            <wp:effectExtent l="0" t="0" r="0" b="0"/>
            <wp:docPr id="17" name="图表 5"/>
            <wp:cNvGraphicFramePr>
              <a:graphicFrameLocks noChangeAspect="0"/>
            </wp:cNvGraphicFramePr>
            <a:graphic>
              <a:graphicData uri="http://schemas.openxmlformats.org/drawingml/2006/chart">
                <c:chart xmlns:c="http://schemas.openxmlformats.org/drawingml/2006/chart" r:id="rId10"/>
              </a:graphicData>
            </a:graphic>
          </wp:inline>
        </w:drawing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 xml:space="preserve"> 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金融。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2024年末，全县金融机构各项存款余额41.43亿元，比上年增长5.3%，各项贷款余额29.15亿元，比上年增长7.1%。</w:t>
      </w:r>
    </w:p>
    <w:p>
      <w:pPr>
        <w:jc w:val="left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mc:AlternateContent>
          <mc:Choice Requires="wps">
            <w:drawing>
              <wp:anchor distT="0" distB="0" distL="114298" distR="114298" simplePos="0" relativeHeight="35" behindDoc="0" locked="0" layoutInCell="1" hidden="0" allowOverlap="1">
                <wp:simplePos x="0" y="0"/>
                <wp:positionH relativeFrom="column">
                  <wp:posOffset>422903</wp:posOffset>
                </wp:positionH>
                <wp:positionV relativeFrom="paragraph">
                  <wp:posOffset>485196</wp:posOffset>
                </wp:positionV>
                <wp:extent cx="952" cy="2800351"/>
                <wp:effectExtent l="0" t="0" r="0" b="0"/>
                <wp:wrapNone/>
                <wp:docPr id="18" name="直接箭头连接符 3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1430648" y="5795065"/>
                          <a:ext cx="952" cy="2800351"/>
                        </a:xfrm>
                        <a:prstGeom prst="straightConnector1"/>
                        <a:noFill/>
                        <a:ln w="9525" cmpd="sng" cap="flat">
                          <a:noFill/>
                          <a:prstDash val="solid"/>
                          <a:round/>
                          <a:tailEnd type="arrow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直接箭头连接符 35 19" o:spid="_x0000_s19" filled="f" stroked="f" style="position:absolute;margin-left:33.299484pt;margin-top:38.20442pt;width:0.07498932pt;height:220.50008pt;flip:y;z-index:35;mso-position-horizontal:absolute;mso-position-vertical:absolute;mso-wrap-distance-left:8.999863pt;mso-wrap-distance-right:8.999863pt;">
                <v:stroke color="#000000" endarrow="open"/>
              </v:shape>
            </w:pict>
          </mc:Fallback>
        </mc:AlternateConten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 xml:space="preserve">            </w:t>
      </w:r>
    </w:p>
    <w:p>
      <w:pPr>
        <w:jc w:val="center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八、教育、文化、卫生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教育。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全县共有普通中学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所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其中：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高完中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 xml:space="preserve">1 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所，普通初中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所，教职工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200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人，专任教师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195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人，在校生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1174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（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含高中357人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）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；小学校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所，在校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生1773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人，教职工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339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人，专任教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师329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人，小学学龄儿童入学率达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100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%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；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幼儿园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12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所（含附属幼儿园及村幼），在校学生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805人。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文化。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年末，全县共有文化馆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个，乡镇文化服务中心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个，国有博物馆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个，新华书店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个，公共图书馆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个，图书馆书籍总藏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3.9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万余册，有广播电视台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座，有线电视用户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1021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户，广播、电视人口综合覆盖率分别达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100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%和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100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%。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both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8.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卫生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事业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202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年，全县有卫生机构（含村卫生室及社区卫生服务机构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）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78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个，其中：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二级医疗机构3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所，专业公共卫生机构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所，卫生院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所，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村卫生室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63</w:t>
      </w:r>
      <w:r>
        <w:rPr>
          <w:rFonts w:ascii="Times New Roman" w:eastAsia="仿宋_GB2312" w:cs="Times New Roman" w:hAnsi="Times New Roman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个，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卫生机构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开放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床位数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19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张。卫生技术人员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400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人，其中：</w:t>
      </w:r>
      <w:r>
        <w:rPr>
          <w:rFonts w:ascii="Times New Roman" w:eastAsia="仿宋_GB2312" w:cs="Times New Roman" w:hAnsi="Times New Roman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  <w:highlight w:val="auto"/>
        </w:rPr>
        <w:t>执业（助理）</w:t>
      </w:r>
      <w:r>
        <w:rPr>
          <w:rFonts w:ascii="Times New Roman" w:eastAsia="仿宋_GB2312" w:cs="Times New Roman" w:hAnsi="Times New Roman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医师135人，注册护士121名，每千人</w:t>
      </w:r>
      <w:r>
        <w:rPr>
          <w:rFonts w:ascii="Times New Roman" w:eastAsia="仿宋_GB2312" w:cs="Times New Roman" w:hAnsi="Times New Roman" w:hint="eastAsia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口</w:t>
      </w:r>
      <w:r>
        <w:rPr>
          <w:rFonts w:ascii="Times New Roman" w:eastAsia="仿宋_GB2312" w:cs="Times New Roman" w:hAnsi="Times New Roman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执业（助理）医师3.66人，每千人口注册护士3.28人。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医疗机构病床使用率为31.23%。（其中县级医疗机构病床使用率43.71%，乡镇9.82 %）。深入推进家庭医生签约服务，居民档案建档率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97.89%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。全民健康管理水平有效提升。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九、环境保护和安全生产</w:t>
      </w:r>
    </w:p>
    <w:p>
      <w:pPr>
        <w:keepNext w:val="0"/>
        <w:keepLines w:val="0"/>
        <w:pageBreakBefore w:val="0"/>
        <w:widowControl w:val="0"/>
        <w:pBdr>
          <w:bottom w:val="single" w:sz="4" w:space="28" w:color="FFFFFF"/>
        </w:pBdr>
        <w:tabs>
          <w:tab w:val="left" w:pos="1440"/>
        </w:tabs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76" w:lineRule="exact"/>
        <w:ind w:left="0" w:right="0" w:firstLineChars="200" w:firstLine="640"/>
        <w:textAlignment w:val="auto"/>
        <w:outlineLvl w:val="2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  <w:highlight w:val="auto"/>
        </w:rPr>
        <w:t>生态环境。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生态环境持续改善。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一是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蓝天、碧水、净土保卫战成果持续巩固。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理县空气质量优良天数比率保持100%，PM</w:t>
      </w:r>
      <w:r>
        <w:rPr>
          <w:rFonts w:ascii="Times New Roman" w:eastAsia="仿宋_GB2312" w:cs="Times New Roman" w:hAnsi="Times New Roman"/>
          <w:color w:val="000000"/>
          <w:sz w:val="21"/>
          <w:szCs w:val="21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2.5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平均浓度为7.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微克/立方米，同比改善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28.2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%；空气质量综合指数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1.34，同比改善12.4%，在全省县（市、区）中排名第5位，较2023年上升3名。地表水国控杂谷脑河五里界牌断面保持Ⅱ类及以上水质，水质达标率100%。“双地”安全利用率保持100%，土壤环境质量保持稳定。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二是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全力抓好各级各类环保督察反馈问题整改。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300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项环保督察整改任务，已完成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293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项，持续整改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项，完成年度整改任务。扎实推进生态文明体制改革工作，制定印发《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理县2024年生态文明体制改革工作方案》，稳步有序组织相关部门推进林长制、碳达峰碳中和、地灾全域综合整治等改革任务。</w:t>
      </w:r>
    </w:p>
    <w:p>
      <w:pPr>
        <w:keepNext w:val="0"/>
        <w:keepLines w:val="0"/>
        <w:pageBreakBefore w:val="0"/>
        <w:widowControl w:val="0"/>
        <w:pBdr>
          <w:bottom w:val="single" w:sz="4" w:space="28" w:color="FFFFFF"/>
        </w:pBdr>
        <w:tabs>
          <w:tab w:val="left" w:pos="1440"/>
        </w:tabs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76" w:lineRule="exact"/>
        <w:ind w:left="0" w:right="0" w:firstLineChars="200" w:firstLine="640"/>
        <w:textAlignment w:val="auto"/>
        <w:outlineLvl w:val="2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居住环境。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城乡基础设施建设扎实开展。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扎实推进理县县城停车场建设项目、理县杂谷脑镇推进乡村建设重点基础设施项目等一批市政建设项目。为符合条件的小区楼栋完成加装电梯10部，兑付补贴资金250万元，城市功能进一步改善提升。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乡村面貌显著改善。1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0个乡村振兴示范村完成打造，实施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下孟乡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嘉康村农旅融合发展基础设施提升改造项目、薛城镇较场村推进乡村建设重点基础设施项目、朴头镇朴头村推进乡村建设重点基础设施项目等乡村建设项目。2024年共安排各级各类财政衔接资金1.44亿元，实施项目44个。城乡环境质量提升行动持续开展，实施饮用水源地保护项目，对6个乡镇集中式饮用水源地进行规范化建设和保护。</w:t>
      </w:r>
    </w:p>
    <w:p>
      <w:pPr>
        <w:keepNext w:val="0"/>
        <w:keepLines w:val="0"/>
        <w:pageBreakBefore w:val="0"/>
        <w:widowControl w:val="0"/>
        <w:pBdr>
          <w:bottom w:val="single" w:sz="4" w:space="28" w:color="FFFFFF"/>
        </w:pBdr>
        <w:tabs>
          <w:tab w:val="left" w:pos="1440"/>
        </w:tabs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76" w:lineRule="exact"/>
        <w:ind w:left="0" w:right="0" w:firstLineChars="200" w:firstLine="640"/>
        <w:textAlignment w:val="auto"/>
        <w:outlineLvl w:val="9"/>
        <w:rPr>
          <w:rFonts w:ascii="Times New Roman" w:cs="Times New Roman" w:hAnsi="Times New Roman"/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公共安全。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牢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1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固树立“人民至上、生命至上”的新发展理念，有效化解安全生产风险，全县</w:t>
      </w:r>
      <w:r>
        <w:rPr>
          <w:rFonts w:ascii="Times New Roman" w:eastAsia="仿宋_GB2312" w:cs="Times New Roman" w:hAnsi="Times New Roman"/>
          <w:color w:val="000000"/>
          <w:kern w:val="2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全年未发生较大以上生产安全事故，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1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安全生产形势总体平稳向好。</w:t>
      </w:r>
      <w:r>
        <w:rPr>
          <w:rFonts w:ascii="Times New Roman" w:eastAsia="仿宋_GB2312" w:cs="Times New Roman" w:hAnsi="Times New Roman"/>
          <w:color w:val="000000"/>
          <w:kern w:val="2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全年共组织开展了危险化学品、工贸企业、建筑施工、交通运输、九小场所等重点行业领域的专项整治行动，</w:t>
      </w:r>
      <w:r>
        <w:rPr>
          <w:rFonts w:ascii="Times New Roman" w:eastAsia="仿宋_GB2312" w:cs="Times New Roman" w:hAnsi="Times New Roman" w:hint="eastAsia"/>
          <w:color w:val="000000"/>
          <w:kern w:val="21"/>
          <w:sz w:val="32"/>
          <w:szCs w:val="32"/>
          <w:lang w:val="en-US" w:eastAsia="zh-CN"/>
          <w:highlight w:val="auto"/>
        </w:rPr>
        <w:t>全年排查整治风险隐患945条，同比增加310条，按时整改省州反馈问题180条，整改率100%；查办群众举报问题6条，约谈辖区重点企业5（家）次，下达安全生产执法文书64份，立案查处8起，办结8起，收缴罚款486.4万元</w:t>
      </w:r>
      <w:r>
        <w:rPr>
          <w:rFonts w:ascii="Times New Roman" w:eastAsia="仿宋_GB2312" w:cs="Times New Roman" w:hAnsi="Times New Roman"/>
          <w:color w:val="000000"/>
          <w:kern w:val="21"/>
          <w:sz w:val="32"/>
          <w:szCs w:val="32"/>
          <w:lang w:val="en-US"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pBdr>
          <w:bottom w:val="single" w:sz="4" w:space="28" w:color="FFFFFF"/>
        </w:pBdr>
        <w:tabs>
          <w:tab w:val="left" w:pos="1440"/>
        </w:tabs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76" w:lineRule="exact"/>
        <w:ind w:left="0" w:right="0" w:firstLineChars="200" w:firstLine="420"/>
        <w:textAlignment w:val="auto"/>
        <w:outlineLvl w:val="9"/>
        <w:rPr>
          <w:rFonts w:ascii="Times New Roman" w:cs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1000" w:firstLine="320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  <w:highlight w:val="auto"/>
        </w:rPr>
        <w:t>十、</w:t>
      </w: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乡村振兴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</w:pP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结合县域实际，科学编制《全面推进2024年巩固拓展脱贫攻坚成果同乡村振兴有效衔接工作年度实施方案》，出台了《理县夯基强本专项行动实施方案》，坚决守住不发生规模性返贫的底线，确保脱贫成效得到持续巩固。</w:t>
      </w:r>
      <w:bookmarkStart w:id="0" w:name="_GoBack"/>
      <w:bookmarkEnd w:id="0"/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严格落实“三级网格”管理</w:t>
      </w:r>
      <w:r>
        <w:rPr>
          <w:rFonts w:ascii="Times New Roman" w:eastAsia="仿宋_GB2312" w:cs="Times New Roman" w:hAnsi="Times New Roman" w:hint="eastAsia"/>
          <w:b w:val="0"/>
          <w:bCs w:val="0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，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14:textFill>
            <w14:solidFill>
              <w14:srgbClr w14:val="000000"/>
            </w14:solidFill>
          </w14:textFill>
          <w:lang w:val="en-US" w:eastAsia="zh-CN" w:bidi="ar-SA"/>
        </w:rPr>
        <w:t>不断压紧压实县、乡、村“三级”排查监测和帮扶责任，落实了三级网格长、监管员、监测员、网格员513人。收集处理部门推送风险线索524条。全县累计识别核定监测对象6户15人，有针对性地制定帮扶措施25条，强化精准帮扶。稳定消除风险6户16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800" w:firstLine="256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800" w:firstLine="256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十一、人口</w:t>
      </w: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与城镇化率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全县公安总户数14482户，全县公安户籍人口41610人，其中：男性21153人，占总人口的50.8%，女性 20457人，占总人口的 49.2%；城镇人口8387人，占总人口的20.2%，乡村人口33223人，占总人口的79.8%；藏族22485人，占总人口的54%，羌族14046人，占总人口的33.8%，汉族4830人，占总人口的11.6%，回族 173人，其他民族76人。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 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年末，全县常住人口3.6万人，城镇化率41.67%。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596"/>
        <w:jc w:val="lef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202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年出生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212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人，出生率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5.78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‰，死亡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262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人，死亡率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7.15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‰，人口自然增长率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-1.36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</w:rPr>
        <w:t>‰，符合政策生育率100‰</w:t>
      </w:r>
      <w:r>
        <w:rPr>
          <w:rFonts w:ascii="Times New Roman" w:eastAsia="仿宋_GB2312" w:cs="Times New Roman" w:hAnsi="Times New Roman"/>
          <w:b w:val="0"/>
          <w:bCs w:val="0"/>
          <w:color w:val="000000"/>
          <w:spacing w:val="-11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十二、居民生活与社会保障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城镇居民。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202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年，实现城镇居民人均可支配收入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41366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元，增长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5.4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%，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</w:rPr>
        <w:t>人均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生活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</w:rPr>
        <w:t>消费支出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26908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</w:rPr>
        <w:t>元。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农村居民。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202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年，实现农村居民人均可支配收入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19281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元，增长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6.0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%，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</w:rPr>
        <w:t>人均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生活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</w:rPr>
        <w:t>消费支出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15197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14:textFill>
            <w14:solidFill>
              <w14:srgbClr w14:val="000000"/>
            </w14:solidFill>
          </w14:textFill>
        </w:rPr>
        <w:t>元。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劳动就业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城镇新增就业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422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年末城镇登记失业率为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3.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%以内。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社会保障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。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</w:rPr>
        <w:t>实施积极的就业政策，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安置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</w:rPr>
        <w:t>公益性岗位</w:t>
      </w:r>
      <w:r>
        <w:rPr>
          <w:rFonts w:ascii="Times New Roman" w:eastAsia="仿宋_GB2312" w:cs="Times New Roman" w:hAnsi="Times New Roman" w:hint="eastAsia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220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</w:rPr>
        <w:t>人，输转劳动力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7170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</w:rPr>
        <w:t>人，实现劳务收入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2.7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</w:rPr>
        <w:t>亿元。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highlight w:val="auto"/>
        </w:rPr>
        <w:t>提高义务兵家庭优待金，建立困难退役军人帮扶基金，兑现各类优抚资金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405.05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highlight w:val="auto"/>
        </w:rPr>
        <w:t>万元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lang w:eastAsia="zh-CN"/>
          <w:highlight w:val="auto"/>
        </w:rPr>
        <w:t>（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各类优抚资金包含优抚对象抚恤补助、优抚对象医疗补助、大学生入伍奖励金、立功受奖奖励金、义务兵家庭优待金、困难退役军人关爱帮扶基金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lang w:eastAsia="zh-CN"/>
          <w:highlight w:val="auto"/>
        </w:rPr>
        <w:t>）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仿宋_GB2312" w:cs="Times New Roman" w:hAnsi="Times New Roman"/>
          <w:b w:val="0"/>
          <w:bCs w:val="0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2024年全</w:t>
      </w:r>
      <w:r>
        <w:rPr>
          <w:rFonts w:ascii="Times New Roman" w:eastAsia="仿宋_GB2312" w:cs="Times New Roman" w:hAnsi="Times New Roman" w:hint="eastAsia"/>
          <w:b w:val="0"/>
          <w:bCs w:val="0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县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u w:val="none" w:color="auto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城镇职工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养老保险覆盖人数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14314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人，共征收养老保险费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15327.58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万元，支付养老金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20862.1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  <w:highlight w:val="auto"/>
        </w:rPr>
        <w:t>。（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其中：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企业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职工养老保险参保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6259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人，征收养老保险费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6880.95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万元，按时足额为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3756名企保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退休人员发放养老金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10455.5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万元；机关事业养老保险参保人数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2960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人，征收养老保险费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8446.63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万元，为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1339名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机关事业退休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人员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发放养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老金10406.6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  <w:highlight w:val="auto"/>
        </w:rPr>
        <w:t>）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。</w:t>
      </w:r>
    </w:p>
    <w:p>
      <w:pPr>
        <w:pStyle w:val="15"/>
        <w:ind w:firstLineChars="200" w:firstLine="640"/>
        <w:rPr>
          <w:rFonts w:eastAsia="仿宋_GB2312"/>
          <w:color w:val="000000"/>
          <w:kern w:val="0"/>
          <w:sz w:val="32"/>
          <w:szCs w:val="32"/>
          <w:highlight w:val="auto"/>
        </w:rPr>
      </w:pPr>
      <w:r>
        <w:rPr>
          <w:rFonts w:eastAsia="仿宋_GB2312"/>
          <w:color w:val="000000"/>
          <w:kern w:val="0"/>
          <w:sz w:val="32"/>
          <w:szCs w:val="32"/>
          <w:highlight w:val="auto"/>
        </w:rPr>
        <w:t>2024年全县城乡居民养老保险覆盖人数达15969人，完成参保率95%；社税征缴城乡居民养老保险费7147人，征收养老保险费862.66万元，全年为已符合领取待遇的5513名城乡居民，通过社银系统按月足额发放待遇，1-12月累计发放养老金98030人次，发放养老金待遇1144.45万元。</w:t>
      </w:r>
    </w:p>
    <w:p>
      <w:pPr>
        <w:pStyle w:val="15"/>
        <w:ind w:firstLineChars="200" w:firstLine="640"/>
        <w:rPr>
          <w:rFonts w:eastAsia="仿宋_GB2312" w:hint="eastAsia"/>
          <w:lang w:eastAsia="zh-CN"/>
          <w:highlight w:val="auto"/>
        </w:rPr>
      </w:pPr>
      <w:r>
        <w:rPr>
          <w:rFonts w:eastAsia="仿宋_GB2312"/>
          <w:color w:val="000000"/>
          <w:kern w:val="0"/>
          <w:sz w:val="32"/>
          <w:szCs w:val="32"/>
          <w:highlight w:val="auto"/>
        </w:rPr>
        <w:t>2024年全县城乡居民养老保险覆盖人数达15969人，完成参保率95%；社税征缴城乡居民养老保险费7147人，征收养老保险费862.66万元，全年为已符合领取待遇的5513名城乡居民，通过社银系统按月足额发放待遇，1-12月累计发放养老金98030人次，发放养老金待遇1144.45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  <w:highlight w:val="auto"/>
        </w:rPr>
      </w:pP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截至202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4年12月31日，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工伤保险参保人数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7363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人，征收工伤保险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费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223.87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万元。及时为发生工伤事故的职工及近亲属支付工伤保险各项费286.8元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失业保险参保人数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5153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人，征缴失业保险费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453.10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万元，为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76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名失业人员发放失业保险待遇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80.67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万元，代缴医保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29.8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万元，为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84户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企业发放稳岗补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助69.23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eastAsia="仿宋_GB2312"/>
          <w:color w:val="000000"/>
          <w:sz w:val="32"/>
          <w:szCs w:val="32"/>
          <w:highlight w:val="auto"/>
        </w:rPr>
      </w:pPr>
      <w:r>
        <w:rPr>
          <w:rFonts w:eastAsia="仿宋_GB2312"/>
          <w:color w:val="000000"/>
          <w:sz w:val="32"/>
          <w:szCs w:val="32"/>
          <w:highlight w:val="auto"/>
        </w:rPr>
        <w:t>2024年我县基本医疗保险参保人数共计38404人，其中：职工基本医保参保人数为8636人（在职职工6342人，退休职工2294人），生育保险参保人数6342人；城乡居民基本医保参保人数为29768人。2024年我县征收城镇职工各类医疗保险基金8410.81万元，征收城乡居民个人缴纳部分及县本级财政补助基金1103.33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社会救助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2024年全年享受城镇低保的有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314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户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357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，兑现城镇低保金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4069人次、216.3892万元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，享受农村低保的有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348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户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503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，兑现农村低保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5631人次，256.045万元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，享受农村“特困人员”供养农村197人，其中：其中分散125人，集中72人。发放困难群众临时救助66户264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人次，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37.461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万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>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截至2024年12月在保人数有城镇低保291户331人，农村低保的有337户487人，农村“特困人员”供养190人，其中：分散121人，集中69人。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</w:pPr>
      <w:r>
        <w:rPr>
          <w:rFonts w:ascii="Times New Roman" w:eastAsia="仿宋_GB2312" w:cs="Times New Roman" w:hAnsi="Times New Roman"/>
          <w:color w:val="FF0000"/>
          <w:sz w:val="32"/>
          <w:szCs w:val="32"/>
          <w:highlight w:val="auto"/>
        </w:rPr>
        <w:t xml:space="preserve">            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highlight w:val="auto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Times New Roman" w:eastAsia="楷体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Times New Roman" w:eastAsia="楷体_GB2312" w:cs="Times New Roman" w:hAnsi="Times New Roman"/>
          <w:color w:val="000000"/>
          <w:kern w:val="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注：</w:t>
      </w:r>
    </w:p>
    <w:p>
      <w:pPr>
        <w:pStyle w:val="2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Chars="200" w:firstLine="600"/>
        <w:textAlignment w:val="auto"/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</w:pPr>
      <w:r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  <w:t>1.</w:t>
      </w:r>
      <w:r>
        <w:rPr>
          <w:rFonts w:ascii="Times New Roman" w:eastAsia="楷体_GB2312" w:cs="Times New Roman" w:hAnsi="Times New Roman"/>
          <w:sz w:val="30"/>
          <w:szCs w:val="30"/>
        </w:rPr>
        <w:t>公报中数据均为初步统计数。部分数据因四舍五入的原因，存在总计与分项合计不等的情况，未</w:t>
      </w:r>
      <w:r>
        <w:rPr>
          <w:rFonts w:ascii="Times New Roman" w:eastAsia="楷体_GB2312" w:cs="Times New Roman" w:hAnsi="Times New Roman"/>
          <w:sz w:val="30"/>
          <w:szCs w:val="30"/>
          <w:lang w:eastAsia="zh-CN"/>
        </w:rPr>
        <w:t>做</w:t>
      </w:r>
      <w:r>
        <w:rPr>
          <w:rFonts w:ascii="Times New Roman" w:eastAsia="楷体_GB2312" w:cs="Times New Roman" w:hAnsi="Times New Roman"/>
          <w:sz w:val="30"/>
          <w:szCs w:val="30"/>
        </w:rPr>
        <w:t>机械调整。</w:t>
      </w:r>
    </w:p>
    <w:p>
      <w:pPr>
        <w:pStyle w:val="2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Chars="200" w:firstLine="600"/>
        <w:textAlignment w:val="auto"/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</w:pPr>
      <w:r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  <w:t>2.2020—2023年地区生产总值、工业增加值数据已经按第五次全国经济普查结果进行修订</w:t>
      </w:r>
      <w:r>
        <w:rPr>
          <w:rFonts w:ascii="Times New Roman" w:eastAsia="楷体_GB2312" w:cs="Times New Roman" w:hAnsi="Times New Roman" w:hint="eastAsia"/>
          <w:kern w:val="2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Chars="200" w:firstLine="600"/>
        <w:jc w:val="left"/>
        <w:textAlignment w:val="auto"/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</w:pPr>
      <w:r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  <w:t>3.公报中部分数据为初步统计数，正式数据以《理县领导干部经济手册-2024》为准。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Chars="200" w:firstLine="600"/>
        <w:jc w:val="left"/>
        <w:textAlignment w:val="auto"/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</w:pPr>
      <w:r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  <w:t>4.</w:t>
      </w:r>
      <w:r>
        <w:rPr>
          <w:rFonts w:ascii="Times New Roman" w:eastAsia="楷体_GB2312" w:cs="Times New Roman" w:hAnsi="Times New Roman"/>
          <w:kern w:val="0"/>
          <w:sz w:val="30"/>
          <w:szCs w:val="30"/>
          <w:lang w:val="en-US" w:eastAsia="zh-CN"/>
        </w:rPr>
        <w:t>规模以上工业增加值增速含园区数据，其余细项均不含。工业增加值、工业财务指标增速按可比口径计算。</w:t>
      </w:r>
    </w:p>
    <w:p>
      <w:pPr>
        <w:pStyle w:val="2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Chars="200" w:firstLine="600"/>
        <w:textAlignment w:val="auto"/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</w:pPr>
      <w:r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  <w:t>5.2020—2024年社会消费品零售总额已经按第五次全国经济普查结果进行修订。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Chars="200" w:firstLine="600"/>
        <w:jc w:val="left"/>
        <w:textAlignment w:val="auto"/>
        <w:rPr>
          <w:rFonts w:ascii="Times New Roman" w:eastAsia="楷体_GB2312" w:cs="Times New Roman" w:hAnsi="Times New Roman"/>
          <w:sz w:val="30"/>
          <w:szCs w:val="30"/>
        </w:rPr>
      </w:pPr>
      <w:r>
        <w:rPr>
          <w:rFonts w:ascii="Times New Roman" w:eastAsia="楷体_GB2312" w:cs="Times New Roman" w:hAnsi="Times New Roman"/>
          <w:kern w:val="2"/>
          <w:sz w:val="30"/>
          <w:szCs w:val="30"/>
          <w:lang w:val="en-US" w:eastAsia="zh-CN"/>
        </w:rPr>
        <w:t>6.</w:t>
      </w:r>
      <w:r>
        <w:rPr>
          <w:rFonts w:ascii="Times New Roman" w:eastAsia="楷体_GB2312" w:cs="Times New Roman" w:hAnsi="Times New Roman"/>
          <w:sz w:val="30"/>
          <w:szCs w:val="30"/>
        </w:rPr>
        <w:t>公报中交通运输、金融、</w:t>
      </w:r>
      <w:r>
        <w:rPr>
          <w:rFonts w:ascii="Times New Roman" w:eastAsia="楷体_GB2312" w:cs="Times New Roman" w:hAnsi="Times New Roman"/>
          <w:sz w:val="30"/>
          <w:szCs w:val="30"/>
          <w:lang w:val="en-US" w:eastAsia="zh-CN"/>
        </w:rPr>
        <w:t>市场、</w:t>
      </w:r>
      <w:r>
        <w:rPr>
          <w:rFonts w:ascii="Times New Roman" w:eastAsia="楷体_GB2312" w:cs="Times New Roman" w:hAnsi="Times New Roman"/>
          <w:sz w:val="30"/>
          <w:szCs w:val="30"/>
        </w:rPr>
        <w:t>财政、教育、科技、文化、卫生、</w:t>
      </w:r>
      <w:r>
        <w:rPr>
          <w:rFonts w:ascii="Times New Roman" w:eastAsia="楷体_GB2312" w:cs="Times New Roman" w:hAnsi="Times New Roman" w:hint="eastAsia"/>
          <w:sz w:val="30"/>
          <w:szCs w:val="30"/>
          <w:lang w:val="en-US" w:eastAsia="zh-CN"/>
        </w:rPr>
        <w:t>旅游</w:t>
      </w:r>
      <w:r>
        <w:rPr>
          <w:rFonts w:ascii="Times New Roman" w:eastAsia="楷体_GB2312" w:cs="Times New Roman" w:hAnsi="Times New Roman"/>
          <w:sz w:val="30"/>
          <w:szCs w:val="30"/>
        </w:rPr>
        <w:t>、环境保护、应急管理、社会保障等数据来源于相关部门。</w:t>
      </w:r>
    </w:p>
    <w:p>
      <w:pPr>
        <w:pStyle w:val="2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Chars="200" w:firstLine="600"/>
        <w:textAlignment w:val="auto"/>
        <w:rPr>
          <w:rFonts w:ascii="Times New Roman" w:eastAsia="楷体_GB2312" w:cs="Times New Roman" w:hAnsi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Chars="200" w:firstLine="600"/>
        <w:jc w:val="left"/>
        <w:textAlignment w:val="auto"/>
        <w:rPr>
          <w:rFonts w:ascii="Times New Roman" w:eastAsia="楷体_GB2312" w:cs="Times New Roman" w:hAnsi="Times New Roman"/>
          <w:b/>
          <w:bCs/>
          <w:color w:val="000000"/>
          <w:sz w:val="30"/>
          <w:szCs w:val="30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</w:p>
    <w:sectPr>
      <w:footerReference w:type="default" r:id="rId2"/>
      <w:pgSz w:w="11906" w:h="16838"/>
      <w:pgMar w:top="2098" w:right="1474" w:bottom="1984" w:left="1587" w:header="851" w:footer="992" w:gutter="0"/>
      <w:pgNumType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1"/>
    <w:family w:val="auto"/>
    <w:pitch w:val="variable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ourier New">
    <w:altName w:val="DejaVu Sans"/>
    <w:panose1 w:val="02070309020205020404"/>
    <w:charset w:val="01"/>
    <w:family w:val="modern"/>
    <w:pitch w:val="variable"/>
    <w:sig w:usb0="E0002EFF" w:usb1="C0007843" w:usb2="00000009" w:usb3="00000000" w:csb0="400001FF" w:csb1="FFFF0000"/>
  </w:font>
  <w:font w:name="宋体;SimSun">
    <w:altName w:val="宋体"/>
    <w:panose1 w:val="00000000000000000000"/>
    <w:charset w:val="00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33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52450" cy="204648"/>
              <wp:effectExtent l="0" t="0" r="0" b="0"/>
              <wp:wrapNone/>
              <wp:docPr id="1" name="文本框 5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52450" cy="204648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9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t>—</w: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5 3" o:spid="_x0000_s3" filled="f" stroked="f" strokeweight="0.5pt" style="position:absolute;margin-left:0.0pt;margin-top:0.0pt;width:43.5pt;height:16.114042pt;z-index:33;mso-position-horizontal:center;mso-position-horizontal-relative:margin;mso-position-vertical:absolute;mso-wrap-distance-left:8.999863pt;mso-wrap-distance-right:8.999863pt;mso-wrap-style:none;">
              <v:stroke color="#000000"/>
              <v:textbox id="858" inset="0mm,0mm,0mm,0mm" o:insetmode="custom" style="layout-flow:horizontal;v-text-anchor:top;mso-fit-shape-to-text:t;">
                <w:txbxContent>
                  <w:p>
                    <w:pPr>
                      <w:pStyle w:val="19"/>
                      <w:tabs>
                        <w:tab w:val="center" w:pos="4153"/>
                        <w:tab w:val="right" w:pos="8306"/>
                      </w:tabs>
                    </w:pPr>
                    <w:r>
                      <w:t>—</w: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TEzNGIwZWVjMzU4NTEwNDE1NmM4MjkxMmI4MGI2Mm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after="120"/>
    </w:pPr>
    <w:rPr>
      <w:rFonts w:ascii="Times New Roman" w:cs="Times New Roman" w:hAnsi="Times New Roman"/>
    </w:rPr>
  </w:style>
  <w:style w:type="paragraph" w:styleId="16">
    <w:name w:val="Normal Indent"/>
    <w:basedOn w:val="0"/>
    <w:pPr>
      <w:ind w:firstLineChars="200" w:firstLine="200"/>
    </w:pPr>
  </w:style>
  <w:style w:type="paragraph" w:styleId="17">
    <w:name w:val="Salutation"/>
    <w:basedOn w:val="0"/>
    <w:next w:val="0"/>
  </w:style>
  <w:style w:type="paragraph" w:styleId="18">
    <w:name w:val="Plain Text"/>
    <w:basedOn w:val="0"/>
    <w:rPr>
      <w:rFonts w:ascii="宋体" w:eastAsia="宋体" w:cs="Courier New"/>
      <w:szCs w:val="21"/>
    </w:r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0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1">
    <w:name w:val="footnote text"/>
    <w:basedOn w:val="0"/>
    <w:pPr>
      <w:snapToGrid w:val="0"/>
      <w:jc w:val="left"/>
    </w:pPr>
    <w:rPr>
      <w:rFonts w:ascii="Calibri" w:eastAsia="宋体" w:cs="Times New Roman" w:hAnsi="Calibri"/>
      <w:sz w:val="18"/>
      <w:szCs w:val="18"/>
      <w:lang w:bidi="ar-SA"/>
    </w:rPr>
  </w:style>
  <w:style w:type="paragraph" w:styleId="22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23">
    <w:name w:val="正文1"/>
    <w:next w:val="24"/>
    <w:pPr>
      <w:widowControl w:val="0"/>
      <w:jc w:val="both"/>
    </w:pPr>
    <w:rPr>
      <w:rFonts w:ascii="Calibri" w:eastAsia="宋体;SimSun" w:cs="Calibri" w:hAnsi="Calibri"/>
      <w:kern w:val="2"/>
      <w:sz w:val="21"/>
      <w:szCs w:val="24"/>
      <w:lang w:val="en-US" w:eastAsia="zh-CN" w:bidi="ar-SA"/>
    </w:rPr>
  </w:style>
  <w:style w:type="paragraph" w:customStyle="1" w:styleId="24">
    <w:name w:val="正文2"/>
    <w:basedOn w:val="23"/>
    <w:next w:val="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chart" Target="charts/chart1.xml"/><Relationship Id="rId4" Type="http://schemas.openxmlformats.org/officeDocument/2006/relationships/chart" Target="charts/chart2.xml"/><Relationship Id="rId5" Type="http://schemas.openxmlformats.org/officeDocument/2006/relationships/chart" Target="charts/chart3.xml"/><Relationship Id="rId6" Type="http://schemas.openxmlformats.org/officeDocument/2006/relationships/chart" Target="charts/chart4.xml"/><Relationship Id="rId7" Type="http://schemas.openxmlformats.org/officeDocument/2006/relationships/chart" Target="charts/chart5.xml"/><Relationship Id="rId8" Type="http://schemas.openxmlformats.org/officeDocument/2006/relationships/chart" Target="charts/chart6.xml"/><Relationship Id="rId9" Type="http://schemas.openxmlformats.org/officeDocument/2006/relationships/chart" Target="charts/chart7.xml"/><Relationship Id="rId10" Type="http://schemas.openxmlformats.org/officeDocument/2006/relationships/chart" Target="charts/chart8.xml"/><Relationship Id="rId11" Type="http://schemas.openxmlformats.org/officeDocument/2006/relationships/styles" Target="styles.xml"/><Relationship Id="rId1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char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1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2020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年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-2024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年地区生产总值及其增长速度</a:t>
            </a:r>
          </a:p>
        </c:rich>
      </c:tx>
      <c:layout/>
      <c:overlay val="0"/>
      <c:spPr>
        <a:noFill/>
        <a:ln>
          <a:noFill/>
        </a:ln>
      </c:spPr>
    </c:title>
    <c:autoTitleDeleted val="1"/>
    <c:plotArea>
      <c:layout>
        <c:manualLayout>
          <c:layoutTarget val="inner"/>
          <c:xMode val="edge"/>
          <c:yMode val="edge"/>
          <c:x val="0.11797953"/>
          <c:y val="0.16823147"/>
          <c:w val="0.8249166"/>
          <c:h val="0.61491865"/>
        </c:manualLayout>
      </c:layout>
      <c:barChart>
        <c:barDir val="col"/>
        <c:grouping val="clustered"/>
        <c:varyColors val="0"/>
        <c:ser>
          <c:idx val="0"/>
          <c:order val="0"/>
          <c:tx>
            <c:v>地区生产总值（万元）</c:v>
          </c:tx>
          <c:spPr>
            <a:solidFill>
              <a:srgbClr val="5B9BD5"/>
            </a:solidFill>
            <a:ln w="6350">
              <a:solidFill>
                <a:srgbClr val="41719C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General" sourceLinked="0"/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General</c:formatCode>
                <c:ptCount val="5"/>
                <c:pt idx="0">
                  <c:v>291274.0</c:v>
                </c:pt>
                <c:pt idx="1">
                  <c:v>313994.0</c:v>
                </c:pt>
                <c:pt idx="2">
                  <c:v>323991.0</c:v>
                </c:pt>
                <c:pt idx="3">
                  <c:v>350056.0</c:v>
                </c:pt>
                <c:pt idx="4">
                  <c:v>375704.0</c:v>
                </c:pt>
              </c:numCache>
            </c:numRef>
          </c:val>
        </c:ser>
        <c:overlap val="-27"/>
        <c:gapWidth val="219"/>
        <c:axId val="0"/>
        <c:axId val="1"/>
      </c:barChart>
      <c:lineChart>
        <c:grouping val="standard"/>
        <c:varyColors val="0"/>
        <c:ser>
          <c:idx val="1"/>
          <c:order val="1"/>
          <c:tx>
            <c:v>增长速度（%）</c:v>
          </c:tx>
          <c:spPr>
            <a:ln w="25400">
              <a:solidFill>
                <a:srgbClr val="ED7D31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General" sourceLinked="0"/>
            <c:dLbl>
              <c:idx val="2"/>
              <c:numFmt formatCode="General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0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numFmt formatCode="General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0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General</c:formatCode>
                <c:ptCount val="5"/>
                <c:pt idx="0">
                  <c:v>3.2</c:v>
                </c:pt>
                <c:pt idx="1">
                  <c:v>7.3</c:v>
                </c:pt>
                <c:pt idx="2">
                  <c:v>0.1</c:v>
                </c:pt>
                <c:pt idx="3">
                  <c:v>5.6</c:v>
                </c:pt>
                <c:pt idx="4">
                  <c:v>5.0</c:v>
                </c:pt>
              </c:numCache>
            </c:numRef>
          </c:val>
          <c:smooth val="0"/>
        </c:ser>
        <c:marker val="1"/>
        <c:smooth val="0"/>
        <c:axId val="2"/>
        <c:axId val="3"/>
      </c:lineChart>
      <c:catAx>
        <c:axId val="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>
            <a:solidFill>
              <a:srgbClr val="D9D9D9"/>
            </a:solidFill>
            <a:prstDash val="solid"/>
          </a:ln>
        </c:spPr>
        <c:txPr>
          <a:bodyPr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1"/>
      </c:catAx>
      <c:valAx>
        <c:axId val="1"/>
        <c:scaling>
          <c:orientation val="minMax"/>
        </c:scaling>
        <c:delete val="0"/>
        <c:axPos val="l"/>
        <c:majorGridlines>
          <c:spPr>
            <a:ln w="6350">
              <a:solidFill>
                <a:srgbClr val="D9D9D9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At val="1.0"/>
        <c:crossBetween val="between"/>
        <c:crossAx val="0"/>
      </c:valAx>
      <c:catAx>
        <c:axId val="2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3"/>
      </c:catAx>
      <c:valAx>
        <c:axId val="3"/>
        <c:scaling>
          <c:orientation val="minMax"/>
          <c:max val="15.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max"/>
        <c:crossBetween val="between"/>
        <c:majorUnit val="5.0"/>
        <c:crossAx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2163889"/>
          <c:y val="0.89351004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635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2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2020-2024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年三次产业增加值占地区生产总值比重（经普修订后数据）</a:t>
            </a:r>
          </a:p>
        </c:rich>
      </c:tx>
      <c:layout>
        <c:manualLayout>
          <c:xMode val="edge"/>
          <c:yMode val="edge"/>
          <c:x val="0.1410625"/>
          <c:y val="0.035433795"/>
        </c:manualLayout>
      </c:layout>
      <c:overlay val="0"/>
      <c:spPr>
        <a:noFill/>
        <a:ln>
          <a:noFill/>
        </a:ln>
      </c:spPr>
    </c:title>
    <c:autoTitleDeleted val="1"/>
    <c:plotArea>
      <c:layout>
        <c:manualLayout>
          <c:layoutTarget val="inner"/>
          <c:xMode val="edge"/>
          <c:yMode val="edge"/>
          <c:x val="0.1102"/>
          <c:y val="0.194"/>
          <c:w val="0.864175"/>
          <c:h val="0.649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'Sheet1'!$B$1</c:f>
              <c:strCache>
                <c:ptCount val="1"/>
                <c:pt idx="0">
                  <c:v>第一产业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General" sourceLinked="1"/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'Sheet1'!$A$2:$A$6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'Sheet1'!$B$2:$B$6</c:f>
              <c:numCache>
                <c:formatCode>General</c:formatCode>
                <c:ptCount val="5"/>
                <c:pt idx="0">
                  <c:v>13.9</c:v>
                </c:pt>
                <c:pt idx="1">
                  <c:v>13.9</c:v>
                </c:pt>
                <c:pt idx="2">
                  <c:v>13.0</c:v>
                </c:pt>
                <c:pt idx="3">
                  <c:v>12.9</c:v>
                </c:pt>
                <c:pt idx="4">
                  <c:v>14.1</c:v>
                </c:pt>
              </c:numCache>
            </c:numRef>
          </c:val>
        </c:ser>
        <c:ser>
          <c:idx val="1"/>
          <c:order val="1"/>
          <c:tx>
            <c:strRef>
              <c:f>'Sheet1'!$C$1</c:f>
              <c:strCache>
                <c:ptCount val="1"/>
                <c:pt idx="0">
                  <c:v>第二产业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General" sourceLinked="1"/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'Sheet1'!$A$2:$A$6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'Sheet1'!$C$2:$C$6</c:f>
              <c:numCache>
                <c:formatCode>General</c:formatCode>
                <c:ptCount val="5"/>
                <c:pt idx="0">
                  <c:v>34.5</c:v>
                </c:pt>
                <c:pt idx="1">
                  <c:v>37.2</c:v>
                </c:pt>
                <c:pt idx="2">
                  <c:v>37.6</c:v>
                </c:pt>
                <c:pt idx="3">
                  <c:v>39.7</c:v>
                </c:pt>
                <c:pt idx="4">
                  <c:v>38.1</c:v>
                </c:pt>
              </c:numCache>
            </c:numRef>
          </c:val>
        </c:ser>
        <c:ser>
          <c:idx val="2"/>
          <c:order val="2"/>
          <c:tx>
            <c:strRef>
              <c:f>'Sheet1'!$D$1</c:f>
              <c:strCache>
                <c:ptCount val="1"/>
                <c:pt idx="0">
                  <c:v>第三产业</c:v>
                </c:pt>
              </c:strCache>
            </c:strRef>
          </c:tx>
          <c:spPr>
            <a:solidFill>
              <a:srgbClr val="9DC3E6"/>
            </a:solidFill>
            <a:ln w="6350">
              <a:solidFill>
                <a:srgbClr val="9DC3E6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General" sourceLinked="1"/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'Sheet1'!$A$2:$A$6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'Sheet1'!$D$2:$D$6</c:f>
              <c:numCache>
                <c:formatCode>General</c:formatCode>
                <c:ptCount val="5"/>
                <c:pt idx="0">
                  <c:v>51.6</c:v>
                </c:pt>
                <c:pt idx="1">
                  <c:v>48.9</c:v>
                </c:pt>
                <c:pt idx="2">
                  <c:v>49.4</c:v>
                </c:pt>
                <c:pt idx="3">
                  <c:v>47.4</c:v>
                </c:pt>
                <c:pt idx="4">
                  <c:v>47.8</c:v>
                </c:pt>
              </c:numCache>
            </c:numRef>
          </c:val>
        </c:ser>
        <c:ser>
          <c:idx val="3"/>
          <c:order val="3"/>
          <c:tx>
            <c:strRef>
              <c:f>'Sheet1'!$E$1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General" sourceLinked="1"/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'Sheet1'!$A$2:$A$6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'Sheet1'!$E$2:$E$6</c:f>
              <c:numCache>
                <c:formatCode>General</c:formatCode>
                <c:ptCount val="5"/>
              </c:numCache>
            </c:numRef>
          </c:val>
        </c:ser>
        <c:overlap val="100"/>
        <c:gapWidth val="150"/>
        <c:axId val="0"/>
        <c:axId val="1"/>
      </c:barChart>
      <c:catAx>
        <c:axId val="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solidFill>
              <a:srgbClr val="D9D9D9"/>
            </a:solidFill>
            <a:prstDash val="solid"/>
          </a:ln>
        </c:spPr>
        <c:txPr>
          <a:bodyPr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1"/>
      </c:catAx>
      <c:valAx>
        <c:axId val="1"/>
        <c:scaling>
          <c:orientation val="minMax"/>
        </c:scaling>
        <c:delete val="0"/>
        <c:axPos val="l"/>
        <c:majorGridlines>
          <c:spPr>
            <a:ln w="6350">
              <a:solidFill>
                <a:srgbClr val="D9D9D9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At val="1.0"/>
        <c:crossBetween val="between"/>
        <c:crossAx val="0"/>
      </c:valAx>
      <c:spPr>
        <a:noFill/>
        <a:ln w="25400">
          <a:solidFill>
            <a:srgbClr val="000000"/>
          </a:solidFill>
          <a:prstDash val="solid"/>
        </a:ln>
      </c:spPr>
    </c:plotArea>
    <c:legend>
      <c:legendPos val="b"/>
      <c:layout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6350">
      <a:solidFill>
        <a:srgbClr val="FFFFFF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4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2020-2024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年建筑业产值及增速</a:t>
            </a:r>
          </a:p>
        </c:rich>
      </c:tx>
      <c:layout>
        <c:manualLayout>
          <c:xMode val="edge"/>
          <c:yMode val="edge"/>
          <c:x val="0.2746416"/>
          <c:y val="0.04443157"/>
        </c:manualLayout>
      </c:layout>
      <c:overlay val="0"/>
      <c:spPr>
        <a:noFill/>
        <a:ln>
          <a:noFill/>
        </a:ln>
      </c:spPr>
    </c:title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建筑业产值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>
              <c:idx val="0"/>
              <c:layout>
                <c:manualLayout>
                  <c:x val="0.012350035"/>
                  <c:y val="0.15053524"/>
                </c:manualLayout>
              </c:layout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0.0_ </c:formatCode>
                <c:ptCount val="5"/>
                <c:pt idx="0">
                  <c:v>71308.7</c:v>
                </c:pt>
                <c:pt idx="1">
                  <c:v>64384.9</c:v>
                </c:pt>
                <c:pt idx="2">
                  <c:v>80400.0</c:v>
                </c:pt>
                <c:pt idx="3">
                  <c:v>68787.3</c:v>
                </c:pt>
                <c:pt idx="4">
                  <c:v>57385.7</c:v>
                </c:pt>
              </c:numCache>
            </c:numRef>
          </c:val>
        </c:ser>
        <c:overlap val="-27"/>
        <c:gapWidth val="219"/>
        <c:axId val="0"/>
        <c:axId val="1"/>
      </c:barChart>
      <c:lineChart>
        <c:grouping val="standard"/>
        <c:varyColors val="0"/>
        <c:ser>
          <c:idx val="1"/>
          <c:order val="1"/>
          <c:tx>
            <c:v>增速%</c:v>
          </c:tx>
          <c:spPr>
            <a:ln w="25400">
              <a:solidFill>
                <a:srgbClr val="ED7D31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>
              <c:idx val="0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0.0_ </c:formatCode>
                <c:ptCount val="5"/>
                <c:pt idx="0">
                  <c:v>33.4</c:v>
                </c:pt>
                <c:pt idx="1">
                  <c:v>-9.7</c:v>
                </c:pt>
                <c:pt idx="2">
                  <c:v>24.7</c:v>
                </c:pt>
                <c:pt idx="3">
                  <c:v>-14.3</c:v>
                </c:pt>
                <c:pt idx="4">
                  <c:v>-16.58</c:v>
                </c:pt>
              </c:numCache>
            </c:numRef>
          </c:val>
          <c:smooth val="0"/>
        </c:ser>
        <c:marker val="1"/>
        <c:smooth val="0"/>
        <c:axId val="2"/>
        <c:axId val="3"/>
      </c:lineChart>
      <c:catAx>
        <c:axId val="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>
            <a:solidFill>
              <a:srgbClr val="D9D9D9"/>
            </a:solidFill>
            <a:prstDash val="solid"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1"/>
      </c:catAx>
      <c:valAx>
        <c:axId val="1"/>
        <c:scaling>
          <c:orientation val="minMax"/>
        </c:scaling>
        <c:delete val="0"/>
        <c:axPos val="l"/>
        <c:majorGridlines>
          <c:spPr>
            <a:ln w="6350">
              <a:solidFill>
                <a:srgbClr val="D9D9D9"/>
              </a:solidFill>
              <a:prstDash val="solid"/>
            </a:ln>
          </c:spPr>
        </c:majorGridlines>
        <c:numFmt formatCode="0.0_ 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At val="1.0"/>
        <c:crossBetween val="between"/>
        <c:crossAx val="0"/>
      </c:valAx>
      <c:catAx>
        <c:axId val="2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3"/>
      </c:catAx>
      <c:valAx>
        <c:axId val="3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max"/>
        <c:crossBetween val="between"/>
        <c:crossAx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36130017"/>
          <c:y val="0.8925849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900" b="1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  <c:legendEntry>
        <c:idx val="1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</c:legend>
    <c:plotVisOnly val="1"/>
    <c:dispBlanksAs val="gap"/>
    <c:showDLblsOverMax val="0"/>
  </c:chart>
  <c:spPr>
    <a:solidFill>
      <a:srgbClr val="FFFFFF"/>
    </a:solidFill>
    <a:ln w="6350">
      <a:solidFill>
        <a:srgbClr val="D9D9D9"/>
      </a:solidFill>
      <a:prstDash val="solid"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5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2024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年度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三次产业占投资比例</a:t>
            </a:r>
            <a:r>
              <a:rPr lang="zh-CN" sz="14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rPr>
              <a:t>%</a:t>
            </a:r>
          </a:p>
        </c:rich>
      </c:tx>
      <c:layout>
        <c:manualLayout>
          <c:xMode val="edge"/>
          <c:yMode val="edge"/>
          <c:x val="0.23014069"/>
          <c:y val="0.05257837"/>
        </c:manualLayout>
      </c:layout>
      <c:overlay val="0"/>
      <c:spPr>
        <a:noFill/>
        <a:ln>
          <a:noFill/>
        </a:ln>
      </c:spPr>
    </c:title>
    <c:autoTitleDeleted val="1"/>
    <c:plotArea>
      <c:layout/>
      <c:pieChart>
        <c:varyColors val="1"/>
        <c:ser>
          <c:idx val="0"/>
          <c:order val="0"/>
          <c:tx>
            <c:strRef>
              <c:f>'Sheet1 (2)'!$B$1</c:f>
              <c:strCache>
                <c:ptCount val="1"/>
                <c:pt idx="0">
                  <c:v>占比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explosion val="0"/>
            <c:spPr>
              <a:solidFill>
                <a:srgbClr val="5B9BD5"/>
              </a:solidFill>
              <a:ln w="19050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19050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19050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0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0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0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  <c:showLeaderLines val="1"/>
          </c:dLbls>
          <c:cat>
            <c:strRef>
              <c:f>'Sheet1 (2)'!$A$2:$A$4</c:f>
              <c:strCache>
                <c:ptCount val="3"/>
                <c:pt idx="0">
                  <c:v>第一产业</c:v>
                </c:pt>
                <c:pt idx="1">
                  <c:v>第二产业</c:v>
                </c:pt>
                <c:pt idx="2">
                  <c:v>第三产业</c:v>
                </c:pt>
              </c:strCache>
            </c:strRef>
          </c:cat>
          <c:val>
            <c:numRef>
              <c:f>'Sheet1 (2)'!$B$2:$B$4</c:f>
              <c:numCache>
                <c:formatCode>General</c:formatCode>
                <c:ptCount val="3"/>
                <c:pt idx="0">
                  <c:v>4.4</c:v>
                </c:pt>
                <c:pt idx="1">
                  <c:v>65.3</c:v>
                </c:pt>
                <c:pt idx="2">
                  <c:v>30.3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layout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635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5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2020-2024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年旅游总收入及增速</a:t>
            </a:r>
          </a:p>
        </c:rich>
      </c:tx>
      <c:layout>
        <c:manualLayout>
          <c:xMode val="edge"/>
          <c:yMode val="edge"/>
          <c:x val="0.2640411"/>
          <c:y val="0.02354788"/>
        </c:manualLayout>
      </c:layout>
      <c:overlay val="0"/>
      <c:spPr>
        <a:noFill/>
        <a:ln>
          <a:noFill/>
        </a:ln>
      </c:spPr>
    </c:title>
    <c:autoTitleDeleted val="1"/>
    <c:plotArea>
      <c:layout>
        <c:manualLayout>
          <c:layoutTarget val="inner"/>
          <c:xMode val="edge"/>
          <c:yMode val="edge"/>
          <c:x val="0.08538141"/>
          <c:y val="0.17648396"/>
          <c:w val="0.83048546"/>
          <c:h val="0.612554"/>
        </c:manualLayout>
      </c:layout>
      <c:barChart>
        <c:barDir val="col"/>
        <c:grouping val="clustered"/>
        <c:varyColors val="0"/>
        <c:ser>
          <c:idx val="0"/>
          <c:order val="0"/>
          <c:tx>
            <c:v>旅游总收入（亿元）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0.0_ </c:formatCode>
                <c:ptCount val="5"/>
                <c:pt idx="0">
                  <c:v>39.3</c:v>
                </c:pt>
                <c:pt idx="1">
                  <c:v>47.3</c:v>
                </c:pt>
                <c:pt idx="2">
                  <c:v>40.0</c:v>
                </c:pt>
                <c:pt idx="3">
                  <c:v>42.9</c:v>
                </c:pt>
                <c:pt idx="4">
                  <c:v>59.92</c:v>
                </c:pt>
              </c:numCache>
            </c:numRef>
          </c:val>
        </c:ser>
        <c:overlap val="-27"/>
        <c:gapWidth val="219"/>
        <c:axId val="0"/>
        <c:axId val="1"/>
      </c:barChart>
      <c:lineChart>
        <c:grouping val="standard"/>
        <c:varyColors val="0"/>
        <c:ser>
          <c:idx val="1"/>
          <c:order val="1"/>
          <c:tx>
            <c:v>增速%</c:v>
          </c:tx>
          <c:spPr>
            <a:ln w="25400">
              <a:solidFill>
                <a:srgbClr val="ED7D31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>
              <c:idx val="1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0.0_ </c:formatCode>
                <c:ptCount val="5"/>
                <c:pt idx="0">
                  <c:v>-3.2</c:v>
                </c:pt>
                <c:pt idx="1">
                  <c:v>20.1</c:v>
                </c:pt>
                <c:pt idx="2">
                  <c:v>-15.0</c:v>
                </c:pt>
                <c:pt idx="3">
                  <c:v>27.9</c:v>
                </c:pt>
                <c:pt idx="4">
                  <c:v>25.6</c:v>
                </c:pt>
              </c:numCache>
            </c:numRef>
          </c:val>
          <c:smooth val="0"/>
        </c:ser>
        <c:marker val="1"/>
        <c:smooth val="0"/>
        <c:axId val="2"/>
        <c:axId val="3"/>
      </c:lineChart>
      <c:catAx>
        <c:axId val="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>
            <a:solidFill>
              <a:srgbClr val="D9D9D9"/>
            </a:solidFill>
            <a:prstDash val="solid"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1"/>
      </c:catAx>
      <c:valAx>
        <c:axId val="1"/>
        <c:scaling>
          <c:orientation val="minMax"/>
        </c:scaling>
        <c:delete val="0"/>
        <c:axPos val="l"/>
        <c:majorGridlines>
          <c:spPr>
            <a:ln w="6350">
              <a:solidFill>
                <a:srgbClr val="D9D9D9"/>
              </a:solidFill>
              <a:prstDash val="solid"/>
            </a:ln>
          </c:spPr>
        </c:majorGridlines>
        <c:numFmt formatCode="0.0_ 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At val="1.0"/>
        <c:crossBetween val="between"/>
        <c:crossAx val="0"/>
      </c:valAx>
      <c:catAx>
        <c:axId val="2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3"/>
      </c:catAx>
      <c:valAx>
        <c:axId val="3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max"/>
        <c:crossBetween val="between"/>
        <c:crossAx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36305225"/>
          <c:y val="0.8961284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900" b="1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  <c:legendEntry>
        <c:idx val="1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</c:legend>
    <c:plotVisOnly val="1"/>
    <c:dispBlanksAs val="gap"/>
    <c:showDLblsOverMax val="0"/>
  </c:chart>
  <c:spPr>
    <a:solidFill>
      <a:srgbClr val="FFFFFF"/>
    </a:solidFill>
    <a:ln w="6350">
      <a:solidFill>
        <a:srgbClr val="D9D9D9"/>
      </a:solidFill>
      <a:prstDash val="solid"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6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2020-2024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年游客接待量及增速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
</a:t>
            </a:r>
          </a:p>
        </c:rich>
      </c:tx>
      <c:layout>
        <c:manualLayout>
          <c:xMode val="edge"/>
          <c:yMode val="edge"/>
          <c:x val="0.26069972"/>
          <c:y val="0.020737328"/>
        </c:manualLayout>
      </c:layout>
      <c:overlay val="0"/>
      <c:spPr>
        <a:noFill/>
        <a:ln>
          <a:noFill/>
        </a:ln>
      </c:spPr>
    </c:title>
    <c:autoTitleDeleted val="1"/>
    <c:plotArea>
      <c:layout>
        <c:manualLayout>
          <c:layoutTarget val="inner"/>
          <c:xMode val="edge"/>
          <c:yMode val="edge"/>
          <c:x val="0.12068438"/>
          <c:y val="0.1692042"/>
          <c:w val="0.79201555"/>
          <c:h val="0.61173517"/>
        </c:manualLayout>
      </c:layout>
      <c:barChart>
        <c:barDir val="col"/>
        <c:grouping val="clustered"/>
        <c:varyColors val="0"/>
        <c:ser>
          <c:idx val="0"/>
          <c:order val="0"/>
          <c:tx>
            <c:v>游客接待量（万）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0.0_ </c:formatCode>
                <c:ptCount val="5"/>
                <c:pt idx="0">
                  <c:v>552.78</c:v>
                </c:pt>
                <c:pt idx="1">
                  <c:v>613.0</c:v>
                </c:pt>
                <c:pt idx="2">
                  <c:v>516.4</c:v>
                </c:pt>
                <c:pt idx="3">
                  <c:v>545.97</c:v>
                </c:pt>
                <c:pt idx="4">
                  <c:v>599.94</c:v>
                </c:pt>
              </c:numCache>
            </c:numRef>
          </c:val>
        </c:ser>
        <c:overlap val="-27"/>
        <c:gapWidth val="219"/>
        <c:axId val="0"/>
        <c:axId val="1"/>
      </c:barChart>
      <c:lineChart>
        <c:grouping val="standard"/>
        <c:varyColors val="0"/>
        <c:ser>
          <c:idx val="1"/>
          <c:order val="1"/>
          <c:tx>
            <c:v>增速%</c:v>
          </c:tx>
          <c:spPr>
            <a:ln w="25400">
              <a:solidFill>
                <a:srgbClr val="ED7D31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>
              <c:idx val="0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0.0_ </c:formatCode>
                <c:ptCount val="5"/>
                <c:pt idx="0">
                  <c:v>-4.8</c:v>
                </c:pt>
                <c:pt idx="1">
                  <c:v>11.0</c:v>
                </c:pt>
                <c:pt idx="2">
                  <c:v>-19.0</c:v>
                </c:pt>
                <c:pt idx="3">
                  <c:v>25.1</c:v>
                </c:pt>
                <c:pt idx="4">
                  <c:v>9.9</c:v>
                </c:pt>
              </c:numCache>
            </c:numRef>
          </c:val>
          <c:smooth val="0"/>
        </c:ser>
        <c:marker val="1"/>
        <c:smooth val="0"/>
        <c:axId val="2"/>
        <c:axId val="3"/>
      </c:lineChart>
      <c:catAx>
        <c:axId val="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>
            <a:solidFill>
              <a:srgbClr val="D9D9D9"/>
            </a:solidFill>
            <a:prstDash val="solid"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1"/>
      </c:catAx>
      <c:valAx>
        <c:axId val="1"/>
        <c:scaling>
          <c:orientation val="minMax"/>
        </c:scaling>
        <c:delete val="0"/>
        <c:axPos val="l"/>
        <c:majorGridlines>
          <c:spPr>
            <a:ln w="6350">
              <a:solidFill>
                <a:srgbClr val="D9D9D9"/>
              </a:solidFill>
              <a:prstDash val="solid"/>
            </a:ln>
          </c:spPr>
        </c:majorGridlines>
        <c:numFmt formatCode="0.0_ 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At val="1.0"/>
        <c:crossBetween val="between"/>
        <c:crossAx val="0"/>
      </c:valAx>
      <c:catAx>
        <c:axId val="2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3"/>
      </c:catAx>
      <c:valAx>
        <c:axId val="3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max"/>
        <c:crossBetween val="between"/>
        <c:crossAx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33825567"/>
          <c:y val="0.8921435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900" b="1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  <c:legendEntry>
        <c:idx val="1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</c:legend>
    <c:plotVisOnly val="1"/>
    <c:dispBlanksAs val="gap"/>
    <c:showDLblsOverMax val="0"/>
  </c:chart>
  <c:spPr>
    <a:solidFill>
      <a:srgbClr val="FFFFFF"/>
    </a:solidFill>
    <a:ln w="6350">
      <a:solidFill>
        <a:srgbClr val="D9D9D9"/>
      </a:solidFill>
      <a:prstDash val="solid"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7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2020-2024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年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社消零总量及增速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
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（经普修订后数据）</a:t>
            </a:r>
          </a:p>
        </c:rich>
      </c:tx>
      <c:layout>
        <c:manualLayout>
          <c:xMode val="edge"/>
          <c:yMode val="edge"/>
          <c:x val="0.29473796"/>
          <c:y val="0.012643586"/>
        </c:manualLayout>
      </c:layout>
      <c:overlay val="0"/>
      <c:spPr>
        <a:noFill/>
        <a:ln>
          <a:noFill/>
        </a:ln>
      </c:spPr>
    </c:title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社消零总量（万元）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General" sourceLinked="0"/>
            <c:dLbl>
              <c:idx val="3"/>
              <c:layout>
                <c:manualLayout>
                  <c:x val="0.0016926202"/>
                  <c:y val="0.17530191"/>
                </c:manualLayout>
              </c:layout>
              <c:numFmt formatCode="General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General</c:formatCode>
                <c:ptCount val="5"/>
                <c:pt idx="0">
                  <c:v>48143.8</c:v>
                </c:pt>
                <c:pt idx="1">
                  <c:v>53248.0</c:v>
                </c:pt>
                <c:pt idx="2">
                  <c:v>51237.2</c:v>
                </c:pt>
                <c:pt idx="3">
                  <c:v>54824.0</c:v>
                </c:pt>
                <c:pt idx="4">
                  <c:v>57730.0</c:v>
                </c:pt>
              </c:numCache>
            </c:numRef>
          </c:val>
        </c:ser>
        <c:overlap val="-27"/>
        <c:gapWidth val="219"/>
        <c:axId val="0"/>
        <c:axId val="1"/>
      </c:barChart>
      <c:lineChart>
        <c:grouping val="standard"/>
        <c:varyColors val="0"/>
        <c:ser>
          <c:idx val="1"/>
          <c:order val="1"/>
          <c:tx>
            <c:v>增速%</c:v>
          </c:tx>
          <c:spPr>
            <a:ln w="25400">
              <a:solidFill>
                <a:srgbClr val="ED7D31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>
              <c:idx val="2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General</c:formatCode>
                <c:ptCount val="5"/>
                <c:pt idx="0">
                  <c:v>-5.3</c:v>
                </c:pt>
                <c:pt idx="1">
                  <c:v>10.6</c:v>
                </c:pt>
                <c:pt idx="2">
                  <c:v>-3.8</c:v>
                </c:pt>
                <c:pt idx="3">
                  <c:v>7.0</c:v>
                </c:pt>
                <c:pt idx="4">
                  <c:v>5.3</c:v>
                </c:pt>
              </c:numCache>
            </c:numRef>
          </c:val>
          <c:smooth val="0"/>
        </c:ser>
        <c:marker val="1"/>
        <c:smooth val="0"/>
        <c:axId val="2"/>
        <c:axId val="3"/>
      </c:lineChart>
      <c:catAx>
        <c:axId val="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>
            <a:solidFill>
              <a:srgbClr val="D9D9D9"/>
            </a:solidFill>
            <a:prstDash val="solid"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1"/>
      </c:catAx>
      <c:valAx>
        <c:axId val="1"/>
        <c:scaling>
          <c:orientation val="minMax"/>
        </c:scaling>
        <c:delete val="0"/>
        <c:axPos val="l"/>
        <c:majorGridlines>
          <c:spPr>
            <a:ln w="6350">
              <a:solidFill>
                <a:srgbClr val="D9D9D9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At val="1.0"/>
        <c:crossBetween val="between"/>
        <c:crossAx val="0"/>
      </c:valAx>
      <c:catAx>
        <c:axId val="2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3"/>
      </c:catAx>
      <c:valAx>
        <c:axId val="3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max"/>
        <c:crossBetween val="between"/>
        <c:crossAx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31629816"/>
          <c:y val="0.89443815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900" b="1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  <c:legendEntry>
        <c:idx val="1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</c:legend>
    <c:plotVisOnly val="1"/>
    <c:dispBlanksAs val="gap"/>
    <c:showDLblsOverMax val="0"/>
  </c:chart>
  <c:spPr>
    <a:solidFill>
      <a:srgbClr val="FFFFFF"/>
    </a:solidFill>
    <a:ln w="6350">
      <a:solidFill>
        <a:srgbClr val="D9D9D9"/>
      </a:solidFill>
      <a:prstDash val="solid"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宋体"/>
                <a:cs typeface="Lucida Sans"/>
              </a:defRPr>
            </a:pP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  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图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8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：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2020-2024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年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
</a:t>
            </a:r>
            <a:r>
              <a:rPr lang="zh-CN" sz="14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rPr>
              <a:t>一般公共预算收入及增速</a:t>
            </a:r>
          </a:p>
        </c:rich>
      </c:tx>
      <c:layout>
        <c:manualLayout>
          <c:xMode val="edge"/>
          <c:yMode val="edge"/>
          <c:x val="0.3262973"/>
          <c:y val="0.027253006"/>
        </c:manualLayout>
      </c:layout>
      <c:overlay val="0"/>
      <c:spPr>
        <a:noFill/>
        <a:ln>
          <a:noFill/>
        </a:ln>
      </c:spPr>
    </c:title>
    <c:autoTitleDeleted val="1"/>
    <c:plotArea>
      <c:layout>
        <c:manualLayout>
          <c:layoutTarget val="inner"/>
          <c:xMode val="edge"/>
          <c:yMode val="edge"/>
          <c:x val="0.079774424"/>
          <c:y val="0.25287092"/>
          <c:w val="0.85259736"/>
          <c:h val="0.5315572"/>
        </c:manualLayout>
      </c:layout>
      <c:barChart>
        <c:barDir val="col"/>
        <c:grouping val="clustered"/>
        <c:varyColors val="0"/>
        <c:ser>
          <c:idx val="0"/>
          <c:order val="0"/>
          <c:tx>
            <c:v>一般公共预算收入（万元）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_);[Red](0)" sourceLinked="0"/>
            <c:dLbl>
              <c:idx val="0"/>
              <c:layout>
                <c:manualLayout>
                  <c:x val="0.013077188"/>
                  <c:y val="0.027113466"/>
                </c:manualLayout>
              </c:layout>
              <c:numFmt formatCode="0_);[Red](0)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numFmt formatCode="0_);[Red](0)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0048801647"/>
                  <c:y val="0.16536517"/>
                </c:manualLayout>
              </c:layout>
              <c:numFmt formatCode="0_);[Red](0)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0048801647"/>
                  <c:y val="0.16192007"/>
                </c:manualLayout>
              </c:layout>
              <c:numFmt formatCode="0_);[Red](0)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0_);[Red](0)</c:formatCode>
                <c:ptCount val="5"/>
                <c:pt idx="0">
                  <c:v>12003.0</c:v>
                </c:pt>
                <c:pt idx="1">
                  <c:v>12914.0</c:v>
                </c:pt>
                <c:pt idx="2">
                  <c:v>9688.0</c:v>
                </c:pt>
                <c:pt idx="3">
                  <c:v>10400.0</c:v>
                </c:pt>
                <c:pt idx="4">
                  <c:v>12076.0</c:v>
                </c:pt>
              </c:numCache>
            </c:numRef>
          </c:val>
        </c:ser>
        <c:overlap val="-27"/>
        <c:gapWidth val="219"/>
        <c:axId val="0"/>
        <c:axId val="1"/>
      </c:barChart>
      <c:lineChart>
        <c:grouping val="standard"/>
        <c:varyColors val="0"/>
        <c:ser>
          <c:idx val="1"/>
          <c:order val="1"/>
          <c:tx>
            <c:v>增速%</c:v>
          </c:tx>
          <c:spPr>
            <a:ln w="25400">
              <a:solidFill>
                <a:srgbClr val="ED7D31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1" i="0" u="none" strike="noStrike" baseline="0">
                    <a:solidFill>
                      <a:srgbClr val="404040"/>
                    </a:solidFill>
                    <a:latin typeface="Times New Roman"/>
                    <a:ea typeface="宋体"/>
                    <a:cs typeface="Lucida Sans"/>
                  </a:defRPr>
                </a:pPr>
                <a:endParaRPr lang="zh-CN"/>
              </a:p>
            </c:txPr>
            <c:numFmt formatCode="0.0_ " sourceLinked="0"/>
            <c:dLbl>
              <c:idx val="0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numFmt formatCode="0.0_ " sourceLinked="0"/>
              <c:spPr>
                <a:noFill/>
                <a:ln>
                  <a:noFill/>
                </a:ln>
              </c:spPr>
              <c:txPr>
                <a:bodyPr vert="horz"/>
                <a:lstStyle/>
                <a:p>
                  <a:pPr>
                    <a:defRPr sz="900" b="1" i="0" u="none" strike="noStrike" baseline="0">
                      <a:solidFill>
                        <a:srgbClr val="404040"/>
                      </a:solidFill>
                      <a:latin typeface="Times New Roman"/>
                      <a:ea typeface="宋体"/>
                      <a:cs typeface="Lucida Sans"/>
                    </a:defRPr>
                  </a:pPr>
                  <a:endParaRPr lang="zh-CN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Lit>
              <c:ptCount val="5"/>
              <c:pt idx="0">
                <c:v>2020年</c:v>
              </c:pt>
              <c:pt idx="1">
                <c:v>2021年</c:v>
              </c:pt>
              <c:pt idx="2">
                <c:v>2022年</c:v>
              </c:pt>
              <c:pt idx="3">
                <c:v>2023年</c:v>
              </c:pt>
              <c:pt idx="4">
                <c:v>2024年</c:v>
              </c:pt>
            </c:strLit>
          </c:cat>
          <c:val>
            <c:numRef>
              <c:f/>
              <c:numCache>
                <c:formatCode>0_);[Red](0)</c:formatCode>
                <c:ptCount val="5"/>
                <c:pt idx="0">
                  <c:v>-7.77</c:v>
                </c:pt>
                <c:pt idx="1">
                  <c:v>7.58</c:v>
                </c:pt>
                <c:pt idx="2">
                  <c:v>-25.0</c:v>
                </c:pt>
                <c:pt idx="3">
                  <c:v>7.4</c:v>
                </c:pt>
                <c:pt idx="4">
                  <c:v>16.1</c:v>
                </c:pt>
              </c:numCache>
            </c:numRef>
          </c:val>
          <c:smooth val="0"/>
        </c:ser>
        <c:marker val="1"/>
        <c:smooth val="0"/>
        <c:axId val="2"/>
        <c:axId val="3"/>
      </c:lineChart>
      <c:catAx>
        <c:axId val="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>
            <a:solidFill>
              <a:srgbClr val="D9D9D9"/>
            </a:solidFill>
            <a:prstDash val="solid"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1"/>
      </c:catAx>
      <c:valAx>
        <c:axId val="1"/>
        <c:scaling>
          <c:orientation val="minMax"/>
        </c:scaling>
        <c:delete val="0"/>
        <c:axPos val="l"/>
        <c:majorGridlines>
          <c:spPr>
            <a:ln w="6350">
              <a:solidFill>
                <a:srgbClr val="D9D9D9"/>
              </a:solidFill>
              <a:prstDash val="solid"/>
            </a:ln>
          </c:spPr>
        </c:majorGridlines>
        <c:numFmt formatCode="0_);[Red](0)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At val="1.0"/>
        <c:crossBetween val="between"/>
        <c:crossAx val="0"/>
      </c:valAx>
      <c:catAx>
        <c:axId val="2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autoZero"/>
        <c:auto val="1"/>
        <c:lblOffset val="100"/>
        <c:lblAlgn val="ctr"/>
        <c:noMultiLvlLbl val="0"/>
        <c:crossAx val="3"/>
      </c:catAx>
      <c:valAx>
        <c:axId val="3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  <c:crosses val="max"/>
        <c:crossBetween val="between"/>
        <c:crossAx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31629816"/>
          <c:y val="0.89193356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900" b="1" i="0" u="none" strike="noStrike" baseline="0">
              <a:solidFill>
                <a:srgbClr val="595959"/>
              </a:solidFill>
              <a:latin typeface="Times New Roman"/>
              <a:ea typeface="宋体"/>
              <a:cs typeface="Lucida Sans"/>
            </a:defRPr>
          </a:pPr>
          <a:endParaRPr lang="zh-CN"/>
        </a:p>
      </c:txPr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  <c:legendEntry>
        <c:idx val="1"/>
        <c:txPr>
          <a:bodyPr/>
          <a:lstStyle/>
          <a:p>
            <a:pPr>
              <a:defRPr sz="900" b="1" i="0" u="none" strike="noStrike" baseline="0">
                <a:solidFill>
                  <a:srgbClr val="595959"/>
                </a:solidFill>
                <a:latin typeface="Times New Roman"/>
                <a:ea typeface="宋体"/>
                <a:cs typeface="Lucida Sans"/>
              </a:defRPr>
            </a:pPr>
            <a:endParaRPr lang="zh-CN"/>
          </a:p>
        </c:txPr>
      </c:legendEntry>
    </c:legend>
    <c:plotVisOnly val="1"/>
    <c:dispBlanksAs val="gap"/>
    <c:showDLblsOverMax val="0"/>
  </c:chart>
  <c:spPr>
    <a:solidFill>
      <a:srgbClr val="FFFFFF"/>
    </a:solidFill>
    <a:ln w="6350">
      <a:solidFill>
        <a:srgbClr val="D9D9D9"/>
      </a:solidFill>
      <a:prstDash val="solid"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Times New Roman"/>
          <a:ea typeface="宋体"/>
          <a:cs typeface="Lucida Sans"/>
        </a:defRPr>
      </a:pPr>
      <a:endParaRPr lang="zh-CN"/>
    </a:p>
  </c:txPr>
  <c:printSettings>
    <c:headerFooter/>
    <c:pageMargins b="0.75" l="0.7" r="0.7" t="0.75" header="0.3" footer="0.3"/>
    <c:pageSetup/>
  </c:printSettings>
  <c:externalData r:id="rId1">
    <c:autoUpdate val="0"/>
  </c:externalData>
</c:chartSpace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15</Pages>
  <Words>4769</Words>
  <Characters>6015</Characters>
  <Lines>269</Lines>
  <Paragraphs>58</Paragraphs>
  <CharactersWithSpaces>7001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高原</dc:creator>
  <cp:lastModifiedBy>user</cp:lastModifiedBy>
  <cp:revision>1</cp:revision>
  <cp:lastPrinted>2025-04-30T02:56:02Z</cp:lastPrinted>
  <dcterms:created xsi:type="dcterms:W3CDTF">2019-01-15T07:21:00Z</dcterms:created>
  <dcterms:modified xsi:type="dcterms:W3CDTF">2025-04-30T03:00:38Z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2052-12.1.0.20784</vt:lpwstr>
  </property>
  <property fmtid="{D5CDD505-2E9C-101B-9397-08002B2CF9AE}" pid="3" name="ICV">
    <vt:lpwstr>CC483D77A6F442B591329427B53B15F9_13</vt:lpwstr>
  </property>
  <property fmtid="{D5CDD505-2E9C-101B-9397-08002B2CF9AE}" pid="4" name="KSOTemplateDocerSaveRecord">
    <vt:lpwstr>eyJoZGlkIjoiZGQyNDhmN2FkOTNiNjZmYjNhNTFhNWQxYzAyMTA5MzciLCJ1c2VySWQiOiI1MzQxMzI4NzcifQ==</vt:lpwstr>
  </property>
</Properties>
</file>