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4A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理县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2025年国民经济和社会发展统计公报</w:t>
      </w:r>
    </w:p>
    <w:p w14:paraId="04D7E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D082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，全县上下始终以习近平新时代中国特色社会主义思想为根本遵循，全面贯彻党的二十大和二十届二中、三中、四中全会精神，深入践行新时代党的治藏方略，坚决落实省、州各项决策部署。在州委、州政府和县委、县政府的坚强领导下，在县人大、县政协的监督支持下，全县干部群众凝心聚力拼经济搞建设、用心用情办实事惠民生、守牢底线防风险保安全，以实干担当践行使命，以务实举措破解难题。通过统筹推进稳增长、促改革、调结构、惠民生、防风险、保安全各项重点工作，县域经济社会发展呈现稳中有进、质效齐升、后劲充沛的良好态势，预期主要目标将圆满达成，为“十五五”规划顺利开局筑牢了坚实根基。</w:t>
      </w:r>
    </w:p>
    <w:p w14:paraId="72022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C5DC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一、综合</w:t>
      </w:r>
    </w:p>
    <w:p w14:paraId="79FD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年全年实现地区生产总值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400436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万元，按可比价计算，比上年增长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6.5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%。其中，第一产业实现增加值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55419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万元，增长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4.3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%，对经济增长的贡献率为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9.1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%，拉动经济增长0.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个百分点；第二产业实现增加值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150581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万元，增长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7.9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%，对经济增长的贡献率为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45.8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%，拉动经济增长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个百分点；第三产业实现增加值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194436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万元，增长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6.0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%，对经济增长的贡献率为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45.1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%，拉动经济增长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个百分点。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2025年人均GDP为110769元，增长5.9%。</w:t>
      </w:r>
    </w:p>
    <w:p w14:paraId="6B763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81915</wp:posOffset>
            </wp:positionV>
            <wp:extent cx="5547995" cy="2731770"/>
            <wp:effectExtent l="4445" t="5080" r="10160" b="6350"/>
            <wp:wrapTopAndBottom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33466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1485900</wp:posOffset>
            </wp:positionV>
            <wp:extent cx="5618480" cy="2849245"/>
            <wp:effectExtent l="4445" t="4445" r="15875" b="11430"/>
            <wp:wrapTopAndBottom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经济结构：从结构上来分析，三次产业增加值占地区生产总值（GDP）的比重由上年的14.1:38.1:47.8，调整为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13.8：37.6：48.6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，第二产业占GDP的比重下降了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0.5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个百分点，第三产业占GDP的比重提高了0.8个百分点。</w: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2383790</wp:posOffset>
                </wp:positionV>
                <wp:extent cx="375920" cy="24511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F9FD1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9pt;margin-top:187.7pt;height:19.3pt;width:29.6pt;z-index:251662336;mso-width-relative:page;mso-height-relative:page;" filled="f" stroked="f" coordsize="21600,21600" o:gfxdata="UEsDBAoAAAAAAIdO4kAAAAAAAAAAAAAAAAAEAAAAZHJzL1BLAwQUAAAACACHTuJA1sfhvNwAAAAL&#10;AQAADwAAAGRycy9kb3ducmV2LnhtbE2Py07DMBRE90j8g3WR2FHbJW2jEKdCkSokBIuWbtg58W0S&#10;4UeI3Qd8PZcVLEczmjlTri/OshNOcQhegZwJYOjbYAbfKdi/be5yYDFpb7QNHhV8YYR1dX1V6sKE&#10;s9/iaZc6RiU+FlpBn9JYcB7bHp2OszCiJ+8QJqcTyanjZtJnKneWz4VYcqcHTwu9HrHusf3YHZ2C&#10;53rzqrfN3OXftn56OTyOn/v3hVK3N1I8AEt4SX9h+MUndKiIqQlHbyKzCpa5JPSk4H61yIBRYpVJ&#10;etcoyGQmgFcl//+h+gFQSwMEFAAAAAgAh07iQAC9F/A8AgAAZwQAAA4AAABkcnMvZTJvRG9jLnht&#10;bK1UwU4bMRC9V+o/WL6XTUICJWKDUhBVJVSQaNWz4/WyK9ke13bYpR/Q/gGnXnrvd/EdffYmAdEe&#10;OPSyGc+M38x7M87xSW80u1U+tGRLPt4bcaaspKq1NyX//On8zVvOQhS2EpqsKvmdCvxk8frVcefm&#10;akIN6Up5BhAb5p0reROjmxdFkI0yIuyRUxbBmrwREUd/U1RedEA3upiMRgdFR75ynqQKAd6zIcg3&#10;iP4lgFTXrVRnJNdG2TigeqVFBKXQtC7wRe62rpWMl3UdVGS65GAa8xdFYK/St1gci/mNF65p5aYF&#10;8ZIWnnEyorUouoM6E1GwtW//gjKt9BSojnuSTDEQyYqAxXj0TJvrRjiVuUDq4Haih/8HKz/eXnnW&#10;ViXfH3NmhcHEH+5/PPz8/fDrO4MPAnUuzJF37ZAZ+3fUY222/gBn4t3X3qRfMGKIQ967nbyqj0zC&#10;uX84O5ogIhGaTGfjcZa/eLzsfIjvFRmWjJJ7TC+LKm4vQkQjSN2mpFqWzlut8wS1ZV3JD/Zno3xh&#10;F8ENbXExURhaTVbsV/2G14qqO9DyNGxGcPK8RfELEeKV8FgF9IvHEi/xqTWhCG0szhry3/7lT/mY&#10;EKKcdVitkoeva+EVZ/qDxeyOxtMpYGM+TGeHSRP/NLJ6GrFrc0rYXowH3WUz5Ue9NWtP5gve1DJV&#10;RUhYidolj1vzNA4Ljzcp1XKZk7B9TsQLe+1kgh7kXK4j1W1WOsk0aLNRD/uXB7B5K2nBn55z1uP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sfhvNwAAAALAQAADwAAAAAAAAABACAAAAAiAAAA&#10;ZHJzL2Rvd25yZXYueG1sUEsBAhQAFAAAAAgAh07iQAC9F/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9F9FD1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2272030</wp:posOffset>
                </wp:positionV>
                <wp:extent cx="375920" cy="24511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67A4A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65pt;margin-top:178.9pt;height:19.3pt;width:29.6pt;z-index:251661312;mso-width-relative:page;mso-height-relative:page;" filled="f" stroked="f" coordsize="21600,21600" o:gfxdata="UEsDBAoAAAAAAIdO4kAAAAAAAAAAAAAAAAAEAAAAZHJzL1BLAwQUAAAACACHTuJAKr9FwNwAAAAL&#10;AQAADwAAAGRycy9kb3ducmV2LnhtbE2Py07DMBBF90j8gzVI7KjdNg5tiFOhSBUSoouWbrqbxG4S&#10;Edshdh/w9QwrWM7M0Z1z89XV9uxsxtB5p2A6EcCMq73uXKNg/75+WAALEZ3G3juj4MsEWBW3Nzlm&#10;2l/c1px3sWEU4kKGCtoYh4zzULfGYpj4wTi6Hf1oMdI4NlyPeKFw2/OZECm32Dn60OJgytbUH7uT&#10;VfBarje4rWZ28d2XL2/H5+Fzf5BK3d9NxROwaK7xD4ZffVKHgpwqf3I6sF6BTOScUAVz+UgdiEhF&#10;IoFVtFmmCfAi5/87FD9QSwMEFAAAAAgAh07iQFrC1Bg8AgAAZwQAAA4AAABkcnMvZTJvRG9jLnht&#10;bK1UwU4bMRC9V+o/WL6XTUICJWKDUhBVJVSQaNWz4/WyK9ke13bYpR/Q/gGnXnrvd/EdffYmAdEe&#10;OPSyGc+M38x7M87xSW80u1U+tGRLPt4bcaaspKq1NyX//On8zVvOQhS2EpqsKvmdCvxk8frVcefm&#10;akIN6Up5BhAb5p0reROjmxdFkI0yIuyRUxbBmrwREUd/U1RedEA3upiMRgdFR75ynqQKAd6zIcg3&#10;iP4lgFTXrVRnJNdG2TigeqVFBKXQtC7wRe62rpWMl3UdVGS65GAa8xdFYK/St1gci/mNF65p5aYF&#10;8ZIWnnEyorUouoM6E1GwtW//gjKt9BSojnuSTDEQyYqAxXj0TJvrRjiVuUDq4Haih/8HKz/eXnnW&#10;ViXfhyRWGEz84f7Hw8/fD7++M/ggUOfCHHnXDpmxf0c91mbrD3Am3n3tTfoFI4Y4sO528qo+Mgnn&#10;/uHsaIKIRGgynY3HGb14vOx8iO8VGZaMkntML4sqbi9CRCNI3aakWpbOW63zBLVlXckP9mejfGEX&#10;wQ1tcTFRGFpNVuxX/YbXiqo70PI0bEZw8rxF8QsR4pXwWAX0i8cSL/GpNaEIbSzOGvLf/uVP+ZgQ&#10;opx1WK2Sh69r4RVn+oPF7I7G0ylgYz5MZ4dJE/80snoasWtzStjeMZ6lk9lM+VFvzdqT+YI3tUxV&#10;ERJWonbJ49Y8jcPC401KtVzmJGyfE/HCXjuZoAc5l+tIdZuVTjIN2mzUw/7lAWzeSlrwp+ec9fj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r9FwNwAAAALAQAADwAAAAAAAAABACAAAAAiAAAA&#10;ZHJzL2Rvd25yZXYueG1sUEsBAhQAFAAAAAgAh07iQFrC1B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367A4A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0B0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249F3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民营经济。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至2025年12月31日，全县共有控股企业(国有、集体及其控股企业)128户，注册资金达到317543.7万元，私营企业843户，注册资金达476064.5万元，个体工商户加快发展，现有个体工商户4406户，注册资金166124.1万元，同比增长19.6%，现有农民专业合作社527个，注册资金61771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万元。实现民营经济增加值178387万元，增长4.8%。</w:t>
      </w:r>
    </w:p>
    <w:p w14:paraId="43F8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D89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二、农业</w:t>
      </w:r>
    </w:p>
    <w:p w14:paraId="3EA0B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，全县全年实现现价总产值90719万元，同比可比增速4.2%。其中：农业（种植业）产值60166万元，同比增长1.9%；牧业产值20287万元，同比增长8.5%；林业产值6278万元，同比增长1.1%；渔业产值741万元，同比增长395.7%；农林牧渔专业及辅助性活动产值3247万元，同比增长4.6%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全年农林牧渔业增加值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57864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万元，按可比价计算比上年增长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全年农作物播种面积57918.77亩。其中：粮食作物播种面积23800亩；粮食总产量742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吨；蔬菜及食用菌总产量117222.65吨；水果总产量16136.6吨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牛肉1376吨，羊肉75吨，猪肉190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吨，禽肉74.54吨；出栏肉牛11000头，较去年同期增长6.61%；牛存栏29000头；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出栏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猪23000头，较去年同期增长1.27%，猪存栏23732头；出栏羊4505头，较去年同期下降8.89%，羊存栏6357只；禽存栏15621（只），奶类产量59.5吨，下降4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0.59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%。</w:t>
      </w:r>
    </w:p>
    <w:p w14:paraId="7017E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9E60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三、工业和建筑业</w:t>
      </w:r>
    </w:p>
    <w:p w14:paraId="3D51B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工业生产。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2025年，实现全部工业增加值128121万元，同比增长1.5%。其中，规模以上工业增加值增长5.6%。主要产品产量：累计发电量447912万千瓦时；工业硅10221吨；高氯酸钾18402吨；氯酸钠12093吨；高钠16095吨。</w:t>
      </w:r>
    </w:p>
    <w:p w14:paraId="7664A315"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449580</wp:posOffset>
            </wp:positionV>
            <wp:extent cx="5014595" cy="3094355"/>
            <wp:effectExtent l="4445" t="4445" r="10160" b="10160"/>
            <wp:wrapTopAndBottom/>
            <wp:docPr id="10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65478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0B77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工业效益。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2025年，全县共有规模以上工业企业13户，实现工业总产值141271万元，同比下降11.7%。其中：亏损企业4个，实现利税总额15616万元，下降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%，实现利润总额1599万元，下降65%；产品销售率达97.95%。</w:t>
      </w:r>
    </w:p>
    <w:p w14:paraId="0C638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 w14:paraId="57434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38CD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建筑业。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年末，全县具有资质等级的建筑业企业在统计库中的企业28家，全年建筑业企业实现总产值7.3亿元，同比增长27.3%。</w:t>
      </w:r>
    </w:p>
    <w:p w14:paraId="381C3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272415</wp:posOffset>
            </wp:positionV>
            <wp:extent cx="4826000" cy="2743200"/>
            <wp:effectExtent l="4445" t="4445" r="15875" b="10795"/>
            <wp:wrapTopAndBottom/>
            <wp:docPr id="12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2DD1C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四、固定资产投资</w:t>
      </w:r>
    </w:p>
    <w:p w14:paraId="75777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实现固定资产投资同比增长317 %，按投资结构分：基础设施投资下降8.1 %，分产业来看，第一产业投资下降41.6%，第二产业投资增长527.3%，其中，工业投资增长527.3%；第三产业投资增长41.9 %。三次产业投资比例为0.5：96.2：3.3。全年计划总投资在5000万元以上的项目11个，完成投资占计划总投资的97.02 %。</w:t>
      </w:r>
    </w:p>
    <w:p w14:paraId="36E44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AB09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7208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五、服务业</w:t>
      </w:r>
    </w:p>
    <w:p w14:paraId="3FE15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2025年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全年实现服务业增加值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19.44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亿元，比上年增长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%。其中，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农林牧渔专业及辅助性活动增加值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0.24亿元，增长4.7%，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批发和零售增加值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1.16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交通运输仓储和邮政业增加值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0.61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%；住宿和餐饮业增加值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2.44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金融业增加值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1.05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%；房地产业增加值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%；其他服务业增加值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12.67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 w14:paraId="2BD4E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全年规模以上服务业企业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户，实现营业收入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27880.8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万元，比上年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18.6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 w14:paraId="6A056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81FF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交通运输。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2025年末，理县二级路143.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里（其中国道317线：133.548公里；省道理小路S450：10公里）、三级路47.585公里（其中省道理小路S450：41.771公里；农村公路：5.814公里）、四级路641.861公里。2025年货运周转量93.08万吨公里，较同期增长8.46%。客运周转量196.31万人公里，同比增长20.29%。</w:t>
      </w:r>
    </w:p>
    <w:p w14:paraId="45CA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E5DE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旅游业。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年全县接待游客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677.97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万人次，旅游综合收入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62.14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亿元，分别同比增长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 w14:paraId="6D630E9C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626110</wp:posOffset>
            </wp:positionV>
            <wp:extent cx="5104765" cy="2909570"/>
            <wp:effectExtent l="0" t="0" r="635" b="12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EA6259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3115310</wp:posOffset>
            </wp:positionV>
            <wp:extent cx="5085080" cy="2720975"/>
            <wp:effectExtent l="4445" t="4445" r="15875" b="17780"/>
            <wp:wrapTopAndBottom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043B2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六、国内贸易</w:t>
      </w:r>
    </w:p>
    <w:p w14:paraId="6F95E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消费市场。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2025年实现社会消费品零售总额62091万元，增长7.6 %。</w:t>
      </w:r>
    </w:p>
    <w:p w14:paraId="2A094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按经营单位所在地分，城镇实现零售额23886.2万元，增长10.1%，乡村实现零售额38204.7万元，增长6%。</w:t>
      </w:r>
    </w:p>
    <w:p w14:paraId="6B389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按国民经济行业分：批发零售业37706.9万元，增长9.1%，住宿餐饮业24384万元，增长5.3%。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其中，通过互联网实现商品零售额3568.4万元，增长107.6%。</w:t>
      </w:r>
    </w:p>
    <w:p w14:paraId="42449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213360</wp:posOffset>
            </wp:positionV>
            <wp:extent cx="5375910" cy="3258820"/>
            <wp:effectExtent l="4445" t="4445" r="14605" b="13335"/>
            <wp:wrapTopAndBottom/>
            <wp:docPr id="7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18047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七、财政金融</w:t>
      </w:r>
    </w:p>
    <w:p w14:paraId="14309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财政。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公共财政预算收入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18092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万元，比上年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49.82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%。其中：税收收入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16494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86.75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%；非税收入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1598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下降50.74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。地方公共财政预算支出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138538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0.61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%。其中：社会保障和就业支出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14262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增长4.46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%，住房保障性支出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4960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%，科学技术支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676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41.42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%，一般公共服务支出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21994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</w:t>
      </w:r>
    </w:p>
    <w:p w14:paraId="125E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211455</wp:posOffset>
            </wp:positionV>
            <wp:extent cx="5054600" cy="3242310"/>
            <wp:effectExtent l="4445" t="4445" r="15875" b="14605"/>
            <wp:wrapTopAndBottom/>
            <wp:docPr id="8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2B4C0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金融。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年末，全县金融机构各项存款余额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44.45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亿元，比上年增长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6.77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各项贷款余额比上年增长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8.67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%。</w:t>
      </w:r>
    </w:p>
    <w:p w14:paraId="55464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485140</wp:posOffset>
                </wp:positionV>
                <wp:extent cx="0" cy="2800350"/>
                <wp:effectExtent l="0" t="0" r="0" b="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565910" y="1795780"/>
                          <a:ext cx="0" cy="2800350"/>
                        </a:xfrm>
                        <a:prstGeom prst="straightConnector1">
                          <a:avLst/>
                        </a:prstGeom>
                        <a:ln>
                          <a:noFill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3.3pt;margin-top:38.2pt;height:220.5pt;width:0pt;z-index:251660288;mso-width-relative:page;mso-height-relative:page;" filled="f" stroked="f" coordsize="21600,21600" o:gfxdata="UEsDBAoAAAAAAIdO4kAAAAAAAAAAAAAAAAAEAAAAZHJzL1BLAwQUAAAACACHTuJAl4GYktcAAAAI&#10;AQAADwAAAGRycy9kb3ducmV2LnhtbE2PzU7DMBCE70i8g7VI3KidqKQ0ZFMhaA8cOLRFPTvxkqTE&#10;6zR2f3h7DBc4jmY0802xuNhenGj0nWOEZKJAENfOdNwgvG9Xdw8gfNBsdO+YEL7Iw6K8vip0btyZ&#10;13TahEbEEva5RmhDGHIpfd2S1X7iBuLofbjR6hDl2Egz6nMst71Mlcqk1R3HhVYP9NxS/bk5WoSn&#10;5WGVDstDWs13L8rsX/dvxmwRb28S9Qgi0CX8heEHP6JDGZkqd2TjRY+QZVlMIsyyKYjo/+oK4T6Z&#10;TUGWhfx/oPwGUEsDBBQAAAAIAIdO4kC3M6ZICAIAAM0DAAAOAAAAZHJzL2Uyb0RvYy54bWytU81u&#10;EzEQviPxDpbvZDepkqZRNj00lAuCSEDvU69315L/5HGzyUvwAkicgBNw6p2noeUxGHtDqcqlB/bg&#10;nfF4vpnv83h5ujOabWVA5WzFx6OSM2mFq5VtK/7u7fmzOWcYwdagnZUV30vkp6unT5a9X8iJ65yu&#10;ZWAEYnHR+4p3MfpFUaDopAEcOS8tBRsXDERyQ1vUAXpCN7qYlOWs6F2ofXBCItLuegjyA2J4DKBr&#10;GiXk2okrI20cUIPUEIkSdsojX+Vum0aK+LppUEamK05MY16pCNmXaS1WS1i0AXynxKEFeEwLDzgZ&#10;UJaK3kGtIQK7CuofKKNEcOiaOBLOFAORrAixGJcPtHnTgZeZC0mN/k50/H+w4tV2E5iqK3405cyC&#10;oRu//XB98/7z7fdvPz9d//rxMdlfvzCKk1i9xwXlnNlNOHjoNyEx3zXBsEYrf0FTlbUgdmxHznQ2&#10;PRmT4Huyj0+mx/OD7HIXmaADFBIUm8zL8miaY8UAl2B9wPhCOsOSUXGMAVTbxTNnLV2uC0Mp2L7E&#10;SA1R4p+ElGzdudI637G2rK/4LBVgAmhuG5oXMo0n7mhbzkC39CBEDLn5e6kJcQ3YsS3QFKHTqh7m&#10;xqhIT0ErU3Hqnb5hO4LSz23N4t6TmhCC61OAetOWfknCQbRkXbp6n7XM+3TL+eBhItMY3fdz9t9X&#10;uP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4GYktcAAAAIAQAADwAAAAAAAAABACAAAAAiAAAA&#10;ZHJzL2Rvd25yZXYueG1sUEsBAhQAFAAAAAgAh07iQLczpkgIAgAAzQMAAA4AAAAAAAAAAQAgAAAA&#10;JgEAAGRycy9lMm9Eb2MueG1sUEsFBgAAAAAGAAYAWQEAAKAFAAAAAA==&#10;">
                <v:fill on="f" focussize="0,0"/>
                <v:stroke on="f" weight="0.5pt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</w:p>
    <w:p w14:paraId="4A13A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八、教育、文化、卫生</w:t>
      </w:r>
    </w:p>
    <w:p w14:paraId="7F949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教育。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2025年全县共有普通中学2所，其中：高完中1所，普通初中1所，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教职工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人，专任教师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人，在校生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1049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人（含高中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人）；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小学校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所，在校生1648人，教职工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人，专任教师3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人，小学学龄儿童入学率达100%；幼儿园12所（含附属幼儿园及村幼），在校学生777人。</w:t>
      </w:r>
    </w:p>
    <w:p w14:paraId="61B44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文化。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年末，全县共有文化馆1个，乡镇文化服务中心11个，博物馆1个，新华书店1个，公共图书馆1个，图书馆书籍总藏4万余册，有广播电视台1座，有线电视用户12659户，广播、电视人口综合覆盖率分别达95%和100%。</w:t>
      </w:r>
    </w:p>
    <w:p w14:paraId="765AC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卫生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事业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年，全县有卫生机构（含村卫生室及社区卫生服务机构）80个，其中：医院 2所，专业公共卫生机构2所，卫生院 11所，村卫生室 63个，社区卫生服务中心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个，个体诊所 2所，卫生机构开放床位数202张。有卫生技术人员498人（其中村医78 人，个体诊所7人），其中：执业（助理）医师 137人，注册护士145人，医疗机构病床使用率为22.27%。（其中县级医疗机构病床使用率33.93%，乡镇2.05 %）本地患者县内就诊率达74.06%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居民档案建档率96.62%。全民健康管理水平有效提升。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3D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F18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九、环境保护和安全生产</w:t>
      </w:r>
    </w:p>
    <w:p w14:paraId="7245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生态环境。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，理县大气环境质量综合指数排名稳定保持全省第6位，其中，可吸入颗粒物（PM10）平均浓度同比下降23.5%，细颗粒物（PM2.5）平均浓度同比无变化，优良天数比例稳定，县域空气质量改善幅度明显，人民群众的“蓝天幸福感”持续增强。杂谷脑河五里界牌断面水质常年稳定保持Ⅰ类标准，水环境质量呈现稳中向好态势。集中式饮用水水源地水质达标率100%，“双地”安全利用率100%，土壤环境风险得到有效管控。</w:t>
      </w:r>
    </w:p>
    <w:p w14:paraId="3E949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居住环境。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扎实开展基础设施建设，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整合资金4790万元，实施杂谷脑等5个乡镇人居环境整治。改善农村供水管网37.19公里，完成50处饮水工程养护及19处水质提升，建成省级水美新村1个。改造城乡电网15公里，新增5G基站6个、充电桩23个，增设客货邮合作线路3条。高标准建成猛古、通化、甘堡3个和美乡村，争取资金2000万元，加快推进木卡村和美乡村建设，甲米村成功申报省级民族团结进步村项目，丘地村成功入选全省村庄现代化建设典型案例。</w:t>
      </w:r>
    </w:p>
    <w:p w14:paraId="7543C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公共安全。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推动基层治理细“治”入“微”，防范化解矛盾纠纷718件，办结网格事项4462件。健全“县乡村”三级应急队伍，高效应对7次较大自然灾害，全面完成11处地灾治理项目、8处抢险救灾工程和53户地灾避险搬迁。深入开展根治欠薪行动，追回农民工欠薪740万元。依法严厉打击各类违法犯罪活动，圆满完成重要节点维稳任务，社会大局持续和谐稳定。</w:t>
      </w:r>
    </w:p>
    <w:p w14:paraId="1EE58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C228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2D88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十、人口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与城镇化率</w:t>
      </w:r>
    </w:p>
    <w:p w14:paraId="39C93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全县公安总户数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14342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户，全县公安户籍人口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41064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人，其中：男性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20906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人，占总人口的50.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%，女性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20158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 49.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%；城镇人口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8231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人，占总人口的20%，乡村人口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32833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%；藏族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22266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%，羌族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13860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人，占总人口的33.8%，汉族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4702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人，占总人口的11.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%，回族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人，其他民族7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人。</w:t>
      </w:r>
    </w:p>
    <w:p w14:paraId="20FBC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年末，全县常住人口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万人，城镇化率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43.11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%。</w:t>
      </w:r>
    </w:p>
    <w:p w14:paraId="2CB15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年出生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人，出生率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‰，死亡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人，死亡率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‰，人口自然增长率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bookmarkStart w:id="0" w:name="_GoBack"/>
      <w:bookmarkEnd w:id="0"/>
    </w:p>
    <w:p w14:paraId="1C5AB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61E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、居民生活与社会保障</w:t>
      </w:r>
    </w:p>
    <w:p w14:paraId="052FB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城镇居民。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2025年，实现城镇居民人均可支配收入43219元，增长4.5%，人均消费支出28065元。 </w:t>
      </w:r>
    </w:p>
    <w:p w14:paraId="6C14F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农村居民。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2025年，实现农村居民人均可支配收入20486元，增长6.3%，人均消费支出16109元。</w:t>
      </w:r>
    </w:p>
    <w:p w14:paraId="44CF7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劳动就业。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城镇新增就业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年末城镇登记失业率为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%以内。</w:t>
      </w:r>
    </w:p>
    <w:p w14:paraId="649D6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社会保障。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实施积极的就业政策，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公益性岗位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人，输转劳动力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人，实现劳务收入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775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亿元。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提高义务兵家庭优待金，建立困难退役军人帮扶基金，兑现各类优抚资金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369.13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各类优抚资金包含优抚对象抚恤补助、优抚对象医疗补助、大学生入伍奖励金、立功受奖奖励金、义务兵家庭优待金、困难退役军人关爱帮扶基金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08AFA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城镇职工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养老保险覆盖人数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14068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人，共征收养老保险费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15485.07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万元，支付养老金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22384.47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其中：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职工养老保险参保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人，征收养老保险费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6791.3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万元，按时足额为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3888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名企保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退休人员发放养老金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11066.28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万元；机关事业养老保险参保人数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2973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人，征收养老保险费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8693.77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1348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机关事业退休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发放养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老金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11318.19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全年城乡居民基本养老保险覆盖人数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15912人，共征收养老保险费1698万元，支付养老金1452万元。</w:t>
      </w:r>
    </w:p>
    <w:p w14:paraId="1264A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截至202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年12月31日，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工伤保险参保人数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11969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人，征收工伤保险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415.5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万元。及时为发生工伤事故的职工及近亲属支付工伤保险各项费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149.77万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失业保险参保人数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5178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人，征缴失业保险费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460.26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名失业人员发放失业保险待遇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102.76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万元，代缴医保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34.25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65户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企业发放稳岗补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67.06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55EE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年我县基本医疗保险参保人数共计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37785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人，其中：职工基本医保参保人数为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8813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人（在职职工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6472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人，退休职工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2341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人），生育保险参保人数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人；城乡居民基本医保参保人数为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28972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人。202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年我县征收城镇职工各类医疗保险基金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8657.17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征收城乡居民个人缴纳部分及县本级财政补助基金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1175.6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E45B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社会救助。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年全年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纳入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城镇低保的有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297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，兑现城镇低保金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纳入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农村低保的有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358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，兑现农村低保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305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纳入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农村“特困人员”供养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人，其中：集中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供养63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人。发放困难群众临时救助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人次，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发放金额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59.95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040AA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</w:t>
      </w:r>
    </w:p>
    <w:p w14:paraId="2FFF8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注：</w:t>
      </w:r>
    </w:p>
    <w:p w14:paraId="33848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公报中数据均为初步统计数。部分数据因四舍五入的原因，存在总计与分项合计不等的情况，未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做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机械调整。</w:t>
      </w:r>
    </w:p>
    <w:p w14:paraId="5F4BF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2.202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—2023年地区生产总值、工业增加值数据已经按第五次全国经济普查结果进行修订。</w:t>
      </w:r>
    </w:p>
    <w:p w14:paraId="00862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3.公报中部分数据为初步统计数，正式数据以《理县领导干部经济手册-202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》为准。</w:t>
      </w:r>
    </w:p>
    <w:p w14:paraId="1C4CB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.202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—2024年社会消费品零售总额已经按第五次全国经济普查结果进行修订。</w:t>
      </w:r>
    </w:p>
    <w:p w14:paraId="61876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公报中交通运输、金融、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市场、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财政、教育、科技、文化、卫生、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旅游</w:t>
      </w:r>
      <w:r>
        <w:rPr>
          <w:rFonts w:hint="default" w:ascii="Times New Roman" w:hAnsi="Times New Roman" w:eastAsia="楷体_GB2312" w:cs="Times New Roman"/>
          <w:sz w:val="32"/>
          <w:szCs w:val="32"/>
        </w:rPr>
        <w:t>、环境保护、应急管理、社会保障等数据来源于相关部门。</w:t>
      </w:r>
    </w:p>
    <w:p w14:paraId="347F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CD0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first"/>
      <w:footerReference r:id="rId5" w:type="firs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AB00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7FA1A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47FA1A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0C70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80080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GIwZWVjMzU4NTEwNDE1NmM4MjkxMmI4MGI2MmYifQ=="/>
  </w:docVars>
  <w:rsids>
    <w:rsidRoot w:val="08BD7E2D"/>
    <w:rsid w:val="00055562"/>
    <w:rsid w:val="001A0685"/>
    <w:rsid w:val="00C12DAD"/>
    <w:rsid w:val="01066A48"/>
    <w:rsid w:val="012F4796"/>
    <w:rsid w:val="01335AE5"/>
    <w:rsid w:val="013847A1"/>
    <w:rsid w:val="014B08FF"/>
    <w:rsid w:val="015808EB"/>
    <w:rsid w:val="01E162B6"/>
    <w:rsid w:val="02217FDE"/>
    <w:rsid w:val="02232F4A"/>
    <w:rsid w:val="023870D5"/>
    <w:rsid w:val="028B133C"/>
    <w:rsid w:val="028B672C"/>
    <w:rsid w:val="03067964"/>
    <w:rsid w:val="038718E6"/>
    <w:rsid w:val="03C2134C"/>
    <w:rsid w:val="03EF4F67"/>
    <w:rsid w:val="041B59FB"/>
    <w:rsid w:val="04353F3A"/>
    <w:rsid w:val="0447284C"/>
    <w:rsid w:val="04A73790"/>
    <w:rsid w:val="04E73CDE"/>
    <w:rsid w:val="05703782"/>
    <w:rsid w:val="05954353"/>
    <w:rsid w:val="059B58D8"/>
    <w:rsid w:val="05C323A5"/>
    <w:rsid w:val="05D37D58"/>
    <w:rsid w:val="05DE12F4"/>
    <w:rsid w:val="05F81055"/>
    <w:rsid w:val="06A9565E"/>
    <w:rsid w:val="07510C8F"/>
    <w:rsid w:val="07F155FC"/>
    <w:rsid w:val="08650604"/>
    <w:rsid w:val="08BD7E2D"/>
    <w:rsid w:val="08DD393A"/>
    <w:rsid w:val="08E12275"/>
    <w:rsid w:val="093E4379"/>
    <w:rsid w:val="09661120"/>
    <w:rsid w:val="09EF09C1"/>
    <w:rsid w:val="0A2C5771"/>
    <w:rsid w:val="0A301488"/>
    <w:rsid w:val="0A605B5C"/>
    <w:rsid w:val="0A8770C8"/>
    <w:rsid w:val="0AFF1973"/>
    <w:rsid w:val="0B464611"/>
    <w:rsid w:val="0BB43C70"/>
    <w:rsid w:val="0BCB2DC3"/>
    <w:rsid w:val="0BFE313E"/>
    <w:rsid w:val="0C017379"/>
    <w:rsid w:val="0C152054"/>
    <w:rsid w:val="0C2C057B"/>
    <w:rsid w:val="0D2D7CCF"/>
    <w:rsid w:val="0D5079C9"/>
    <w:rsid w:val="0DF477F9"/>
    <w:rsid w:val="0DF540CC"/>
    <w:rsid w:val="0E5F620D"/>
    <w:rsid w:val="0E8B5196"/>
    <w:rsid w:val="0EE13564"/>
    <w:rsid w:val="0EF50FAB"/>
    <w:rsid w:val="0F0734CF"/>
    <w:rsid w:val="0F2958C4"/>
    <w:rsid w:val="0F304E5A"/>
    <w:rsid w:val="0F4E083A"/>
    <w:rsid w:val="0F5D43D5"/>
    <w:rsid w:val="0FBB704A"/>
    <w:rsid w:val="106B23FC"/>
    <w:rsid w:val="10B10FD7"/>
    <w:rsid w:val="1122342A"/>
    <w:rsid w:val="11660D6F"/>
    <w:rsid w:val="11A74D69"/>
    <w:rsid w:val="11BD0B5E"/>
    <w:rsid w:val="11BD6E3E"/>
    <w:rsid w:val="11D34725"/>
    <w:rsid w:val="11FC5122"/>
    <w:rsid w:val="11FD6B5D"/>
    <w:rsid w:val="1283614B"/>
    <w:rsid w:val="12CF5774"/>
    <w:rsid w:val="1310039F"/>
    <w:rsid w:val="13763F01"/>
    <w:rsid w:val="139F0559"/>
    <w:rsid w:val="139F6FB4"/>
    <w:rsid w:val="13A02D2C"/>
    <w:rsid w:val="13AF3558"/>
    <w:rsid w:val="13BE2381"/>
    <w:rsid w:val="140C6756"/>
    <w:rsid w:val="1445775B"/>
    <w:rsid w:val="147047CA"/>
    <w:rsid w:val="14945B39"/>
    <w:rsid w:val="149A6EC4"/>
    <w:rsid w:val="15194D6E"/>
    <w:rsid w:val="152E3299"/>
    <w:rsid w:val="15F530AB"/>
    <w:rsid w:val="16000BBF"/>
    <w:rsid w:val="16C62BBD"/>
    <w:rsid w:val="17314825"/>
    <w:rsid w:val="175333E8"/>
    <w:rsid w:val="17E84FCA"/>
    <w:rsid w:val="1889540E"/>
    <w:rsid w:val="189D1221"/>
    <w:rsid w:val="18DC7D60"/>
    <w:rsid w:val="192A7EDE"/>
    <w:rsid w:val="19D74CEA"/>
    <w:rsid w:val="1A0F6DBA"/>
    <w:rsid w:val="1A1670E6"/>
    <w:rsid w:val="1A846F04"/>
    <w:rsid w:val="1AB1294B"/>
    <w:rsid w:val="1ABA0B77"/>
    <w:rsid w:val="1AF851FC"/>
    <w:rsid w:val="1B636B19"/>
    <w:rsid w:val="1BA02661"/>
    <w:rsid w:val="1C077DEC"/>
    <w:rsid w:val="1C4F60A6"/>
    <w:rsid w:val="1C6E60D1"/>
    <w:rsid w:val="1DB173DF"/>
    <w:rsid w:val="1DEA52D0"/>
    <w:rsid w:val="1DF34B98"/>
    <w:rsid w:val="1DFC0831"/>
    <w:rsid w:val="1E2D043A"/>
    <w:rsid w:val="1E4F7871"/>
    <w:rsid w:val="1F046A99"/>
    <w:rsid w:val="1F356A16"/>
    <w:rsid w:val="1F5E5813"/>
    <w:rsid w:val="1F710587"/>
    <w:rsid w:val="20132735"/>
    <w:rsid w:val="205842B9"/>
    <w:rsid w:val="2061229F"/>
    <w:rsid w:val="206724C4"/>
    <w:rsid w:val="207A30D4"/>
    <w:rsid w:val="21164D72"/>
    <w:rsid w:val="214744FB"/>
    <w:rsid w:val="214B37D5"/>
    <w:rsid w:val="21920158"/>
    <w:rsid w:val="21D418BB"/>
    <w:rsid w:val="230837F5"/>
    <w:rsid w:val="232A0CC0"/>
    <w:rsid w:val="235F09F6"/>
    <w:rsid w:val="23AB410E"/>
    <w:rsid w:val="23DF53DF"/>
    <w:rsid w:val="24352E6D"/>
    <w:rsid w:val="245E349C"/>
    <w:rsid w:val="248375E4"/>
    <w:rsid w:val="25781D1E"/>
    <w:rsid w:val="25AC1C91"/>
    <w:rsid w:val="25B14004"/>
    <w:rsid w:val="25E66511"/>
    <w:rsid w:val="26092440"/>
    <w:rsid w:val="262C4524"/>
    <w:rsid w:val="26BC244B"/>
    <w:rsid w:val="274A7643"/>
    <w:rsid w:val="27793173"/>
    <w:rsid w:val="2791252A"/>
    <w:rsid w:val="28241121"/>
    <w:rsid w:val="2828136D"/>
    <w:rsid w:val="28283D94"/>
    <w:rsid w:val="285C53F9"/>
    <w:rsid w:val="29A405E7"/>
    <w:rsid w:val="29A7106E"/>
    <w:rsid w:val="29CC44AC"/>
    <w:rsid w:val="29FA5DE6"/>
    <w:rsid w:val="2A542805"/>
    <w:rsid w:val="2A613339"/>
    <w:rsid w:val="2A771AC3"/>
    <w:rsid w:val="2B4C581C"/>
    <w:rsid w:val="2B591678"/>
    <w:rsid w:val="2BA00E1D"/>
    <w:rsid w:val="2CE420CF"/>
    <w:rsid w:val="2CFA3055"/>
    <w:rsid w:val="2D216834"/>
    <w:rsid w:val="2D3E20CA"/>
    <w:rsid w:val="2D7028CC"/>
    <w:rsid w:val="2D7A26A0"/>
    <w:rsid w:val="2E0A03A9"/>
    <w:rsid w:val="2E1F62ED"/>
    <w:rsid w:val="2E3E4646"/>
    <w:rsid w:val="2E620FD8"/>
    <w:rsid w:val="2E6E52F9"/>
    <w:rsid w:val="2E7939A9"/>
    <w:rsid w:val="2E7D61E1"/>
    <w:rsid w:val="2EC91674"/>
    <w:rsid w:val="2F024BA4"/>
    <w:rsid w:val="2FCD6B11"/>
    <w:rsid w:val="2FF25711"/>
    <w:rsid w:val="30344033"/>
    <w:rsid w:val="308F319F"/>
    <w:rsid w:val="3091782D"/>
    <w:rsid w:val="311554F0"/>
    <w:rsid w:val="312D54CE"/>
    <w:rsid w:val="312D6489"/>
    <w:rsid w:val="312F3F58"/>
    <w:rsid w:val="31696372"/>
    <w:rsid w:val="31783E43"/>
    <w:rsid w:val="31BD6B96"/>
    <w:rsid w:val="31E04A15"/>
    <w:rsid w:val="32415ACF"/>
    <w:rsid w:val="33531ADB"/>
    <w:rsid w:val="336076F2"/>
    <w:rsid w:val="343C526A"/>
    <w:rsid w:val="348D1BF6"/>
    <w:rsid w:val="34A07633"/>
    <w:rsid w:val="34AC2E87"/>
    <w:rsid w:val="34E5177E"/>
    <w:rsid w:val="352E6219"/>
    <w:rsid w:val="35577297"/>
    <w:rsid w:val="35BD64F7"/>
    <w:rsid w:val="35C64FA4"/>
    <w:rsid w:val="35CB1A33"/>
    <w:rsid w:val="361567E7"/>
    <w:rsid w:val="364978F2"/>
    <w:rsid w:val="371B05BB"/>
    <w:rsid w:val="37482494"/>
    <w:rsid w:val="377A54BF"/>
    <w:rsid w:val="37BE184F"/>
    <w:rsid w:val="3810197F"/>
    <w:rsid w:val="38BD38B5"/>
    <w:rsid w:val="38BE50EC"/>
    <w:rsid w:val="391F4288"/>
    <w:rsid w:val="39BD37F4"/>
    <w:rsid w:val="39E141C8"/>
    <w:rsid w:val="39E22094"/>
    <w:rsid w:val="3A822B01"/>
    <w:rsid w:val="3A9E1B45"/>
    <w:rsid w:val="3B3B19F5"/>
    <w:rsid w:val="3B907E0E"/>
    <w:rsid w:val="3BC101C9"/>
    <w:rsid w:val="3C623047"/>
    <w:rsid w:val="3C624C78"/>
    <w:rsid w:val="3C8B5A78"/>
    <w:rsid w:val="3CF25B3C"/>
    <w:rsid w:val="3D3A04ED"/>
    <w:rsid w:val="3D6C31B8"/>
    <w:rsid w:val="3DD817C3"/>
    <w:rsid w:val="3DFB6606"/>
    <w:rsid w:val="3E1D2A50"/>
    <w:rsid w:val="3E4748FE"/>
    <w:rsid w:val="3ED7731C"/>
    <w:rsid w:val="3EED6CF6"/>
    <w:rsid w:val="3F0C575A"/>
    <w:rsid w:val="3F1F4658"/>
    <w:rsid w:val="3F904E4C"/>
    <w:rsid w:val="40004165"/>
    <w:rsid w:val="40C70211"/>
    <w:rsid w:val="41BB6E00"/>
    <w:rsid w:val="41BF069E"/>
    <w:rsid w:val="41F46B1F"/>
    <w:rsid w:val="41FD4D22"/>
    <w:rsid w:val="4258464E"/>
    <w:rsid w:val="428F7F71"/>
    <w:rsid w:val="42C972FA"/>
    <w:rsid w:val="430F2F5F"/>
    <w:rsid w:val="43E30BA5"/>
    <w:rsid w:val="43EB54E9"/>
    <w:rsid w:val="4536190C"/>
    <w:rsid w:val="45DA015E"/>
    <w:rsid w:val="46733805"/>
    <w:rsid w:val="46E82445"/>
    <w:rsid w:val="46EF0F2B"/>
    <w:rsid w:val="470873EA"/>
    <w:rsid w:val="474F081A"/>
    <w:rsid w:val="47523C07"/>
    <w:rsid w:val="478578F0"/>
    <w:rsid w:val="478A5A69"/>
    <w:rsid w:val="479E0110"/>
    <w:rsid w:val="47B053BB"/>
    <w:rsid w:val="4810680A"/>
    <w:rsid w:val="481479D3"/>
    <w:rsid w:val="481E3C44"/>
    <w:rsid w:val="48547B0A"/>
    <w:rsid w:val="486E0879"/>
    <w:rsid w:val="4882017A"/>
    <w:rsid w:val="49086E34"/>
    <w:rsid w:val="49214EA1"/>
    <w:rsid w:val="497E7CC8"/>
    <w:rsid w:val="498D65EA"/>
    <w:rsid w:val="49C425C9"/>
    <w:rsid w:val="4A030078"/>
    <w:rsid w:val="4A7B488A"/>
    <w:rsid w:val="4AC76815"/>
    <w:rsid w:val="4AD102CE"/>
    <w:rsid w:val="4ADF590D"/>
    <w:rsid w:val="4BD92CFF"/>
    <w:rsid w:val="4C2061DD"/>
    <w:rsid w:val="4C4D62F7"/>
    <w:rsid w:val="4C8A0D25"/>
    <w:rsid w:val="4CAD670B"/>
    <w:rsid w:val="4D5D0D6B"/>
    <w:rsid w:val="4DE80492"/>
    <w:rsid w:val="4DFC0584"/>
    <w:rsid w:val="4E1E1A31"/>
    <w:rsid w:val="4E255982"/>
    <w:rsid w:val="4E256C36"/>
    <w:rsid w:val="4EB46FDA"/>
    <w:rsid w:val="4F3021BF"/>
    <w:rsid w:val="4F342C01"/>
    <w:rsid w:val="4F7C7A14"/>
    <w:rsid w:val="4FD01CC8"/>
    <w:rsid w:val="501C77B4"/>
    <w:rsid w:val="503F29AA"/>
    <w:rsid w:val="505F10AD"/>
    <w:rsid w:val="50A67871"/>
    <w:rsid w:val="518B234A"/>
    <w:rsid w:val="51A90A23"/>
    <w:rsid w:val="52633942"/>
    <w:rsid w:val="52C97D90"/>
    <w:rsid w:val="52E96FDB"/>
    <w:rsid w:val="53830907"/>
    <w:rsid w:val="53B14F8F"/>
    <w:rsid w:val="54084E24"/>
    <w:rsid w:val="541F20D6"/>
    <w:rsid w:val="54707C2C"/>
    <w:rsid w:val="548A3EFA"/>
    <w:rsid w:val="549239F0"/>
    <w:rsid w:val="54AA698B"/>
    <w:rsid w:val="554021FC"/>
    <w:rsid w:val="55CA6B22"/>
    <w:rsid w:val="55FB2544"/>
    <w:rsid w:val="55FF76E3"/>
    <w:rsid w:val="563705A7"/>
    <w:rsid w:val="566273F2"/>
    <w:rsid w:val="56B65D04"/>
    <w:rsid w:val="573A490C"/>
    <w:rsid w:val="57A37CC2"/>
    <w:rsid w:val="57B94C8F"/>
    <w:rsid w:val="57BC1668"/>
    <w:rsid w:val="5800003E"/>
    <w:rsid w:val="580343AD"/>
    <w:rsid w:val="582A57F5"/>
    <w:rsid w:val="59041194"/>
    <w:rsid w:val="59A95E8F"/>
    <w:rsid w:val="5ABD5E2E"/>
    <w:rsid w:val="5AF727FF"/>
    <w:rsid w:val="5B0211E2"/>
    <w:rsid w:val="5B3E17FA"/>
    <w:rsid w:val="5B9F7C84"/>
    <w:rsid w:val="5BD27E32"/>
    <w:rsid w:val="5BD4669C"/>
    <w:rsid w:val="5BE2700B"/>
    <w:rsid w:val="5BEA4111"/>
    <w:rsid w:val="5C6A5252"/>
    <w:rsid w:val="5CAB38A1"/>
    <w:rsid w:val="5CFC2E82"/>
    <w:rsid w:val="5D0C375D"/>
    <w:rsid w:val="5D9A280E"/>
    <w:rsid w:val="5E0F69C8"/>
    <w:rsid w:val="5E8934C4"/>
    <w:rsid w:val="5EC62C14"/>
    <w:rsid w:val="5EDD31BB"/>
    <w:rsid w:val="5F9F6798"/>
    <w:rsid w:val="60DA7AC0"/>
    <w:rsid w:val="61330399"/>
    <w:rsid w:val="613532D9"/>
    <w:rsid w:val="61630BEE"/>
    <w:rsid w:val="61A27DB8"/>
    <w:rsid w:val="624C3BE8"/>
    <w:rsid w:val="625059A0"/>
    <w:rsid w:val="62A25746"/>
    <w:rsid w:val="630C0E11"/>
    <w:rsid w:val="63276EDC"/>
    <w:rsid w:val="639063D4"/>
    <w:rsid w:val="63A21509"/>
    <w:rsid w:val="63A6743E"/>
    <w:rsid w:val="63AA4DE0"/>
    <w:rsid w:val="650639C4"/>
    <w:rsid w:val="65102E3B"/>
    <w:rsid w:val="65225231"/>
    <w:rsid w:val="66B53C1E"/>
    <w:rsid w:val="679907E3"/>
    <w:rsid w:val="6831637C"/>
    <w:rsid w:val="69357A52"/>
    <w:rsid w:val="69391527"/>
    <w:rsid w:val="69496B6A"/>
    <w:rsid w:val="694E56BA"/>
    <w:rsid w:val="696C085C"/>
    <w:rsid w:val="699A0DD9"/>
    <w:rsid w:val="69A018D5"/>
    <w:rsid w:val="69BB6C65"/>
    <w:rsid w:val="6A4B1F60"/>
    <w:rsid w:val="6A995680"/>
    <w:rsid w:val="6B1B50A7"/>
    <w:rsid w:val="6BC73B27"/>
    <w:rsid w:val="6BE0522A"/>
    <w:rsid w:val="6C1E6AE4"/>
    <w:rsid w:val="6C691C35"/>
    <w:rsid w:val="6C7B5DA1"/>
    <w:rsid w:val="6D001ED8"/>
    <w:rsid w:val="6D762044"/>
    <w:rsid w:val="6DCF4F15"/>
    <w:rsid w:val="6E0370A5"/>
    <w:rsid w:val="6E5408EF"/>
    <w:rsid w:val="6EE43F70"/>
    <w:rsid w:val="6F351254"/>
    <w:rsid w:val="6F736223"/>
    <w:rsid w:val="6FC81F46"/>
    <w:rsid w:val="706E4EB9"/>
    <w:rsid w:val="70AA196E"/>
    <w:rsid w:val="70D0451A"/>
    <w:rsid w:val="71303007"/>
    <w:rsid w:val="71322F32"/>
    <w:rsid w:val="71FA425C"/>
    <w:rsid w:val="725612DC"/>
    <w:rsid w:val="72AF75DA"/>
    <w:rsid w:val="72F14F34"/>
    <w:rsid w:val="73B71B9A"/>
    <w:rsid w:val="73B929BE"/>
    <w:rsid w:val="747D1B6F"/>
    <w:rsid w:val="74FF10C8"/>
    <w:rsid w:val="75076C79"/>
    <w:rsid w:val="75854F4F"/>
    <w:rsid w:val="75C46D4C"/>
    <w:rsid w:val="7613254A"/>
    <w:rsid w:val="76152382"/>
    <w:rsid w:val="76EF6402"/>
    <w:rsid w:val="77CD00C7"/>
    <w:rsid w:val="78991A97"/>
    <w:rsid w:val="78A27DF6"/>
    <w:rsid w:val="792A313A"/>
    <w:rsid w:val="79B56F3D"/>
    <w:rsid w:val="7A03327B"/>
    <w:rsid w:val="7A3261B9"/>
    <w:rsid w:val="7A8F37BC"/>
    <w:rsid w:val="7ABD34C2"/>
    <w:rsid w:val="7B01263E"/>
    <w:rsid w:val="7B2A5E81"/>
    <w:rsid w:val="7B503B39"/>
    <w:rsid w:val="7BCD4C10"/>
    <w:rsid w:val="7BF42965"/>
    <w:rsid w:val="7C164B0D"/>
    <w:rsid w:val="7C6C648E"/>
    <w:rsid w:val="7CB54370"/>
    <w:rsid w:val="7D29427F"/>
    <w:rsid w:val="7D515841"/>
    <w:rsid w:val="7DC33F2B"/>
    <w:rsid w:val="7E062BD5"/>
    <w:rsid w:val="7E5E34B6"/>
    <w:rsid w:val="7E7256AB"/>
    <w:rsid w:val="7ECB797B"/>
    <w:rsid w:val="7F2A28F3"/>
    <w:rsid w:val="7F6036E8"/>
    <w:rsid w:val="7F956EE3"/>
    <w:rsid w:val="7F965CB7"/>
    <w:rsid w:val="7FAB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3">
    <w:name w:val="Normal Indent"/>
    <w:basedOn w:val="1"/>
    <w:qFormat/>
    <w:uiPriority w:val="0"/>
    <w:pPr>
      <w:ind w:firstLine="200" w:firstLineChars="200"/>
    </w:pPr>
  </w:style>
  <w:style w:type="paragraph" w:styleId="4">
    <w:name w:val="Salutation"/>
    <w:basedOn w:val="1"/>
    <w:next w:val="1"/>
    <w:qFormat/>
    <w:uiPriority w:val="0"/>
  </w:style>
  <w:style w:type="paragraph" w:styleId="5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  <w:lang w:bidi="ar-SA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2"/>
    <w:basedOn w:val="14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1"/>
    <w:next w:val="13"/>
    <w:qFormat/>
    <w:uiPriority w:val="0"/>
    <w:pPr>
      <w:widowControl w:val="0"/>
      <w:jc w:val="both"/>
    </w:pPr>
    <w:rPr>
      <w:rFonts w:ascii="Calibri" w:hAnsi="Calibri" w:eastAsia="宋体;SimSun" w:cs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chart" Target="charts/chart7.xml"/><Relationship Id="rId13" Type="http://schemas.openxmlformats.org/officeDocument/2006/relationships/chart" Target="charts/chart6.xml"/><Relationship Id="rId12" Type="http://schemas.openxmlformats.org/officeDocument/2006/relationships/chart" Target="charts/chart5.xml"/><Relationship Id="rId11" Type="http://schemas.openxmlformats.org/officeDocument/2006/relationships/image" Target="media/image1.jpeg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D:\&#26700;&#38754;\&#25968;&#25454;&#36164;&#26009;\&#32479;&#35745;&#25968;&#25454;&#22270;&#34920;&#65288;2020-2024&#652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en-US"/>
              <a:t>图</a:t>
            </a:r>
            <a:r>
              <a:rPr lang="en-US" altLang="zh-CN"/>
              <a:t>1</a:t>
            </a:r>
            <a:r>
              <a:rPr altLang="en-US"/>
              <a:t>：</a:t>
            </a:r>
            <a:r>
              <a:rPr lang="en-US" altLang="zh-CN"/>
              <a:t>2021</a:t>
            </a:r>
            <a:r>
              <a:rPr altLang="en-US"/>
              <a:t>年</a:t>
            </a:r>
            <a:r>
              <a:rPr lang="en-US" altLang="zh-CN"/>
              <a:t>-2025</a:t>
            </a:r>
            <a:r>
              <a:rPr altLang="en-US"/>
              <a:t>年理县地区产生总值及其增速</a:t>
            </a:r>
            <a:endParaRPr lang="en-US" altLang="zh-CN"/>
          </a:p>
        </c:rich>
      </c:tx>
      <c:layout>
        <c:manualLayout>
          <c:xMode val="edge"/>
          <c:yMode val="edge"/>
          <c:x val="0.121532846715328"/>
          <c:y val="0.006981382978723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'[统计数据图表（2020-2024）.xlsx]GDP'!$B$6</c:f>
              <c:strCache>
                <c:ptCount val="1"/>
                <c:pt idx="0">
                  <c:v>地区生产总值（万元）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'[统计数据图表（2020-2024）.xlsx]GDP'!$A$8:$A$12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'[统计数据图表（2020-2024）.xlsx]GDP'!$B$8:$B$12</c:f>
              <c:numCache>
                <c:formatCode>General</c:formatCode>
                <c:ptCount val="5"/>
                <c:pt idx="0">
                  <c:v>313994</c:v>
                </c:pt>
                <c:pt idx="1">
                  <c:v>323991</c:v>
                </c:pt>
                <c:pt idx="2">
                  <c:v>350056</c:v>
                </c:pt>
                <c:pt idx="3">
                  <c:v>375704</c:v>
                </c:pt>
                <c:pt idx="4">
                  <c:v>400436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99689540"/>
        <c:axId val="112168201"/>
      </c:barChart>
      <c:lineChart>
        <c:grouping val="standard"/>
        <c:varyColors val="0"/>
        <c:ser>
          <c:idx val="1"/>
          <c:order val="1"/>
          <c:tx>
            <c:strRef>
              <c:f>'[统计数据图表（2020-2024）.xlsx]GDP'!$C$6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'[统计数据图表（2020-2024）.xlsx]GDP'!$A$8:$A$12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'[统计数据图表（2020-2024）.xlsx]GDP'!$C$8:$C$12</c:f>
              <c:numCache>
                <c:formatCode>General</c:formatCode>
                <c:ptCount val="5"/>
                <c:pt idx="0">
                  <c:v>7.3</c:v>
                </c:pt>
                <c:pt idx="1">
                  <c:v>0.1</c:v>
                </c:pt>
                <c:pt idx="2">
                  <c:v>5.6</c:v>
                </c:pt>
                <c:pt idx="3">
                  <c:v>5</c:v>
                </c:pt>
                <c:pt idx="4">
                  <c:v>6.5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940294233"/>
        <c:axId val="253569763"/>
      </c:lineChart>
      <c:catAx>
        <c:axId val="89968954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12168201"/>
        <c:crosses val="autoZero"/>
        <c:auto val="1"/>
        <c:lblAlgn val="ctr"/>
        <c:lblOffset val="100"/>
        <c:noMultiLvlLbl val="0"/>
      </c:catAx>
      <c:valAx>
        <c:axId val="11216820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99689540"/>
        <c:crosses val="autoZero"/>
        <c:crossBetween val="between"/>
      </c:valAx>
      <c:catAx>
        <c:axId val="940294233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3569763"/>
        <c:crosses val="autoZero"/>
        <c:auto val="1"/>
        <c:lblAlgn val="ctr"/>
        <c:lblOffset val="100"/>
        <c:noMultiLvlLbl val="0"/>
      </c:catAx>
      <c:valAx>
        <c:axId val="253569763"/>
        <c:scaling>
          <c:orientation val="minMax"/>
          <c:max val="15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40294233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2e3ac79-5628-4e3d-8db9-addccabaaa9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图2：2021-2025年三次产业增加值占地区生产总值比重（经普修订后数据）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'[统计数据图表（2020-2024）.xlsx]三次产业'!$C$46</c:f>
              <c:strCache>
                <c:ptCount val="1"/>
                <c:pt idx="0">
                  <c:v>第一产业</c:v>
                </c:pt>
              </c:strCache>
            </c:strRef>
          </c:tx>
          <c:spPr>
            <a:gradFill>
              <a:gsLst>
                <a:gs pos="0">
                  <a:schemeClr val="accent1">
                    <a:lumMod val="40000"/>
                    <a:lumOff val="60000"/>
                  </a:schemeClr>
                </a:gs>
                <a:gs pos="90000">
                  <a:schemeClr val="accent1"/>
                </a:gs>
              </a:gsLst>
              <a:lin ang="5400000" scaled="0"/>
            </a:gradFill>
            <a:ln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75000"/>
                    </a:schemeClr>
                  </a:gs>
                </a:gsLst>
                <a:lin ang="5400000" scaled="1"/>
              </a:gradFill>
            </a:ln>
            <a:effectLst>
              <a:outerShdw blurRad="76200" dist="25400" dir="2700000" algn="tl" rotWithShape="0">
                <a:schemeClr val="accent1">
                  <a:lumMod val="50000"/>
                  <a:alpha val="30000"/>
                </a:scheme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'[统计数据图表（2020-2024）.xlsx]三次产业'!$B$47:$B$51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'[统计数据图表（2020-2024）.xlsx]三次产业'!$C$47:$C$51</c:f>
              <c:numCache>
                <c:formatCode>General</c:formatCode>
                <c:ptCount val="5"/>
                <c:pt idx="0">
                  <c:v>13.9</c:v>
                </c:pt>
                <c:pt idx="1">
                  <c:v>13</c:v>
                </c:pt>
                <c:pt idx="2">
                  <c:v>12.9</c:v>
                </c:pt>
                <c:pt idx="3">
                  <c:v>14.1</c:v>
                </c:pt>
                <c:pt idx="4">
                  <c:v>13.8</c:v>
                </c:pt>
              </c:numCache>
            </c:numRef>
          </c:val>
        </c:ser>
        <c:ser>
          <c:idx val="1"/>
          <c:order val="1"/>
          <c:tx>
            <c:strRef>
              <c:f>'[统计数据图表（2020-2024）.xlsx]三次产业'!$D$46</c:f>
              <c:strCache>
                <c:ptCount val="1"/>
                <c:pt idx="0">
                  <c:v>第二产业</c:v>
                </c:pt>
              </c:strCache>
            </c:strRef>
          </c:tx>
          <c:spPr>
            <a:gradFill>
              <a:gsLst>
                <a:gs pos="0">
                  <a:schemeClr val="accent2">
                    <a:lumMod val="40000"/>
                    <a:lumOff val="60000"/>
                  </a:schemeClr>
                </a:gs>
                <a:gs pos="90000">
                  <a:schemeClr val="accent2"/>
                </a:gs>
              </a:gsLst>
              <a:lin ang="5400000" scaled="0"/>
            </a:gradFill>
            <a:ln>
              <a:gradFill>
                <a:gsLst>
                  <a:gs pos="0">
                    <a:schemeClr val="accent2"/>
                  </a:gs>
                  <a:gs pos="100000">
                    <a:schemeClr val="accent2">
                      <a:lumMod val="75000"/>
                    </a:schemeClr>
                  </a:gs>
                </a:gsLst>
                <a:lin ang="5400000" scaled="1"/>
              </a:gradFill>
            </a:ln>
            <a:effectLst>
              <a:outerShdw blurRad="76200" dist="25400" dir="2700000" algn="tl" rotWithShape="0">
                <a:schemeClr val="accent2">
                  <a:lumMod val="50000"/>
                  <a:alpha val="30000"/>
                </a:scheme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'[统计数据图表（2020-2024）.xlsx]三次产业'!$B$47:$B$51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'[统计数据图表（2020-2024）.xlsx]三次产业'!$D$47:$D$51</c:f>
              <c:numCache>
                <c:formatCode>General</c:formatCode>
                <c:ptCount val="5"/>
                <c:pt idx="0">
                  <c:v>37.2</c:v>
                </c:pt>
                <c:pt idx="1">
                  <c:v>37.6</c:v>
                </c:pt>
                <c:pt idx="2">
                  <c:v>39.7</c:v>
                </c:pt>
                <c:pt idx="3">
                  <c:v>38.1</c:v>
                </c:pt>
                <c:pt idx="4">
                  <c:v>37.6</c:v>
                </c:pt>
              </c:numCache>
            </c:numRef>
          </c:val>
        </c:ser>
        <c:ser>
          <c:idx val="2"/>
          <c:order val="2"/>
          <c:tx>
            <c:strRef>
              <c:f>'[统计数据图表（2020-2024）.xlsx]三次产业'!$E$46</c:f>
              <c:strCache>
                <c:ptCount val="1"/>
                <c:pt idx="0">
                  <c:v>第三产业</c:v>
                </c:pt>
              </c:strCache>
            </c:strRef>
          </c:tx>
          <c:spPr>
            <a:gradFill>
              <a:gsLst>
                <a:gs pos="0">
                  <a:schemeClr val="accent3">
                    <a:lumMod val="40000"/>
                    <a:lumOff val="60000"/>
                  </a:schemeClr>
                </a:gs>
                <a:gs pos="90000">
                  <a:schemeClr val="accent3"/>
                </a:gs>
              </a:gsLst>
              <a:lin ang="5400000" scaled="0"/>
            </a:gradFill>
            <a:ln>
              <a:gradFill>
                <a:gsLst>
                  <a:gs pos="0">
                    <a:schemeClr val="accent3"/>
                  </a:gs>
                  <a:gs pos="100000">
                    <a:schemeClr val="accent3">
                      <a:lumMod val="75000"/>
                    </a:schemeClr>
                  </a:gs>
                </a:gsLst>
                <a:lin ang="5400000" scaled="1"/>
              </a:gradFill>
            </a:ln>
            <a:effectLst>
              <a:outerShdw blurRad="76200" dist="25400" dir="2700000" algn="tl" rotWithShape="0">
                <a:schemeClr val="accent3">
                  <a:lumMod val="50000"/>
                  <a:alpha val="30000"/>
                </a:scheme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'[统计数据图表（2020-2024）.xlsx]三次产业'!$B$47:$B$51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'[统计数据图表（2020-2024）.xlsx]三次产业'!$E$47:$E$51</c:f>
              <c:numCache>
                <c:formatCode>General</c:formatCode>
                <c:ptCount val="5"/>
                <c:pt idx="0">
                  <c:v>48.9</c:v>
                </c:pt>
                <c:pt idx="1">
                  <c:v>49.4</c:v>
                </c:pt>
                <c:pt idx="2">
                  <c:v>47.4</c:v>
                </c:pt>
                <c:pt idx="3">
                  <c:v>47.8</c:v>
                </c:pt>
                <c:pt idx="4">
                  <c:v>48.6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100"/>
        <c:axId val="97753256"/>
        <c:axId val="517774686"/>
      </c:barChart>
      <c:catAx>
        <c:axId val="977532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17774686"/>
        <c:crosses val="autoZero"/>
        <c:auto val="1"/>
        <c:lblAlgn val="ctr"/>
        <c:lblOffset val="100"/>
        <c:noMultiLvlLbl val="0"/>
      </c:catAx>
      <c:valAx>
        <c:axId val="51777468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7753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52d09d8-7a6e-4cdd-9f4b-7badc9b82d1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图</a:t>
            </a:r>
            <a:r>
              <a:rPr lang="en-US" altLang="zh-CN"/>
              <a:t>3</a:t>
            </a:r>
            <a:r>
              <a:rPr altLang="en-US"/>
              <a:t>：</a:t>
            </a:r>
            <a:r>
              <a:t>202</a:t>
            </a:r>
            <a:r>
              <a:rPr lang="en-US" altLang="zh-CN"/>
              <a:t>1</a:t>
            </a:r>
            <a:r>
              <a:t>年-202</a:t>
            </a:r>
            <a:r>
              <a:rPr lang="en-US" altLang="zh-CN"/>
              <a:t>5</a:t>
            </a:r>
            <a:r>
              <a:t>年规模以上工业增加值增速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'[统计数据图表（2020-2024）.xlsx]工业'!$B$6</c:f>
              <c:strCache>
                <c:ptCount val="1"/>
                <c:pt idx="0">
                  <c:v>规模以上工业增加值（%）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'[统计数据图表（2020-2024）.xlsx]工业'!$A$8:$A$12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'[统计数据图表（2020-2024）.xlsx]工业'!$B$8:$B$12</c:f>
              <c:numCache>
                <c:formatCode>General</c:formatCode>
                <c:ptCount val="5"/>
                <c:pt idx="0">
                  <c:v>7.5</c:v>
                </c:pt>
                <c:pt idx="1">
                  <c:v>-4.6</c:v>
                </c:pt>
                <c:pt idx="2">
                  <c:v>8</c:v>
                </c:pt>
                <c:pt idx="3">
                  <c:v>-3.9</c:v>
                </c:pt>
                <c:pt idx="4">
                  <c:v>5.6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578416439"/>
        <c:axId val="460146848"/>
      </c:lineChart>
      <c:catAx>
        <c:axId val="57841643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0146848"/>
        <c:crosses val="autoZero"/>
        <c:auto val="1"/>
        <c:lblAlgn val="ctr"/>
        <c:lblOffset val="100"/>
        <c:noMultiLvlLbl val="0"/>
      </c:catAx>
      <c:valAx>
        <c:axId val="460146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8416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a544efb-a178-4294-8084-84358d2b2af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图</a:t>
            </a:r>
            <a:r>
              <a:rPr lang="en-US" altLang="zh-CN"/>
              <a:t>4</a:t>
            </a:r>
            <a:r>
              <a:rPr altLang="en-US"/>
              <a:t>：</a:t>
            </a:r>
            <a:r>
              <a:rPr lang="en-US" altLang="zh-CN"/>
              <a:t>2021</a:t>
            </a:r>
            <a:r>
              <a:rPr altLang="en-US"/>
              <a:t>年</a:t>
            </a:r>
            <a:r>
              <a:rPr lang="en-US" altLang="zh-CN"/>
              <a:t>-2025</a:t>
            </a:r>
            <a:r>
              <a:rPr altLang="en-US"/>
              <a:t>年建筑业产值及增速</a:t>
            </a:r>
            <a:endParaRPr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63947368421053"/>
          <c:y val="0.177083333333333"/>
          <c:w val="0.839052631578947"/>
          <c:h val="0.6056481481481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'[统计数据图表（2020-2024）.xlsx]建筑业'!$B$5</c:f>
              <c:strCache>
                <c:ptCount val="1"/>
                <c:pt idx="0">
                  <c:v>建筑业产值（万元）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'[统计数据图表（2020-2024）.xlsx]建筑业'!$A$6:$A$10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'[统计数据图表（2020-2024）.xlsx]建筑业'!$B$6:$B$10</c:f>
              <c:numCache>
                <c:formatCode>General</c:formatCode>
                <c:ptCount val="5"/>
                <c:pt idx="0">
                  <c:v>64385</c:v>
                </c:pt>
                <c:pt idx="1">
                  <c:v>80400</c:v>
                </c:pt>
                <c:pt idx="2">
                  <c:v>68787</c:v>
                </c:pt>
                <c:pt idx="3">
                  <c:v>57386</c:v>
                </c:pt>
                <c:pt idx="4">
                  <c:v>73030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1682542"/>
        <c:axId val="304673640"/>
      </c:barChart>
      <c:lineChart>
        <c:grouping val="standard"/>
        <c:varyColors val="0"/>
        <c:ser>
          <c:idx val="1"/>
          <c:order val="1"/>
          <c:tx>
            <c:strRef>
              <c:f>'[统计数据图表（2020-2024）.xlsx]建筑业'!$C$5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'[统计数据图表（2020-2024）.xlsx]建筑业'!$A$6:$A$10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'[统计数据图表（2020-2024）.xlsx]建筑业'!$C$6:$C$10</c:f>
              <c:numCache>
                <c:formatCode>General</c:formatCode>
                <c:ptCount val="5"/>
                <c:pt idx="0">
                  <c:v>-9.7</c:v>
                </c:pt>
                <c:pt idx="1">
                  <c:v>24.7</c:v>
                </c:pt>
                <c:pt idx="2">
                  <c:v>-14.3</c:v>
                </c:pt>
                <c:pt idx="3">
                  <c:v>-16.6</c:v>
                </c:pt>
                <c:pt idx="4">
                  <c:v>27.3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296875156"/>
        <c:axId val="706855392"/>
      </c:lineChart>
      <c:catAx>
        <c:axId val="52168254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4673640"/>
        <c:crosses val="autoZero"/>
        <c:auto val="1"/>
        <c:lblAlgn val="ctr"/>
        <c:lblOffset val="100"/>
        <c:noMultiLvlLbl val="0"/>
      </c:catAx>
      <c:valAx>
        <c:axId val="304673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21682542"/>
        <c:crosses val="autoZero"/>
        <c:crossBetween val="between"/>
      </c:valAx>
      <c:catAx>
        <c:axId val="296875156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06855392"/>
        <c:crosses val="autoZero"/>
        <c:auto val="1"/>
        <c:lblAlgn val="ctr"/>
        <c:lblOffset val="100"/>
        <c:noMultiLvlLbl val="0"/>
      </c:catAx>
      <c:valAx>
        <c:axId val="706855392"/>
        <c:scaling>
          <c:orientation val="minMax"/>
          <c:max val="4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6875156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5711be4-16af-4a08-8f20-cb63d1bfe2e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图</a:t>
            </a:r>
            <a:r>
              <a:rPr lang="en-US" altLang="zh-CN"/>
              <a:t>6</a:t>
            </a:r>
            <a:r>
              <a:rPr altLang="en-US"/>
              <a:t>：</a:t>
            </a:r>
            <a:r>
              <a:rPr lang="en-US" altLang="zh-CN"/>
              <a:t>2021-2025</a:t>
            </a:r>
            <a:r>
              <a:rPr altLang="en-US"/>
              <a:t>年游客接待量及增速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'[统计数据图表（2020-2024）.xlsx]旅游'!$B$16</c:f>
              <c:strCache>
                <c:ptCount val="1"/>
                <c:pt idx="0">
                  <c:v>游客接待量（万人次）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'[统计数据图表（2020-2024）.xlsx]旅游'!$A$17:$A$21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'[统计数据图表（2020-2024）.xlsx]旅游'!$B$17:$B$21</c:f>
              <c:numCache>
                <c:formatCode>General</c:formatCode>
                <c:ptCount val="5"/>
                <c:pt idx="0">
                  <c:v>613</c:v>
                </c:pt>
                <c:pt idx="1">
                  <c:v>516.4</c:v>
                </c:pt>
                <c:pt idx="2">
                  <c:v>546</c:v>
                </c:pt>
                <c:pt idx="3">
                  <c:v>599.9</c:v>
                </c:pt>
                <c:pt idx="4">
                  <c:v>677.97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8680237"/>
        <c:axId val="450883204"/>
      </c:barChart>
      <c:lineChart>
        <c:grouping val="standard"/>
        <c:varyColors val="0"/>
        <c:ser>
          <c:idx val="1"/>
          <c:order val="1"/>
          <c:tx>
            <c:strRef>
              <c:f>'[统计数据图表（2020-2024）.xlsx]旅游'!$C$16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'[统计数据图表（2020-2024）.xlsx]旅游'!$A$17:$A$21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'[统计数据图表（2020-2024）.xlsx]旅游'!$C$17:$C$21</c:f>
              <c:numCache>
                <c:formatCode>General</c:formatCode>
                <c:ptCount val="5"/>
                <c:pt idx="0">
                  <c:v>11</c:v>
                </c:pt>
                <c:pt idx="1">
                  <c:v>-19</c:v>
                </c:pt>
                <c:pt idx="2">
                  <c:v>25.1</c:v>
                </c:pt>
                <c:pt idx="3">
                  <c:v>9.9</c:v>
                </c:pt>
                <c:pt idx="4">
                  <c:v>13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879553171"/>
        <c:axId val="318382283"/>
      </c:lineChart>
      <c:catAx>
        <c:axId val="29868023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50883204"/>
        <c:crosses val="autoZero"/>
        <c:auto val="1"/>
        <c:lblAlgn val="ctr"/>
        <c:lblOffset val="100"/>
        <c:noMultiLvlLbl val="0"/>
      </c:catAx>
      <c:valAx>
        <c:axId val="4508832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8680237"/>
        <c:crosses val="autoZero"/>
        <c:crossBetween val="between"/>
      </c:valAx>
      <c:catAx>
        <c:axId val="879553171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18382283"/>
        <c:crosses val="autoZero"/>
        <c:auto val="1"/>
        <c:lblAlgn val="ctr"/>
        <c:lblOffset val="100"/>
        <c:noMultiLvlLbl val="0"/>
      </c:catAx>
      <c:valAx>
        <c:axId val="318382283"/>
        <c:scaling>
          <c:orientation val="minMax"/>
          <c:max val="5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79553171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3facb81-0bbe-4914-ad32-04727ff44e0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en-US"/>
              <a:t>图</a:t>
            </a:r>
            <a:r>
              <a:rPr lang="en-US" altLang="zh-CN"/>
              <a:t>7</a:t>
            </a:r>
            <a:r>
              <a:rPr altLang="en-US"/>
              <a:t>：</a:t>
            </a:r>
            <a:r>
              <a:rPr lang="en-US" altLang="zh-CN"/>
              <a:t>2021-2025</a:t>
            </a:r>
            <a:r>
              <a:rPr altLang="en-US"/>
              <a:t>年理县社会消费品零售总额及增速（五经普修订后数据）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'[统计数据图表（2020-2024）.xlsx]社销零'!$B$6</c:f>
              <c:strCache>
                <c:ptCount val="1"/>
                <c:pt idx="0">
                  <c:v>社会消费品零售总额（万元）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'[统计数据图表（2020-2024）.xlsx]社销零'!$A$8:$A$12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'[统计数据图表（2020-2024）.xlsx]社销零'!$B$8:$B$12</c:f>
              <c:numCache>
                <c:formatCode>General</c:formatCode>
                <c:ptCount val="5"/>
                <c:pt idx="0">
                  <c:v>53248</c:v>
                </c:pt>
                <c:pt idx="1">
                  <c:v>51237.2</c:v>
                </c:pt>
                <c:pt idx="2">
                  <c:v>54823.8</c:v>
                </c:pt>
                <c:pt idx="3">
                  <c:v>57729.5</c:v>
                </c:pt>
                <c:pt idx="4">
                  <c:v>62091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5781313"/>
        <c:axId val="73459683"/>
      </c:barChart>
      <c:lineChart>
        <c:grouping val="standard"/>
        <c:varyColors val="0"/>
        <c:ser>
          <c:idx val="1"/>
          <c:order val="1"/>
          <c:tx>
            <c:strRef>
              <c:f>'[统计数据图表（2020-2024）.xlsx]社销零'!$C$6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'[统计数据图表（2020-2024）.xlsx]社销零'!$A$8:$A$12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'[统计数据图表（2020-2024）.xlsx]社销零'!$C$8:$C$12</c:f>
              <c:numCache>
                <c:formatCode>0.0_ </c:formatCode>
                <c:ptCount val="5"/>
                <c:pt idx="0">
                  <c:v>10.6</c:v>
                </c:pt>
                <c:pt idx="1" c:formatCode="General">
                  <c:v>-3.8</c:v>
                </c:pt>
                <c:pt idx="2" c:formatCode="General">
                  <c:v>7</c:v>
                </c:pt>
                <c:pt idx="3" c:formatCode="General">
                  <c:v>5.3</c:v>
                </c:pt>
                <c:pt idx="4" c:formatCode="General">
                  <c:v>7.6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97685795"/>
        <c:axId val="605415522"/>
      </c:lineChart>
      <c:catAx>
        <c:axId val="96578131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3459683"/>
        <c:crosses val="autoZero"/>
        <c:auto val="1"/>
        <c:lblAlgn val="ctr"/>
        <c:lblOffset val="100"/>
        <c:noMultiLvlLbl val="0"/>
      </c:catAx>
      <c:valAx>
        <c:axId val="734596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65781313"/>
        <c:crosses val="autoZero"/>
        <c:crossBetween val="between"/>
      </c:valAx>
      <c:catAx>
        <c:axId val="97685795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05415522"/>
        <c:crosses val="autoZero"/>
        <c:auto val="1"/>
        <c:lblAlgn val="ctr"/>
        <c:lblOffset val="100"/>
        <c:noMultiLvlLbl val="0"/>
      </c:catAx>
      <c:valAx>
        <c:axId val="605415522"/>
        <c:scaling>
          <c:orientation val="minMax"/>
          <c:max val="20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7685795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3e39382-2291-49d9-b1e4-1042e07d2a7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图8：2021-202</a:t>
            </a:r>
            <a:r>
              <a:rPr lang="en-US" altLang="zh-CN"/>
              <a:t>5</a:t>
            </a:r>
            <a:r>
              <a:t>年理县地方公共财政收入及增速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'[统计数据图表（2020-2024）.xlsx]财政'!$B$6</c:f>
              <c:strCache>
                <c:ptCount val="1"/>
                <c:pt idx="0">
                  <c:v>地方公共财政收入（万元）</c:v>
                </c:pt>
              </c:strCache>
            </c:strRef>
          </c:tx>
          <c:spPr>
            <a:gradFill>
              <a:gsLst>
                <a:gs pos="0">
                  <a:schemeClr val="accent1">
                    <a:hueOff val="-1670000"/>
                  </a:schemeClr>
                </a:gs>
                <a:gs pos="100000">
                  <a:schemeClr val="accent1"/>
                </a:gs>
              </a:gsLst>
              <a:lin ang="5400000" scaled="0"/>
            </a:gradFill>
            <a:ln>
              <a:gradFill>
                <a:gsLst>
                  <a:gs pos="0">
                    <a:schemeClr val="accent1">
                      <a:lumMod val="75000"/>
                      <a:hueOff val="-1670000"/>
                    </a:schemeClr>
                  </a:gs>
                  <a:gs pos="100000">
                    <a:schemeClr val="accent1">
                      <a:lumMod val="75000"/>
                    </a:schemeClr>
                  </a:gs>
                </a:gsLst>
                <a:lin ang="5160000" scaled="1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'[统计数据图表（2020-2024）.xlsx]财政'!$A$8:$A$12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'[统计数据图表（2020-2024）.xlsx]财政'!$B$8:$B$12</c:f>
              <c:numCache>
                <c:formatCode>0_);[Red]\(0\)</c:formatCode>
                <c:ptCount val="5"/>
                <c:pt idx="0">
                  <c:v>12914</c:v>
                </c:pt>
                <c:pt idx="1" c:formatCode="General">
                  <c:v>9688</c:v>
                </c:pt>
                <c:pt idx="2" c:formatCode="General">
                  <c:v>10400</c:v>
                </c:pt>
                <c:pt idx="3" c:formatCode="General">
                  <c:v>12067</c:v>
                </c:pt>
                <c:pt idx="4" c:formatCode="General">
                  <c:v>18092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7686873"/>
        <c:axId val="652086828"/>
      </c:barChart>
      <c:lineChart>
        <c:grouping val="standard"/>
        <c:varyColors val="0"/>
        <c:ser>
          <c:idx val="1"/>
          <c:order val="1"/>
          <c:tx>
            <c:strRef>
              <c:f>'[统计数据图表（2020-2024）.xlsx]财政'!$C$6</c:f>
              <c:strCache>
                <c:ptCount val="1"/>
                <c:pt idx="0">
                  <c:v>增长（%）</c:v>
                </c:pt>
              </c:strCache>
            </c:strRef>
          </c:tx>
          <c:spPr>
            <a:ln w="28575" cap="rnd">
              <a:gradFill>
                <a:gsLst>
                  <a:gs pos="0">
                    <a:schemeClr val="accent2">
                      <a:hueOff val="-1670000"/>
                    </a:schemeClr>
                  </a:gs>
                  <a:gs pos="100000">
                    <a:schemeClr val="accent2"/>
                  </a:gs>
                </a:gsLst>
                <a:lin ang="5160000" scaled="1"/>
              </a:gra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'[统计数据图表（2020-2024）.xlsx]财政'!$A$8:$A$12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'[统计数据图表（2020-2024）.xlsx]财政'!$C$8:$C$12</c:f>
              <c:numCache>
                <c:formatCode>0.0_ </c:formatCode>
                <c:ptCount val="5"/>
                <c:pt idx="0">
                  <c:v>7.58</c:v>
                </c:pt>
                <c:pt idx="1" c:formatCode="General">
                  <c:v>-25</c:v>
                </c:pt>
                <c:pt idx="2" c:formatCode="General">
                  <c:v>7.4</c:v>
                </c:pt>
                <c:pt idx="3" c:formatCode="General">
                  <c:v>16.1</c:v>
                </c:pt>
                <c:pt idx="4" c:formatCode="General">
                  <c:v>49.8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535040190"/>
        <c:axId val="573810209"/>
      </c:lineChart>
      <c:catAx>
        <c:axId val="62768687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52086828"/>
        <c:crosses val="autoZero"/>
        <c:auto val="1"/>
        <c:lblAlgn val="ctr"/>
        <c:lblOffset val="100"/>
        <c:noMultiLvlLbl val="0"/>
      </c:catAx>
      <c:valAx>
        <c:axId val="6520868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0_);[Red]\(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27686873"/>
        <c:crosses val="autoZero"/>
        <c:crossBetween val="between"/>
      </c:valAx>
      <c:catAx>
        <c:axId val="53504019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3810209"/>
        <c:crosses val="autoZero"/>
        <c:auto val="1"/>
        <c:lblAlgn val="ctr"/>
        <c:lblOffset val="100"/>
        <c:noMultiLvlLbl val="0"/>
      </c:catAx>
      <c:valAx>
        <c:axId val="573810209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3504019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a059078-c296-4e46-a9f0-2edc67406753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2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28575" cap="rnd">
        <a:solidFill>
          <a:schemeClr val="phClr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0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gradFill>
        <a:gsLst>
          <a:gs pos="0">
            <a:schemeClr val="phClr">
              <a:lumMod val="40000"/>
              <a:lumOff val="60000"/>
            </a:schemeClr>
          </a:gs>
          <a:gs pos="90000">
            <a:schemeClr val="phClr"/>
          </a:gs>
        </a:gsLst>
        <a:lin ang="5400000" scaled="0"/>
      </a:gradFill>
      <a:ln>
        <a:gradFill>
          <a:gsLst>
            <a:gs pos="0">
              <a:schemeClr val="phClr"/>
            </a:gs>
            <a:gs pos="100000">
              <a:schemeClr val="phClr">
                <a:lumMod val="75000"/>
              </a:schemeClr>
            </a:gs>
          </a:gsLst>
          <a:lin ang="5400000" scaled="1"/>
        </a:gradFill>
      </a:ln>
      <a:effectLst>
        <a:outerShdw blurRad="76200" dist="25400" dir="2700000" algn="tl" rotWithShape="0">
          <a:schemeClr val="phClr">
            <a:lumMod val="50000"/>
            <a:alpha val="30000"/>
          </a:schemeClr>
        </a:outerShdw>
      </a:effectLst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10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10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3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>
              <a:hueOff val="-1670000"/>
            </a:schemeClr>
          </a:gs>
          <a:gs pos="100000">
            <a:schemeClr val="phClr"/>
          </a:gs>
        </a:gsLst>
        <a:lin ang="5400000" scaled="0"/>
      </a:gradFill>
      <a:ln>
        <a:gradFill>
          <a:gsLst>
            <a:gs pos="0">
              <a:schemeClr val="phClr">
                <a:lumMod val="75000"/>
                <a:hueOff val="-1670000"/>
              </a:schemeClr>
            </a:gs>
            <a:gs pos="100000">
              <a:schemeClr val="phClr">
                <a:lumMod val="75000"/>
              </a:schemeClr>
            </a:gs>
          </a:gsLst>
          <a:lin ang="5160000" scaled="1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>
                <a:hueOff val="-1670000"/>
              </a:schemeClr>
            </a:gs>
            <a:gs pos="100000">
              <a:schemeClr val="phClr"/>
            </a:gs>
          </a:gsLst>
          <a:lin ang="5160000" scaled="1"/>
        </a:gra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2450</Words>
  <Characters>3198</Characters>
  <Lines>0</Lines>
  <Paragraphs>0</Paragraphs>
  <TotalTime>94</TotalTime>
  <ScaleCrop>false</ScaleCrop>
  <LinksUpToDate>false</LinksUpToDate>
  <CharactersWithSpaces>4154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2019-01-15T07:21:00Z</dcterms:created>
  <dc:creator>高原</dc:creator>
  <cp:lastModifiedBy>Eillen 琦</cp:lastModifiedBy>
  <cp:lastPrinted>2026-03-16T07:48:00Z</cp:lastPrinted>
  <dcterms:modified xsi:type="dcterms:W3CDTF">2026-05-06T07:46:06Z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63731A67F60B4F0B8E0505FAA41363C9_13</vt:lpwstr>
  </property>
  <property fmtid="{D5CDD505-2E9C-101B-9397-08002B2CF9AE}" pid="4" name="KSOTemplateDocerSaveRecord">
    <vt:lpwstr>eyJoZGlkIjoiODE5NWYyNWIyZjBmMGVjOGZlOTI1ZDc1NmM0OWJhMzYiLCJ1c2VySWQiOiI1MzQxMzI4NzcifQ==</vt:lpwstr>
  </property>
</Properties>
</file>