
<file path=[Content_Types].xml><?xml version="1.0" encoding="utf-8"?>
<Types xmlns="http://schemas.openxmlformats.org/package/2006/content-types">
  <Default Extension="xlsx" ContentType="application/vnd.openxmlformats-officedocument.spreadsheetml.sheet"/>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000000"/>
          <w:sz w:val="72"/>
          <w:szCs w:val="72"/>
        </w:rPr>
      </w:pPr>
      <w:bookmarkStart w:id="0" w:name="_Toc15306267"/>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jc w:val="center"/>
        <w:rPr>
          <w:rFonts w:ascii="黑体" w:hAnsi="黑体" w:eastAsia="黑体"/>
          <w:sz w:val="72"/>
          <w:szCs w:val="72"/>
        </w:rPr>
      </w:pPr>
      <w:bookmarkStart w:id="1" w:name="_Toc15377425"/>
      <w:bookmarkStart w:id="2" w:name="_Toc15377193"/>
      <w:bookmarkStart w:id="3" w:name="_Toc15378441"/>
      <w:bookmarkStart w:id="4" w:name="_Toc15396597"/>
      <w:bookmarkStart w:id="5" w:name="_Toc15396475"/>
      <w:r>
        <w:rPr>
          <w:rFonts w:ascii="黑体" w:hAnsi="黑体" w:eastAsia="黑体"/>
          <w:sz w:val="72"/>
          <w:szCs w:val="72"/>
        </w:rPr>
        <w:t>202</w:t>
      </w:r>
      <w:r>
        <w:rPr>
          <w:rFonts w:hint="eastAsia" w:ascii="黑体" w:hAnsi="黑体" w:eastAsia="黑体"/>
          <w:sz w:val="72"/>
          <w:szCs w:val="72"/>
        </w:rPr>
        <w:t>1年度</w:t>
      </w:r>
      <w:bookmarkEnd w:id="1"/>
      <w:bookmarkEnd w:id="2"/>
      <w:bookmarkEnd w:id="3"/>
      <w:bookmarkEnd w:id="4"/>
      <w:bookmarkEnd w:id="5"/>
    </w:p>
    <w:p>
      <w:pPr>
        <w:jc w:val="center"/>
        <w:rPr>
          <w:rFonts w:hint="eastAsia" w:ascii="方正小标宋简体" w:hAnsi="宋体" w:eastAsia="方正小标宋简体"/>
          <w:color w:val="000000"/>
          <w:sz w:val="72"/>
          <w:szCs w:val="72"/>
        </w:rPr>
      </w:pPr>
      <w:bookmarkStart w:id="6" w:name="_Toc15396476"/>
      <w:bookmarkStart w:id="7" w:name="_Toc15378442"/>
      <w:bookmarkStart w:id="8" w:name="_Toc15377194"/>
      <w:bookmarkStart w:id="9" w:name="_Toc15377426"/>
      <w:bookmarkStart w:id="10" w:name="_Toc15396598"/>
      <w:r>
        <w:rPr>
          <w:rFonts w:hint="eastAsia" w:ascii="方正小标宋简体" w:eastAsia="方正小标宋简体"/>
          <w:sz w:val="72"/>
          <w:szCs w:val="72"/>
        </w:rPr>
        <w:t>阿坝州</w:t>
      </w:r>
      <w:bookmarkEnd w:id="0"/>
      <w:bookmarkStart w:id="11" w:name="_Toc83649035"/>
      <w:bookmarkStart w:id="12" w:name="_Toc83638784"/>
      <w:bookmarkStart w:id="13" w:name="_Toc83649076"/>
      <w:bookmarkStart w:id="14" w:name="_Toc85788527"/>
      <w:bookmarkStart w:id="15" w:name="_Toc83638758"/>
      <w:bookmarkStart w:id="16" w:name="_Toc85788614"/>
      <w:bookmarkStart w:id="17" w:name="_Toc83638817"/>
      <w:bookmarkStart w:id="18" w:name="_Toc15306268"/>
      <w:r>
        <w:rPr>
          <w:rFonts w:hint="eastAsia" w:ascii="方正小标宋简体" w:eastAsia="方正小标宋简体"/>
          <w:sz w:val="72"/>
          <w:szCs w:val="72"/>
          <w:lang w:eastAsia="zh-CN"/>
        </w:rPr>
        <w:t>理县</w:t>
      </w:r>
      <w:r>
        <w:rPr>
          <w:rFonts w:hint="eastAsia" w:ascii="方正小标宋简体" w:hAnsi="宋体" w:eastAsia="方正小标宋简体"/>
          <w:color w:val="000000"/>
          <w:sz w:val="72"/>
          <w:szCs w:val="72"/>
        </w:rPr>
        <w:t>医疗保障局</w:t>
      </w:r>
      <w:bookmarkEnd w:id="11"/>
      <w:bookmarkEnd w:id="12"/>
      <w:bookmarkEnd w:id="13"/>
      <w:bookmarkEnd w:id="14"/>
      <w:bookmarkEnd w:id="15"/>
      <w:bookmarkEnd w:id="16"/>
      <w:bookmarkEnd w:id="17"/>
      <w:bookmarkStart w:id="194" w:name="_GoBack"/>
      <w:bookmarkEnd w:id="194"/>
    </w:p>
    <w:p>
      <w:pPr>
        <w:jc w:val="center"/>
        <w:rPr>
          <w:rFonts w:ascii="方正小标宋简体" w:eastAsia="方正小标宋简体"/>
          <w:sz w:val="72"/>
          <w:szCs w:val="72"/>
        </w:rPr>
      </w:pPr>
      <w:r>
        <w:rPr>
          <w:rFonts w:hint="eastAsia" w:ascii="方正小标宋简体" w:eastAsia="方正小标宋简体"/>
          <w:sz w:val="72"/>
          <w:szCs w:val="72"/>
        </w:rPr>
        <w:t>部门决算</w:t>
      </w:r>
      <w:bookmarkEnd w:id="6"/>
      <w:bookmarkEnd w:id="7"/>
      <w:bookmarkEnd w:id="8"/>
      <w:bookmarkEnd w:id="9"/>
      <w:bookmarkEnd w:id="10"/>
      <w:bookmarkEnd w:id="18"/>
    </w:p>
    <w:p>
      <w:pPr>
        <w:widowControl/>
        <w:jc w:val="center"/>
        <w:rPr>
          <w:rFonts w:ascii="方正小标宋简体" w:hAnsi="宋体" w:eastAsia="方正小标宋简体"/>
          <w:color w:val="000000"/>
          <w:sz w:val="36"/>
          <w:szCs w:val="36"/>
        </w:rPr>
      </w:pPr>
    </w:p>
    <w:p>
      <w:pPr>
        <w:rPr>
          <w:rFonts w:ascii="方正小标宋简体" w:hAnsi="宋体" w:eastAsia="方正小标宋简体"/>
          <w:sz w:val="36"/>
          <w:szCs w:val="36"/>
        </w:rPr>
      </w:pPr>
    </w:p>
    <w:p>
      <w:pPr>
        <w:rPr>
          <w:rFonts w:ascii="方正小标宋简体" w:hAnsi="宋体" w:eastAsia="方正小标宋简体"/>
          <w:sz w:val="36"/>
          <w:szCs w:val="36"/>
        </w:rPr>
      </w:pPr>
    </w:p>
    <w:p>
      <w:pPr>
        <w:rPr>
          <w:rFonts w:ascii="方正小标宋简体" w:hAnsi="宋体" w:eastAsia="方正小标宋简体"/>
          <w:sz w:val="36"/>
          <w:szCs w:val="36"/>
        </w:rPr>
      </w:pPr>
    </w:p>
    <w:p>
      <w:pPr>
        <w:rPr>
          <w:rFonts w:ascii="方正小标宋简体" w:hAnsi="宋体" w:eastAsia="方正小标宋简体"/>
          <w:sz w:val="36"/>
          <w:szCs w:val="36"/>
        </w:rPr>
      </w:pPr>
    </w:p>
    <w:p>
      <w:pPr>
        <w:rPr>
          <w:rFonts w:ascii="方正小标宋简体" w:hAnsi="宋体" w:eastAsia="方正小标宋简体"/>
          <w:sz w:val="36"/>
          <w:szCs w:val="36"/>
        </w:rPr>
      </w:pPr>
    </w:p>
    <w:p>
      <w:pPr>
        <w:pStyle w:val="19"/>
        <w:rPr>
          <w:rFonts w:ascii="方正小标宋简体" w:hAnsi="宋体" w:eastAsia="方正小标宋简体"/>
          <w:sz w:val="36"/>
          <w:szCs w:val="36"/>
        </w:rPr>
      </w:pPr>
    </w:p>
    <w:p>
      <w:pPr>
        <w:rPr>
          <w:rFonts w:ascii="方正小标宋简体" w:hAnsi="宋体" w:eastAsia="方正小标宋简体"/>
          <w:sz w:val="36"/>
          <w:szCs w:val="36"/>
        </w:rPr>
      </w:pPr>
    </w:p>
    <w:p>
      <w:pPr>
        <w:pStyle w:val="19"/>
        <w:rPr>
          <w:rFonts w:ascii="方正小标宋简体" w:hAnsi="宋体" w:eastAsia="方正小标宋简体"/>
          <w:sz w:val="36"/>
          <w:szCs w:val="36"/>
        </w:rPr>
      </w:pPr>
    </w:p>
    <w:p/>
    <w:p>
      <w:pPr>
        <w:rPr>
          <w:rFonts w:ascii="方正小标宋简体" w:hAnsi="宋体" w:eastAsia="方正小标宋简体"/>
          <w:sz w:val="36"/>
          <w:szCs w:val="36"/>
        </w:rPr>
      </w:pPr>
    </w:p>
    <w:p>
      <w:pPr>
        <w:autoSpaceDE w:val="0"/>
        <w:autoSpaceDN w:val="0"/>
        <w:adjustRightInd w:val="0"/>
        <w:ind w:left="420" w:leftChars="200"/>
        <w:jc w:val="left"/>
        <w:rPr>
          <w:rFonts w:ascii="宋体" w:hAnsi="宋体"/>
          <w:sz w:val="32"/>
          <w:szCs w:val="32"/>
        </w:rPr>
      </w:pPr>
      <w:r>
        <w:rPr>
          <w:rFonts w:hint="eastAsia" w:ascii="宋体" w:hAnsi="宋体" w:cs="仿宋_GB2312"/>
          <w:sz w:val="32"/>
          <w:szCs w:val="32"/>
        </w:rPr>
        <w:t>保密审查情况：已审查，内容审定</w:t>
      </w:r>
    </w:p>
    <w:p>
      <w:pPr>
        <w:autoSpaceDE w:val="0"/>
        <w:autoSpaceDN w:val="0"/>
        <w:adjustRightInd w:val="0"/>
        <w:ind w:left="420" w:leftChars="200"/>
        <w:jc w:val="left"/>
        <w:rPr>
          <w:rFonts w:ascii="宋体" w:hAnsi="宋体"/>
          <w:sz w:val="32"/>
          <w:szCs w:val="32"/>
        </w:rPr>
      </w:pPr>
      <w:r>
        <w:rPr>
          <w:rFonts w:hint="eastAsia" w:ascii="宋体" w:hAnsi="宋体" w:cs="仿宋_GB2312"/>
          <w:sz w:val="32"/>
          <w:szCs w:val="32"/>
        </w:rPr>
        <w:t>部门主要负责人审签情况：已审签，同意对外公开</w:t>
      </w:r>
    </w:p>
    <w:p>
      <w:pPr>
        <w:widowControl/>
        <w:jc w:val="center"/>
        <w:rPr>
          <w:rFonts w:ascii="方正小标宋简体" w:hAnsi="宋体" w:eastAsia="方正小标宋简体"/>
          <w:color w:val="000000"/>
          <w:sz w:val="36"/>
          <w:szCs w:val="36"/>
        </w:rPr>
      </w:pPr>
    </w:p>
    <w:p>
      <w:pPr>
        <w:widowControl/>
        <w:jc w:val="center"/>
        <w:rPr>
          <w:rFonts w:ascii="黑体" w:hAnsi="黑体" w:eastAsia="黑体"/>
          <w:color w:val="000000"/>
          <w:sz w:val="48"/>
          <w:szCs w:val="48"/>
        </w:rPr>
      </w:pPr>
      <w:r>
        <w:rPr>
          <w:rFonts w:hint="eastAsia" w:ascii="黑体" w:hAnsi="黑体" w:eastAsia="黑体"/>
          <w:color w:val="000000"/>
          <w:sz w:val="48"/>
          <w:szCs w:val="48"/>
        </w:rPr>
        <w:t>目录</w:t>
      </w:r>
    </w:p>
    <w:p>
      <w:pPr>
        <w:pStyle w:val="16"/>
        <w:jc w:val="center"/>
        <w:rPr>
          <w:rFonts w:hAnsi="等线"/>
          <w:b w:val="0"/>
          <w:bCs w:val="0"/>
          <w:sz w:val="24"/>
          <w:szCs w:val="24"/>
        </w:rPr>
      </w:pPr>
      <w:r>
        <w:rPr>
          <w:rFonts w:hint="eastAsia" w:hAnsi="等线"/>
          <w:b w:val="0"/>
          <w:bCs w:val="0"/>
          <w:sz w:val="24"/>
          <w:szCs w:val="24"/>
        </w:rPr>
        <w:t xml:space="preserve">公开时间：2022年 </w:t>
      </w:r>
      <w:r>
        <w:rPr>
          <w:rFonts w:hint="eastAsia" w:hAnsi="等线"/>
          <w:b w:val="0"/>
          <w:bCs w:val="0"/>
          <w:sz w:val="24"/>
          <w:szCs w:val="24"/>
          <w:lang w:val="en-US" w:eastAsia="zh-CN"/>
        </w:rPr>
        <w:t>10</w:t>
      </w:r>
      <w:r>
        <w:rPr>
          <w:rFonts w:hint="eastAsia" w:hAnsi="等线"/>
          <w:b w:val="0"/>
          <w:bCs w:val="0"/>
          <w:sz w:val="24"/>
          <w:szCs w:val="24"/>
        </w:rPr>
        <w:t xml:space="preserve">月 </w:t>
      </w:r>
    </w:p>
    <w:p>
      <w:pPr>
        <w:pStyle w:val="16"/>
        <w:tabs>
          <w:tab w:val="right" w:leader="dot" w:pos="8296"/>
        </w:tabs>
        <w:rPr>
          <w:rFonts w:hAnsi="等线" w:eastAsia="等线" w:cs="Times New Roman"/>
          <w:b w:val="0"/>
          <w:bCs w:val="0"/>
          <w:caps w:val="0"/>
          <w:sz w:val="21"/>
          <w:szCs w:val="22"/>
        </w:rPr>
      </w:pPr>
      <w:r>
        <w:rPr>
          <w:b w:val="0"/>
          <w:bCs w:val="0"/>
          <w:caps w:val="0"/>
        </w:rPr>
        <w:fldChar w:fldCharType="begin"/>
      </w:r>
      <w:r>
        <w:rPr>
          <w:b w:val="0"/>
          <w:bCs w:val="0"/>
          <w:caps w:val="0"/>
        </w:rPr>
        <w:instrText xml:space="preserve"> TOC \o \u </w:instrText>
      </w:r>
      <w:r>
        <w:rPr>
          <w:b w:val="0"/>
          <w:bCs w:val="0"/>
          <w:caps w:val="0"/>
        </w:rPr>
        <w:fldChar w:fldCharType="separate"/>
      </w:r>
      <w:r>
        <w:rPr>
          <w:rFonts w:ascii="黑体" w:hAnsi="黑体" w:eastAsia="黑体"/>
          <w:b w:val="0"/>
        </w:rPr>
        <w:t xml:space="preserve">第一部分 </w:t>
      </w:r>
      <w:r>
        <w:rPr>
          <w:rFonts w:ascii="黑体" w:hAnsi="黑体" w:eastAsia="黑体"/>
          <w:b w:val="0"/>
          <w:bCs w:val="0"/>
        </w:rPr>
        <w:t>部门概况</w:t>
      </w:r>
      <w:r>
        <w:tab/>
      </w:r>
      <w:r>
        <w:fldChar w:fldCharType="begin"/>
      </w:r>
      <w:r>
        <w:instrText xml:space="preserve"> PAGEREF _Toc79163851 \h </w:instrText>
      </w:r>
      <w:r>
        <w:fldChar w:fldCharType="separate"/>
      </w:r>
      <w:r>
        <w:t>4</w:t>
      </w:r>
      <w:r>
        <w:fldChar w:fldCharType="end"/>
      </w:r>
    </w:p>
    <w:p>
      <w:pPr>
        <w:pStyle w:val="20"/>
        <w:tabs>
          <w:tab w:val="right" w:leader="dot" w:pos="8296"/>
        </w:tabs>
        <w:rPr>
          <w:rFonts w:hAnsi="等线" w:eastAsia="等线" w:cs="Times New Roman"/>
          <w:smallCaps w:val="0"/>
          <w:sz w:val="21"/>
          <w:szCs w:val="22"/>
        </w:rPr>
      </w:pPr>
      <w:r>
        <w:rPr>
          <w:rFonts w:ascii="黑体" w:hAnsi="黑体" w:eastAsia="黑体"/>
          <w:color w:val="000000"/>
        </w:rPr>
        <w:t>一、基</w:t>
      </w:r>
      <w:r>
        <w:rPr>
          <w:rFonts w:ascii="黑体" w:hAnsi="黑体" w:eastAsia="黑体"/>
        </w:rPr>
        <w:t>本职能及主要工作</w:t>
      </w:r>
      <w:r>
        <w:tab/>
      </w:r>
      <w:r>
        <w:fldChar w:fldCharType="begin"/>
      </w:r>
      <w:r>
        <w:instrText xml:space="preserve"> PAGEREF _Toc79163852 \h </w:instrText>
      </w:r>
      <w:r>
        <w:fldChar w:fldCharType="separate"/>
      </w:r>
      <w:r>
        <w:t>4</w:t>
      </w:r>
      <w:r>
        <w:fldChar w:fldCharType="end"/>
      </w:r>
    </w:p>
    <w:p>
      <w:pPr>
        <w:pStyle w:val="11"/>
        <w:tabs>
          <w:tab w:val="right" w:leader="dot" w:pos="8296"/>
        </w:tabs>
        <w:rPr>
          <w:rFonts w:hAnsi="等线" w:eastAsia="等线" w:cs="Times New Roman"/>
          <w:i w:val="0"/>
          <w:iCs w:val="0"/>
          <w:sz w:val="21"/>
          <w:szCs w:val="22"/>
        </w:rPr>
      </w:pPr>
      <w:r>
        <w:rPr>
          <w:rFonts w:ascii="仿宋" w:hAnsi="仿宋" w:eastAsia="仿宋"/>
          <w:bCs/>
          <w:color w:val="000000"/>
        </w:rPr>
        <w:t>（一）主要职能。</w:t>
      </w:r>
      <w:r>
        <w:tab/>
      </w:r>
      <w:r>
        <w:fldChar w:fldCharType="begin"/>
      </w:r>
      <w:r>
        <w:instrText xml:space="preserve"> PAGEREF _Toc79163853 \h </w:instrText>
      </w:r>
      <w:r>
        <w:fldChar w:fldCharType="separate"/>
      </w:r>
      <w:r>
        <w:t>4</w:t>
      </w:r>
      <w:r>
        <w:fldChar w:fldCharType="end"/>
      </w:r>
    </w:p>
    <w:p>
      <w:pPr>
        <w:pStyle w:val="11"/>
        <w:tabs>
          <w:tab w:val="right" w:leader="dot" w:pos="8296"/>
        </w:tabs>
        <w:rPr>
          <w:rFonts w:hAnsi="等线" w:eastAsia="等线" w:cs="Times New Roman"/>
          <w:i w:val="0"/>
          <w:iCs w:val="0"/>
          <w:sz w:val="21"/>
          <w:szCs w:val="22"/>
        </w:rPr>
      </w:pPr>
      <w:r>
        <w:rPr>
          <w:rFonts w:ascii="仿宋" w:hAnsi="仿宋" w:eastAsia="仿宋"/>
          <w:bCs/>
          <w:color w:val="000000"/>
        </w:rPr>
        <w:t>（二）202</w:t>
      </w:r>
      <w:r>
        <w:rPr>
          <w:rFonts w:hint="eastAsia" w:ascii="仿宋" w:hAnsi="仿宋" w:eastAsia="仿宋"/>
          <w:bCs/>
          <w:color w:val="000000"/>
        </w:rPr>
        <w:t>1</w:t>
      </w:r>
      <w:r>
        <w:rPr>
          <w:rFonts w:ascii="仿宋" w:hAnsi="仿宋" w:eastAsia="仿宋"/>
          <w:bCs/>
          <w:color w:val="000000"/>
        </w:rPr>
        <w:t>年重点工作完成情况。</w:t>
      </w:r>
      <w:r>
        <w:tab/>
      </w:r>
      <w:r>
        <w:fldChar w:fldCharType="begin"/>
      </w:r>
      <w:r>
        <w:instrText xml:space="preserve"> PAGEREF _Toc79163854 \h </w:instrText>
      </w:r>
      <w:r>
        <w:fldChar w:fldCharType="separate"/>
      </w:r>
      <w:r>
        <w:t>6</w:t>
      </w:r>
      <w:r>
        <w:fldChar w:fldCharType="end"/>
      </w:r>
    </w:p>
    <w:p>
      <w:pPr>
        <w:pStyle w:val="20"/>
        <w:tabs>
          <w:tab w:val="right" w:leader="dot" w:pos="8296"/>
        </w:tabs>
        <w:rPr>
          <w:rFonts w:hAnsi="等线" w:eastAsia="等线" w:cs="Times New Roman"/>
          <w:smallCaps w:val="0"/>
          <w:sz w:val="21"/>
          <w:szCs w:val="22"/>
        </w:rPr>
      </w:pPr>
      <w:r>
        <w:rPr>
          <w:rFonts w:ascii="黑体" w:eastAsia="黑体"/>
          <w:color w:val="000000"/>
        </w:rPr>
        <w:t>二、</w:t>
      </w:r>
      <w:r>
        <w:rPr>
          <w:rFonts w:ascii="黑体" w:hAnsi="黑体" w:eastAsia="黑体"/>
          <w:color w:val="000000"/>
        </w:rPr>
        <w:t>机</w:t>
      </w:r>
      <w:r>
        <w:rPr>
          <w:rFonts w:ascii="黑体" w:hAnsi="黑体" w:eastAsia="黑体"/>
        </w:rPr>
        <w:t>构设置</w:t>
      </w:r>
      <w:r>
        <w:tab/>
      </w:r>
      <w:r>
        <w:fldChar w:fldCharType="begin"/>
      </w:r>
      <w:r>
        <w:instrText xml:space="preserve"> PAGEREF _Toc79163855 \h </w:instrText>
      </w:r>
      <w:r>
        <w:fldChar w:fldCharType="separate"/>
      </w:r>
      <w:r>
        <w:t>7</w:t>
      </w:r>
      <w:r>
        <w:fldChar w:fldCharType="end"/>
      </w:r>
    </w:p>
    <w:p>
      <w:pPr>
        <w:pStyle w:val="16"/>
        <w:tabs>
          <w:tab w:val="right" w:leader="dot" w:pos="8296"/>
        </w:tabs>
        <w:rPr>
          <w:rFonts w:hAnsi="等线" w:eastAsia="等线" w:cs="Times New Roman"/>
          <w:b w:val="0"/>
          <w:bCs w:val="0"/>
          <w:caps w:val="0"/>
          <w:sz w:val="21"/>
          <w:szCs w:val="22"/>
        </w:rPr>
      </w:pPr>
      <w:r>
        <w:rPr>
          <w:rFonts w:ascii="黑体" w:hAnsi="黑体" w:eastAsia="黑体"/>
          <w:b w:val="0"/>
          <w:color w:val="000000"/>
        </w:rPr>
        <w:t>第二部分</w:t>
      </w:r>
      <w:r>
        <w:rPr>
          <w:rFonts w:ascii="黑体" w:hAnsi="黑体" w:eastAsia="黑体"/>
          <w:color w:val="000000"/>
        </w:rPr>
        <w:t xml:space="preserve"> </w:t>
      </w:r>
      <w:r>
        <w:rPr>
          <w:rFonts w:ascii="黑体" w:hAnsi="黑体" w:eastAsia="黑体"/>
          <w:b w:val="0"/>
          <w:bCs w:val="0"/>
        </w:rPr>
        <w:t>202</w:t>
      </w:r>
      <w:r>
        <w:rPr>
          <w:rFonts w:hint="eastAsia" w:ascii="黑体" w:hAnsi="黑体" w:eastAsia="黑体"/>
          <w:b w:val="0"/>
          <w:bCs w:val="0"/>
        </w:rPr>
        <w:t>1</w:t>
      </w:r>
      <w:r>
        <w:rPr>
          <w:rFonts w:ascii="黑体" w:hAnsi="黑体" w:eastAsia="黑体"/>
          <w:b w:val="0"/>
          <w:bCs w:val="0"/>
        </w:rPr>
        <w:t>年度部门决算情况说明</w:t>
      </w:r>
      <w:r>
        <w:tab/>
      </w:r>
      <w:r>
        <w:fldChar w:fldCharType="begin"/>
      </w:r>
      <w:r>
        <w:instrText xml:space="preserve"> PAGEREF _Toc79163859 \h </w:instrText>
      </w:r>
      <w:r>
        <w:fldChar w:fldCharType="separate"/>
      </w:r>
      <w:r>
        <w:t>8</w:t>
      </w:r>
      <w:r>
        <w:fldChar w:fldCharType="end"/>
      </w:r>
    </w:p>
    <w:p>
      <w:pPr>
        <w:pStyle w:val="20"/>
        <w:tabs>
          <w:tab w:val="left" w:pos="840"/>
          <w:tab w:val="right" w:leader="dot" w:pos="8296"/>
        </w:tabs>
        <w:rPr>
          <w:rFonts w:hAnsi="等线" w:eastAsia="等线" w:cs="Times New Roman"/>
          <w:smallCaps w:val="0"/>
          <w:sz w:val="21"/>
          <w:szCs w:val="22"/>
        </w:rPr>
      </w:pPr>
      <w:r>
        <w:rPr>
          <w:rFonts w:ascii="黑体" w:hAnsi="黑体" w:eastAsia="黑体"/>
          <w:bCs/>
        </w:rPr>
        <w:t>一、</w:t>
      </w:r>
      <w:r>
        <w:rPr>
          <w:rFonts w:hAnsi="等线" w:eastAsia="等线" w:cs="Times New Roman"/>
          <w:smallCaps w:val="0"/>
          <w:sz w:val="21"/>
          <w:szCs w:val="22"/>
        </w:rPr>
        <w:tab/>
      </w:r>
      <w:r>
        <w:rPr>
          <w:rFonts w:ascii="黑体" w:hAnsi="黑体" w:eastAsia="黑体"/>
          <w:color w:val="000000"/>
        </w:rPr>
        <w:t>收</w:t>
      </w:r>
      <w:r>
        <w:rPr>
          <w:rFonts w:ascii="黑体" w:hAnsi="黑体" w:eastAsia="黑体"/>
          <w:bCs/>
        </w:rPr>
        <w:t>入支出决算总体情况说明</w:t>
      </w:r>
      <w:r>
        <w:tab/>
      </w:r>
      <w:r>
        <w:fldChar w:fldCharType="begin"/>
      </w:r>
      <w:r>
        <w:instrText xml:space="preserve"> PAGEREF _Toc79163860 \h </w:instrText>
      </w:r>
      <w:r>
        <w:fldChar w:fldCharType="separate"/>
      </w:r>
      <w:r>
        <w:t>8</w:t>
      </w:r>
      <w:r>
        <w:fldChar w:fldCharType="end"/>
      </w:r>
    </w:p>
    <w:p>
      <w:pPr>
        <w:pStyle w:val="20"/>
        <w:tabs>
          <w:tab w:val="left" w:pos="840"/>
          <w:tab w:val="right" w:leader="dot" w:pos="8296"/>
        </w:tabs>
        <w:rPr>
          <w:rFonts w:hAnsi="等线" w:eastAsia="等线" w:cs="Times New Roman"/>
          <w:smallCaps w:val="0"/>
          <w:sz w:val="21"/>
          <w:szCs w:val="22"/>
        </w:rPr>
      </w:pPr>
      <w:r>
        <w:rPr>
          <w:rFonts w:ascii="黑体" w:hAnsi="黑体" w:eastAsia="黑体"/>
          <w:bCs/>
        </w:rPr>
        <w:t>二、</w:t>
      </w:r>
      <w:r>
        <w:rPr>
          <w:rFonts w:hAnsi="等线" w:eastAsia="等线" w:cs="Times New Roman"/>
          <w:smallCaps w:val="0"/>
          <w:sz w:val="21"/>
          <w:szCs w:val="22"/>
        </w:rPr>
        <w:tab/>
      </w:r>
      <w:r>
        <w:rPr>
          <w:rFonts w:ascii="黑体" w:hAnsi="黑体" w:eastAsia="黑体"/>
          <w:color w:val="000000"/>
        </w:rPr>
        <w:t>收</w:t>
      </w:r>
      <w:r>
        <w:rPr>
          <w:rFonts w:ascii="黑体" w:hAnsi="黑体" w:eastAsia="黑体"/>
          <w:bCs/>
        </w:rPr>
        <w:t>入决算情况说明</w:t>
      </w:r>
      <w:r>
        <w:tab/>
      </w:r>
      <w:r>
        <w:fldChar w:fldCharType="begin"/>
      </w:r>
      <w:r>
        <w:instrText xml:space="preserve"> PAGEREF _Toc79163861 \h </w:instrText>
      </w:r>
      <w:r>
        <w:fldChar w:fldCharType="separate"/>
      </w:r>
      <w:r>
        <w:t>9</w:t>
      </w:r>
      <w:r>
        <w:fldChar w:fldCharType="end"/>
      </w:r>
    </w:p>
    <w:p>
      <w:pPr>
        <w:pStyle w:val="20"/>
        <w:tabs>
          <w:tab w:val="left" w:pos="840"/>
          <w:tab w:val="right" w:leader="dot" w:pos="8296"/>
        </w:tabs>
        <w:rPr>
          <w:rFonts w:hAnsi="等线" w:eastAsia="等线" w:cs="Times New Roman"/>
          <w:smallCaps w:val="0"/>
          <w:sz w:val="21"/>
          <w:szCs w:val="22"/>
        </w:rPr>
      </w:pPr>
      <w:r>
        <w:rPr>
          <w:rFonts w:ascii="黑体" w:hAnsi="黑体" w:eastAsia="黑体"/>
          <w:bCs/>
        </w:rPr>
        <w:t>三、</w:t>
      </w:r>
      <w:r>
        <w:rPr>
          <w:rFonts w:hAnsi="等线" w:eastAsia="等线" w:cs="Times New Roman"/>
          <w:smallCaps w:val="0"/>
          <w:sz w:val="21"/>
          <w:szCs w:val="22"/>
        </w:rPr>
        <w:tab/>
      </w:r>
      <w:r>
        <w:rPr>
          <w:rFonts w:ascii="黑体" w:hAnsi="黑体" w:eastAsia="黑体"/>
          <w:color w:val="000000"/>
        </w:rPr>
        <w:t>支</w:t>
      </w:r>
      <w:r>
        <w:rPr>
          <w:rFonts w:ascii="黑体" w:hAnsi="黑体" w:eastAsia="黑体"/>
          <w:bCs/>
        </w:rPr>
        <w:t>出决算情况说明</w:t>
      </w:r>
      <w:r>
        <w:tab/>
      </w:r>
      <w:r>
        <w:fldChar w:fldCharType="begin"/>
      </w:r>
      <w:r>
        <w:instrText xml:space="preserve"> PAGEREF _Toc79163862 \h </w:instrText>
      </w:r>
      <w:r>
        <w:fldChar w:fldCharType="separate"/>
      </w:r>
      <w:r>
        <w:t>9</w:t>
      </w:r>
      <w:r>
        <w:fldChar w:fldCharType="end"/>
      </w:r>
    </w:p>
    <w:p>
      <w:pPr>
        <w:pStyle w:val="20"/>
        <w:tabs>
          <w:tab w:val="right" w:leader="dot" w:pos="8296"/>
        </w:tabs>
        <w:rPr>
          <w:rFonts w:hAnsi="等线" w:eastAsia="等线" w:cs="Times New Roman"/>
          <w:smallCaps w:val="0"/>
          <w:sz w:val="21"/>
          <w:szCs w:val="22"/>
        </w:rPr>
      </w:pPr>
      <w:r>
        <w:rPr>
          <w:rFonts w:ascii="黑体" w:hAnsi="黑体" w:eastAsia="黑体"/>
          <w:color w:val="000000"/>
        </w:rPr>
        <w:t>四、财</w:t>
      </w:r>
      <w:r>
        <w:rPr>
          <w:rFonts w:ascii="黑体" w:hAnsi="黑体" w:eastAsia="黑体"/>
          <w:bCs/>
        </w:rPr>
        <w:t>政拨款收入支出决算总体情况说明</w:t>
      </w:r>
      <w:r>
        <w:tab/>
      </w:r>
      <w:r>
        <w:fldChar w:fldCharType="begin"/>
      </w:r>
      <w:r>
        <w:instrText xml:space="preserve"> PAGEREF _Toc79163863 \h </w:instrText>
      </w:r>
      <w:r>
        <w:fldChar w:fldCharType="separate"/>
      </w:r>
      <w:r>
        <w:t>10</w:t>
      </w:r>
      <w:r>
        <w:fldChar w:fldCharType="end"/>
      </w:r>
    </w:p>
    <w:p>
      <w:pPr>
        <w:pStyle w:val="20"/>
        <w:tabs>
          <w:tab w:val="right" w:leader="dot" w:pos="8296"/>
        </w:tabs>
        <w:rPr>
          <w:rFonts w:hAnsi="等线" w:eastAsia="等线" w:cs="Times New Roman"/>
          <w:smallCaps w:val="0"/>
          <w:sz w:val="21"/>
          <w:szCs w:val="22"/>
        </w:rPr>
      </w:pPr>
      <w:r>
        <w:rPr>
          <w:rFonts w:ascii="黑体" w:hAnsi="黑体" w:eastAsia="黑体"/>
          <w:color w:val="000000"/>
        </w:rPr>
        <w:t>五、</w:t>
      </w:r>
      <w:r>
        <w:rPr>
          <w:rFonts w:ascii="黑体" w:hAnsi="黑体" w:eastAsia="黑体"/>
          <w:b/>
          <w:color w:val="000000"/>
        </w:rPr>
        <w:t>一</w:t>
      </w:r>
      <w:r>
        <w:rPr>
          <w:rFonts w:ascii="黑体" w:hAnsi="黑体" w:eastAsia="黑体"/>
          <w:bCs/>
        </w:rPr>
        <w:t>般公共预算财政拨款支出决算情况说明</w:t>
      </w:r>
      <w:r>
        <w:tab/>
      </w:r>
      <w:r>
        <w:fldChar w:fldCharType="begin"/>
      </w:r>
      <w:r>
        <w:instrText xml:space="preserve"> PAGEREF _Toc79163864 \h </w:instrText>
      </w:r>
      <w:r>
        <w:fldChar w:fldCharType="separate"/>
      </w:r>
      <w:r>
        <w:t>11</w:t>
      </w:r>
      <w:r>
        <w:fldChar w:fldCharType="end"/>
      </w:r>
    </w:p>
    <w:p>
      <w:pPr>
        <w:pStyle w:val="11"/>
        <w:tabs>
          <w:tab w:val="right" w:leader="dot" w:pos="8296"/>
        </w:tabs>
        <w:rPr>
          <w:rFonts w:hAnsi="等线" w:eastAsia="等线" w:cs="Times New Roman"/>
          <w:i w:val="0"/>
          <w:iCs w:val="0"/>
          <w:sz w:val="21"/>
          <w:szCs w:val="22"/>
        </w:rPr>
      </w:pPr>
      <w:r>
        <w:rPr>
          <w:rFonts w:ascii="仿宋" w:hAnsi="仿宋" w:eastAsia="仿宋"/>
          <w:b/>
          <w:color w:val="000000"/>
        </w:rPr>
        <w:t>（一）一般公共预算财政拨款支出决算总体情况</w:t>
      </w:r>
      <w:r>
        <w:tab/>
      </w:r>
      <w:r>
        <w:fldChar w:fldCharType="begin"/>
      </w:r>
      <w:r>
        <w:instrText xml:space="preserve"> PAGEREF _Toc79163865 \h </w:instrText>
      </w:r>
      <w:r>
        <w:fldChar w:fldCharType="separate"/>
      </w:r>
      <w:r>
        <w:t>11</w:t>
      </w:r>
      <w:r>
        <w:fldChar w:fldCharType="end"/>
      </w:r>
    </w:p>
    <w:p>
      <w:pPr>
        <w:pStyle w:val="11"/>
        <w:tabs>
          <w:tab w:val="right" w:leader="dot" w:pos="8296"/>
        </w:tabs>
        <w:rPr>
          <w:rFonts w:hAnsi="等线" w:eastAsia="等线" w:cs="Times New Roman"/>
          <w:i w:val="0"/>
          <w:iCs w:val="0"/>
          <w:sz w:val="21"/>
          <w:szCs w:val="22"/>
        </w:rPr>
      </w:pPr>
      <w:r>
        <w:rPr>
          <w:rFonts w:ascii="仿宋" w:hAnsi="仿宋" w:eastAsia="仿宋"/>
          <w:b/>
          <w:color w:val="000000"/>
        </w:rPr>
        <w:t>（二）一般公共预算财政拨款支出决算结构情况</w:t>
      </w:r>
      <w:r>
        <w:tab/>
      </w:r>
      <w:r>
        <w:fldChar w:fldCharType="begin"/>
      </w:r>
      <w:r>
        <w:instrText xml:space="preserve"> PAGEREF _Toc79163866 \h </w:instrText>
      </w:r>
      <w:r>
        <w:fldChar w:fldCharType="separate"/>
      </w:r>
      <w:r>
        <w:t>11</w:t>
      </w:r>
      <w:r>
        <w:fldChar w:fldCharType="end"/>
      </w:r>
    </w:p>
    <w:p>
      <w:pPr>
        <w:pStyle w:val="11"/>
        <w:tabs>
          <w:tab w:val="right" w:leader="dot" w:pos="8296"/>
        </w:tabs>
        <w:rPr>
          <w:rFonts w:hAnsi="等线" w:eastAsia="等线" w:cs="Times New Roman"/>
          <w:i w:val="0"/>
          <w:iCs w:val="0"/>
          <w:sz w:val="21"/>
          <w:szCs w:val="22"/>
        </w:rPr>
      </w:pPr>
      <w:r>
        <w:rPr>
          <w:rFonts w:ascii="仿宋" w:hAnsi="仿宋" w:eastAsia="仿宋"/>
          <w:b/>
          <w:color w:val="000000"/>
        </w:rPr>
        <w:t>（三）一般公共预算财政拨款支出决算具体情况</w:t>
      </w:r>
      <w:r>
        <w:tab/>
      </w:r>
      <w:r>
        <w:fldChar w:fldCharType="begin"/>
      </w:r>
      <w:r>
        <w:instrText xml:space="preserve"> PAGEREF _Toc79163867 \h </w:instrText>
      </w:r>
      <w:r>
        <w:fldChar w:fldCharType="separate"/>
      </w:r>
      <w:r>
        <w:t>12</w:t>
      </w:r>
      <w:r>
        <w:fldChar w:fldCharType="end"/>
      </w:r>
    </w:p>
    <w:p>
      <w:pPr>
        <w:pStyle w:val="20"/>
        <w:tabs>
          <w:tab w:val="right" w:leader="dot" w:pos="8296"/>
        </w:tabs>
        <w:rPr>
          <w:rFonts w:hAnsi="等线" w:eastAsia="等线" w:cs="Times New Roman"/>
          <w:smallCaps w:val="0"/>
          <w:sz w:val="21"/>
          <w:szCs w:val="22"/>
        </w:rPr>
      </w:pPr>
      <w:r>
        <w:rPr>
          <w:rFonts w:ascii="黑体" w:eastAsia="黑体"/>
          <w:color w:val="000000"/>
        </w:rPr>
        <w:t>六</w:t>
      </w:r>
      <w:r>
        <w:rPr>
          <w:rFonts w:ascii="黑体" w:eastAsia="黑体"/>
          <w:b/>
          <w:color w:val="000000"/>
        </w:rPr>
        <w:t>、</w:t>
      </w:r>
      <w:r>
        <w:rPr>
          <w:rFonts w:ascii="黑体" w:hAnsi="黑体" w:eastAsia="黑体"/>
          <w:b/>
          <w:color w:val="000000"/>
        </w:rPr>
        <w:t>一</w:t>
      </w:r>
      <w:r>
        <w:rPr>
          <w:rFonts w:ascii="黑体" w:hAnsi="黑体" w:eastAsia="黑体"/>
          <w:bCs/>
        </w:rPr>
        <w:t>般公共预算财政拨款基本支出决算情况说明</w:t>
      </w:r>
      <w:r>
        <w:tab/>
      </w:r>
      <w:r>
        <w:fldChar w:fldCharType="begin"/>
      </w:r>
      <w:r>
        <w:instrText xml:space="preserve"> PAGEREF _Toc79163868 \h </w:instrText>
      </w:r>
      <w:r>
        <w:fldChar w:fldCharType="separate"/>
      </w:r>
      <w:r>
        <w:t>13</w:t>
      </w:r>
      <w:r>
        <w:fldChar w:fldCharType="end"/>
      </w:r>
    </w:p>
    <w:p>
      <w:pPr>
        <w:pStyle w:val="20"/>
        <w:tabs>
          <w:tab w:val="right" w:leader="dot" w:pos="8296"/>
        </w:tabs>
        <w:rPr>
          <w:rFonts w:hAnsi="等线" w:eastAsia="等线" w:cs="Times New Roman"/>
          <w:smallCaps w:val="0"/>
          <w:sz w:val="21"/>
          <w:szCs w:val="22"/>
        </w:rPr>
      </w:pPr>
      <w:r>
        <w:rPr>
          <w:rFonts w:ascii="黑体" w:eastAsia="黑体"/>
          <w:color w:val="000000"/>
        </w:rPr>
        <w:t>七、</w:t>
      </w:r>
      <w:r>
        <w:rPr>
          <w:rFonts w:ascii="黑体" w:hAnsi="黑体" w:eastAsia="黑体"/>
          <w:b/>
          <w:bCs/>
        </w:rPr>
        <w:t>“</w:t>
      </w:r>
      <w:r>
        <w:rPr>
          <w:rFonts w:ascii="黑体" w:hAnsi="黑体" w:eastAsia="黑体"/>
          <w:bCs/>
        </w:rPr>
        <w:t>三公”经费财政拨款支出决算情况说明</w:t>
      </w:r>
      <w:r>
        <w:tab/>
      </w:r>
      <w:r>
        <w:fldChar w:fldCharType="begin"/>
      </w:r>
      <w:r>
        <w:instrText xml:space="preserve"> PAGEREF _Toc79163869 \h </w:instrText>
      </w:r>
      <w:r>
        <w:fldChar w:fldCharType="separate"/>
      </w:r>
      <w:r>
        <w:t>14</w:t>
      </w:r>
      <w:r>
        <w:fldChar w:fldCharType="end"/>
      </w:r>
    </w:p>
    <w:p>
      <w:pPr>
        <w:pStyle w:val="11"/>
        <w:tabs>
          <w:tab w:val="right" w:leader="dot" w:pos="8296"/>
        </w:tabs>
        <w:rPr>
          <w:rFonts w:hAnsi="等线" w:eastAsia="等线" w:cs="Times New Roman"/>
          <w:i w:val="0"/>
          <w:iCs w:val="0"/>
          <w:sz w:val="21"/>
          <w:szCs w:val="22"/>
        </w:rPr>
      </w:pPr>
      <w:r>
        <w:rPr>
          <w:rFonts w:ascii="仿宋" w:hAnsi="仿宋" w:eastAsia="仿宋"/>
          <w:b/>
          <w:color w:val="000000"/>
        </w:rPr>
        <w:t>（一）“三公”经费财政拨款支出决算总体情况说明</w:t>
      </w:r>
      <w:r>
        <w:tab/>
      </w:r>
      <w:r>
        <w:fldChar w:fldCharType="begin"/>
      </w:r>
      <w:r>
        <w:instrText xml:space="preserve"> PAGEREF _Toc79163870 \h </w:instrText>
      </w:r>
      <w:r>
        <w:fldChar w:fldCharType="separate"/>
      </w:r>
      <w:r>
        <w:t>14</w:t>
      </w:r>
      <w:r>
        <w:fldChar w:fldCharType="end"/>
      </w:r>
    </w:p>
    <w:p>
      <w:pPr>
        <w:pStyle w:val="11"/>
        <w:tabs>
          <w:tab w:val="right" w:leader="dot" w:pos="8296"/>
        </w:tabs>
        <w:rPr>
          <w:rFonts w:hAnsi="等线" w:eastAsia="等线" w:cs="Times New Roman"/>
          <w:i w:val="0"/>
          <w:iCs w:val="0"/>
          <w:sz w:val="21"/>
          <w:szCs w:val="22"/>
        </w:rPr>
      </w:pPr>
      <w:r>
        <w:rPr>
          <w:rFonts w:ascii="仿宋" w:hAnsi="仿宋" w:eastAsia="仿宋"/>
          <w:b/>
          <w:color w:val="000000"/>
        </w:rPr>
        <w:t>（二）“三公”经费财政拨款支出决算具体情况说明</w:t>
      </w:r>
      <w:r>
        <w:tab/>
      </w:r>
      <w:r>
        <w:fldChar w:fldCharType="begin"/>
      </w:r>
      <w:r>
        <w:instrText xml:space="preserve"> PAGEREF _Toc79163871 \h </w:instrText>
      </w:r>
      <w:r>
        <w:fldChar w:fldCharType="separate"/>
      </w:r>
      <w:r>
        <w:t>14</w:t>
      </w:r>
      <w:r>
        <w:fldChar w:fldCharType="end"/>
      </w:r>
    </w:p>
    <w:p>
      <w:pPr>
        <w:pStyle w:val="20"/>
        <w:tabs>
          <w:tab w:val="right" w:leader="dot" w:pos="8296"/>
        </w:tabs>
        <w:rPr>
          <w:rFonts w:hAnsi="等线" w:eastAsia="等线" w:cs="Times New Roman"/>
          <w:smallCaps w:val="0"/>
          <w:sz w:val="21"/>
          <w:szCs w:val="22"/>
        </w:rPr>
      </w:pPr>
      <w:r>
        <w:rPr>
          <w:rFonts w:ascii="黑体" w:eastAsia="黑体"/>
          <w:color w:val="000000"/>
        </w:rPr>
        <w:t>八、</w:t>
      </w:r>
      <w:r>
        <w:rPr>
          <w:rFonts w:ascii="黑体" w:hAnsi="黑体" w:eastAsia="黑体"/>
          <w:bCs/>
        </w:rPr>
        <w:t>政府性基金预算支出决算情况说明</w:t>
      </w:r>
      <w:r>
        <w:tab/>
      </w:r>
      <w:r>
        <w:fldChar w:fldCharType="begin"/>
      </w:r>
      <w:r>
        <w:instrText xml:space="preserve"> PAGEREF _Toc79163872 \h </w:instrText>
      </w:r>
      <w:r>
        <w:fldChar w:fldCharType="separate"/>
      </w:r>
      <w:r>
        <w:t>15</w:t>
      </w:r>
      <w:r>
        <w:fldChar w:fldCharType="end"/>
      </w:r>
    </w:p>
    <w:p>
      <w:pPr>
        <w:pStyle w:val="20"/>
        <w:tabs>
          <w:tab w:val="right" w:leader="dot" w:pos="8296"/>
        </w:tabs>
        <w:rPr>
          <w:rFonts w:hAnsi="等线" w:eastAsia="等线" w:cs="Times New Roman"/>
          <w:smallCaps w:val="0"/>
          <w:sz w:val="21"/>
          <w:szCs w:val="22"/>
        </w:rPr>
      </w:pPr>
      <w:r>
        <w:rPr>
          <w:rFonts w:ascii="黑体" w:hAnsi="黑体" w:eastAsia="黑体"/>
          <w:bCs/>
        </w:rPr>
        <w:t>九、国有资本经营预算支出决算情况说明</w:t>
      </w:r>
      <w:r>
        <w:tab/>
      </w:r>
      <w:r>
        <w:fldChar w:fldCharType="begin"/>
      </w:r>
      <w:r>
        <w:instrText xml:space="preserve"> PAGEREF _Toc79163873 \h </w:instrText>
      </w:r>
      <w:r>
        <w:fldChar w:fldCharType="separate"/>
      </w:r>
      <w:r>
        <w:t>15</w:t>
      </w:r>
      <w:r>
        <w:fldChar w:fldCharType="end"/>
      </w:r>
    </w:p>
    <w:p>
      <w:pPr>
        <w:pStyle w:val="20"/>
        <w:tabs>
          <w:tab w:val="right" w:leader="dot" w:pos="8296"/>
        </w:tabs>
        <w:rPr>
          <w:rFonts w:hAnsi="等线" w:eastAsia="等线" w:cs="Times New Roman"/>
          <w:smallCaps w:val="0"/>
          <w:sz w:val="21"/>
          <w:szCs w:val="22"/>
        </w:rPr>
      </w:pPr>
      <w:r>
        <w:rPr>
          <w:rFonts w:ascii="黑体" w:hAnsi="黑体" w:eastAsia="黑体"/>
          <w:color w:val="000000"/>
        </w:rPr>
        <w:t>十</w:t>
      </w:r>
      <w:r>
        <w:rPr>
          <w:rFonts w:ascii="黑体" w:hAnsi="黑体" w:eastAsia="黑体"/>
          <w:b/>
          <w:bCs/>
        </w:rPr>
        <w:t>、</w:t>
      </w:r>
      <w:r>
        <w:rPr>
          <w:rFonts w:ascii="黑体" w:hAnsi="黑体" w:eastAsia="黑体"/>
          <w:bCs/>
        </w:rPr>
        <w:t>其他重要事项的情况说明</w:t>
      </w:r>
      <w:r>
        <w:tab/>
      </w:r>
      <w:r>
        <w:fldChar w:fldCharType="begin"/>
      </w:r>
      <w:r>
        <w:instrText xml:space="preserve"> PAGEREF _Toc79163874 \h </w:instrText>
      </w:r>
      <w:r>
        <w:fldChar w:fldCharType="separate"/>
      </w:r>
      <w:r>
        <w:t>15</w:t>
      </w:r>
      <w:r>
        <w:fldChar w:fldCharType="end"/>
      </w:r>
    </w:p>
    <w:p>
      <w:pPr>
        <w:pStyle w:val="11"/>
        <w:tabs>
          <w:tab w:val="right" w:leader="dot" w:pos="8296"/>
        </w:tabs>
        <w:rPr>
          <w:rFonts w:hAnsi="等线" w:eastAsia="等线" w:cs="Times New Roman"/>
          <w:i w:val="0"/>
          <w:iCs w:val="0"/>
          <w:sz w:val="21"/>
          <w:szCs w:val="22"/>
        </w:rPr>
      </w:pPr>
      <w:r>
        <w:rPr>
          <w:rFonts w:ascii="仿宋" w:hAnsi="仿宋" w:eastAsia="仿宋"/>
          <w:b/>
          <w:color w:val="000000"/>
        </w:rPr>
        <w:t>（一）机关运行经费支出情况</w:t>
      </w:r>
      <w:r>
        <w:tab/>
      </w:r>
      <w:r>
        <w:fldChar w:fldCharType="begin"/>
      </w:r>
      <w:r>
        <w:instrText xml:space="preserve"> PAGEREF _Toc79163875 \h </w:instrText>
      </w:r>
      <w:r>
        <w:fldChar w:fldCharType="separate"/>
      </w:r>
      <w:r>
        <w:t>15</w:t>
      </w:r>
      <w:r>
        <w:fldChar w:fldCharType="end"/>
      </w:r>
    </w:p>
    <w:p>
      <w:pPr>
        <w:pStyle w:val="11"/>
        <w:tabs>
          <w:tab w:val="right" w:leader="dot" w:pos="8296"/>
        </w:tabs>
        <w:rPr>
          <w:rFonts w:hAnsi="等线" w:eastAsia="等线" w:cs="Times New Roman"/>
          <w:i w:val="0"/>
          <w:iCs w:val="0"/>
          <w:sz w:val="21"/>
          <w:szCs w:val="22"/>
        </w:rPr>
      </w:pPr>
      <w:r>
        <w:rPr>
          <w:rFonts w:ascii="仿宋" w:hAnsi="仿宋" w:eastAsia="仿宋"/>
          <w:b/>
          <w:color w:val="000000"/>
        </w:rPr>
        <w:t>（二）政府采购支出情况</w:t>
      </w:r>
      <w:r>
        <w:tab/>
      </w:r>
      <w:r>
        <w:fldChar w:fldCharType="begin"/>
      </w:r>
      <w:r>
        <w:instrText xml:space="preserve"> PAGEREF _Toc79163876 \h </w:instrText>
      </w:r>
      <w:r>
        <w:fldChar w:fldCharType="separate"/>
      </w:r>
      <w:r>
        <w:t>16</w:t>
      </w:r>
      <w:r>
        <w:fldChar w:fldCharType="end"/>
      </w:r>
    </w:p>
    <w:p>
      <w:pPr>
        <w:pStyle w:val="11"/>
        <w:tabs>
          <w:tab w:val="right" w:leader="dot" w:pos="8296"/>
        </w:tabs>
        <w:rPr>
          <w:rFonts w:hAnsi="等线" w:eastAsia="等线" w:cs="Times New Roman"/>
          <w:i w:val="0"/>
          <w:iCs w:val="0"/>
          <w:sz w:val="21"/>
          <w:szCs w:val="22"/>
        </w:rPr>
      </w:pPr>
      <w:r>
        <w:rPr>
          <w:rFonts w:ascii="仿宋" w:hAnsi="仿宋" w:eastAsia="仿宋"/>
          <w:b/>
          <w:color w:val="000000"/>
        </w:rPr>
        <w:t>（三）国有资产占有使用情况</w:t>
      </w:r>
      <w:r>
        <w:tab/>
      </w:r>
      <w:r>
        <w:fldChar w:fldCharType="begin"/>
      </w:r>
      <w:r>
        <w:instrText xml:space="preserve"> PAGEREF _Toc79163877 \h </w:instrText>
      </w:r>
      <w:r>
        <w:fldChar w:fldCharType="separate"/>
      </w:r>
      <w:r>
        <w:t>16</w:t>
      </w:r>
      <w:r>
        <w:fldChar w:fldCharType="end"/>
      </w:r>
    </w:p>
    <w:p>
      <w:pPr>
        <w:pStyle w:val="11"/>
        <w:tabs>
          <w:tab w:val="right" w:leader="dot" w:pos="8296"/>
        </w:tabs>
        <w:rPr>
          <w:rFonts w:hAnsi="等线" w:eastAsia="等线" w:cs="Times New Roman"/>
          <w:i w:val="0"/>
          <w:iCs w:val="0"/>
          <w:sz w:val="21"/>
          <w:szCs w:val="22"/>
        </w:rPr>
      </w:pPr>
      <w:r>
        <w:rPr>
          <w:rFonts w:ascii="仿宋" w:hAnsi="仿宋" w:eastAsia="仿宋"/>
          <w:b/>
          <w:color w:val="000000"/>
        </w:rPr>
        <w:t>（四）预算绩效管理情况。</w:t>
      </w:r>
      <w:r>
        <w:tab/>
      </w:r>
      <w:r>
        <w:fldChar w:fldCharType="begin"/>
      </w:r>
      <w:r>
        <w:instrText xml:space="preserve"> PAGEREF _Toc79163878 \h </w:instrText>
      </w:r>
      <w:r>
        <w:fldChar w:fldCharType="separate"/>
      </w:r>
      <w:r>
        <w:t>16</w:t>
      </w:r>
      <w:r>
        <w:fldChar w:fldCharType="end"/>
      </w:r>
    </w:p>
    <w:p>
      <w:pPr>
        <w:pStyle w:val="16"/>
        <w:tabs>
          <w:tab w:val="right" w:leader="dot" w:pos="8296"/>
        </w:tabs>
        <w:rPr>
          <w:rFonts w:hAnsi="等线" w:eastAsia="等线" w:cs="Times New Roman"/>
          <w:b w:val="0"/>
          <w:bCs w:val="0"/>
          <w:caps w:val="0"/>
          <w:sz w:val="21"/>
          <w:szCs w:val="22"/>
        </w:rPr>
      </w:pPr>
      <w:r>
        <w:rPr>
          <w:rFonts w:ascii="黑体" w:hAnsi="黑体" w:eastAsia="黑体" w:cs="Times New Roman"/>
          <w:b w:val="0"/>
          <w:color w:val="000000"/>
        </w:rPr>
        <w:t>第三部分 名词解释</w:t>
      </w:r>
      <w:r>
        <w:tab/>
      </w:r>
      <w:r>
        <w:fldChar w:fldCharType="begin"/>
      </w:r>
      <w:r>
        <w:instrText xml:space="preserve"> PAGEREF _Toc79163879 \h </w:instrText>
      </w:r>
      <w:r>
        <w:fldChar w:fldCharType="separate"/>
      </w:r>
      <w:r>
        <w:t>20</w:t>
      </w:r>
      <w:r>
        <w:fldChar w:fldCharType="end"/>
      </w:r>
    </w:p>
    <w:p>
      <w:pPr>
        <w:pStyle w:val="16"/>
        <w:tabs>
          <w:tab w:val="right" w:leader="dot" w:pos="8296"/>
        </w:tabs>
        <w:rPr>
          <w:rFonts w:hAnsi="等线" w:eastAsia="等线" w:cs="Times New Roman"/>
          <w:b w:val="0"/>
          <w:bCs w:val="0"/>
          <w:caps w:val="0"/>
          <w:sz w:val="21"/>
          <w:szCs w:val="22"/>
        </w:rPr>
      </w:pPr>
      <w:r>
        <w:rPr>
          <w:rFonts w:ascii="黑体" w:hAnsi="黑体" w:eastAsia="黑体" w:cs="Times New Roman"/>
          <w:b w:val="0"/>
          <w:color w:val="000000"/>
        </w:rPr>
        <w:t>第四部分 附件</w:t>
      </w:r>
      <w:r>
        <w:tab/>
      </w:r>
      <w:r>
        <w:fldChar w:fldCharType="begin"/>
      </w:r>
      <w:r>
        <w:instrText xml:space="preserve"> PAGEREF _Toc79163880 \h </w:instrText>
      </w:r>
      <w:r>
        <w:fldChar w:fldCharType="separate"/>
      </w:r>
      <w:r>
        <w:t>23</w:t>
      </w:r>
      <w:r>
        <w:fldChar w:fldCharType="end"/>
      </w:r>
    </w:p>
    <w:p>
      <w:pPr>
        <w:pStyle w:val="16"/>
        <w:tabs>
          <w:tab w:val="right" w:leader="dot" w:pos="8296"/>
        </w:tabs>
        <w:rPr>
          <w:rFonts w:ascii="黑体" w:hAnsi="黑体" w:eastAsia="黑体" w:cs="Times New Roman"/>
          <w:b w:val="0"/>
          <w:bCs/>
          <w:caps w:val="0"/>
          <w:smallCaps/>
          <w:kern w:val="2"/>
          <w:sz w:val="20"/>
          <w:szCs w:val="20"/>
          <w:lang w:val="en-US" w:eastAsia="zh-CN" w:bidi="ar-SA"/>
        </w:rPr>
      </w:pPr>
      <w:r>
        <w:rPr>
          <w:rFonts w:ascii="黑体" w:hAnsi="黑体" w:eastAsia="黑体" w:cs="Times New Roman"/>
          <w:b w:val="0"/>
          <w:bCs/>
          <w:caps w:val="0"/>
          <w:smallCaps/>
          <w:kern w:val="2"/>
          <w:sz w:val="20"/>
          <w:szCs w:val="20"/>
          <w:lang w:val="en-US" w:eastAsia="zh-CN" w:bidi="ar-SA"/>
        </w:rPr>
        <w:t>附件1</w:t>
      </w:r>
      <w:r>
        <w:rPr>
          <w:rFonts w:ascii="黑体" w:hAnsi="黑体" w:eastAsia="黑体" w:cs="Times New Roman"/>
          <w:b w:val="0"/>
          <w:bCs/>
          <w:caps w:val="0"/>
          <w:smallCaps/>
          <w:kern w:val="2"/>
          <w:sz w:val="20"/>
          <w:szCs w:val="20"/>
          <w:lang w:val="en-US" w:eastAsia="zh-CN" w:bidi="ar-SA"/>
        </w:rPr>
        <w:tab/>
      </w:r>
      <w:r>
        <w:rPr>
          <w:rFonts w:ascii="黑体" w:hAnsi="黑体" w:eastAsia="黑体" w:cs="Times New Roman"/>
          <w:b w:val="0"/>
          <w:bCs/>
          <w:caps w:val="0"/>
          <w:smallCaps/>
          <w:kern w:val="2"/>
          <w:sz w:val="20"/>
          <w:szCs w:val="20"/>
          <w:lang w:val="en-US" w:eastAsia="zh-CN" w:bidi="ar-SA"/>
        </w:rPr>
        <w:fldChar w:fldCharType="begin"/>
      </w:r>
      <w:r>
        <w:rPr>
          <w:rFonts w:ascii="黑体" w:hAnsi="黑体" w:eastAsia="黑体" w:cs="Times New Roman"/>
          <w:b w:val="0"/>
          <w:bCs/>
          <w:caps w:val="0"/>
          <w:smallCaps/>
          <w:kern w:val="2"/>
          <w:sz w:val="20"/>
          <w:szCs w:val="20"/>
          <w:lang w:val="en-US" w:eastAsia="zh-CN" w:bidi="ar-SA"/>
        </w:rPr>
        <w:instrText xml:space="preserve"> PAGEREF _Toc79163881 \h </w:instrText>
      </w:r>
      <w:r>
        <w:rPr>
          <w:rFonts w:ascii="黑体" w:hAnsi="黑体" w:eastAsia="黑体" w:cs="Times New Roman"/>
          <w:b w:val="0"/>
          <w:bCs/>
          <w:caps w:val="0"/>
          <w:smallCaps/>
          <w:kern w:val="2"/>
          <w:sz w:val="20"/>
          <w:szCs w:val="20"/>
          <w:lang w:val="en-US" w:eastAsia="zh-CN" w:bidi="ar-SA"/>
        </w:rPr>
        <w:fldChar w:fldCharType="separate"/>
      </w:r>
      <w:r>
        <w:rPr>
          <w:rFonts w:ascii="黑体" w:hAnsi="黑体" w:eastAsia="黑体" w:cs="Times New Roman"/>
          <w:b w:val="0"/>
          <w:bCs/>
          <w:caps w:val="0"/>
          <w:smallCaps/>
          <w:kern w:val="2"/>
          <w:sz w:val="20"/>
          <w:szCs w:val="20"/>
          <w:lang w:val="en-US" w:eastAsia="zh-CN" w:bidi="ar-SA"/>
        </w:rPr>
        <w:t>23</w:t>
      </w:r>
      <w:r>
        <w:rPr>
          <w:rFonts w:ascii="黑体" w:hAnsi="黑体" w:eastAsia="黑体" w:cs="Times New Roman"/>
          <w:b w:val="0"/>
          <w:bCs/>
          <w:caps w:val="0"/>
          <w:smallCaps/>
          <w:kern w:val="2"/>
          <w:sz w:val="20"/>
          <w:szCs w:val="20"/>
          <w:lang w:val="en-US" w:eastAsia="zh-CN" w:bidi="ar-SA"/>
        </w:rPr>
        <w:fldChar w:fldCharType="end"/>
      </w:r>
    </w:p>
    <w:p>
      <w:pPr>
        <w:pStyle w:val="16"/>
        <w:tabs>
          <w:tab w:val="right" w:leader="dot" w:pos="8296"/>
        </w:tabs>
        <w:rPr>
          <w:rFonts w:hAnsi="等线" w:eastAsia="等线" w:cs="Times New Roman"/>
          <w:b w:val="0"/>
          <w:bCs w:val="0"/>
          <w:caps w:val="0"/>
          <w:sz w:val="21"/>
          <w:szCs w:val="22"/>
        </w:rPr>
      </w:pPr>
      <w:r>
        <w:rPr>
          <w:rFonts w:ascii="黑体" w:hAnsi="黑体" w:eastAsia="黑体" w:cs="Times New Roman"/>
          <w:b w:val="0"/>
          <w:bCs/>
          <w:caps w:val="0"/>
          <w:smallCaps/>
          <w:kern w:val="2"/>
          <w:sz w:val="20"/>
          <w:szCs w:val="20"/>
          <w:lang w:val="en-US" w:eastAsia="zh-CN" w:bidi="ar-SA"/>
        </w:rPr>
        <w:t>附件2</w:t>
      </w:r>
      <w:r>
        <w:tab/>
      </w:r>
      <w:r>
        <w:fldChar w:fldCharType="begin"/>
      </w:r>
      <w:r>
        <w:instrText xml:space="preserve"> PAGEREF _Toc79163883 \h </w:instrText>
      </w:r>
      <w:r>
        <w:fldChar w:fldCharType="separate"/>
      </w:r>
      <w:r>
        <w:t>30</w:t>
      </w:r>
      <w:r>
        <w:fldChar w:fldCharType="end"/>
      </w:r>
    </w:p>
    <w:p>
      <w:pPr>
        <w:pStyle w:val="16"/>
        <w:tabs>
          <w:tab w:val="right" w:leader="dot" w:pos="8296"/>
        </w:tabs>
        <w:rPr>
          <w:rFonts w:hAnsi="等线" w:eastAsia="等线" w:cs="Times New Roman"/>
          <w:b w:val="0"/>
          <w:bCs w:val="0"/>
          <w:caps w:val="0"/>
          <w:sz w:val="21"/>
          <w:szCs w:val="22"/>
        </w:rPr>
      </w:pPr>
      <w:r>
        <w:rPr>
          <w:rFonts w:ascii="黑体" w:hAnsi="黑体" w:eastAsia="黑体" w:cs="Times New Roman"/>
          <w:b w:val="0"/>
          <w:color w:val="000000"/>
        </w:rPr>
        <w:t>第五部分 附表</w:t>
      </w:r>
      <w:r>
        <w:tab/>
      </w:r>
      <w:r>
        <w:fldChar w:fldCharType="begin"/>
      </w:r>
      <w:r>
        <w:instrText xml:space="preserve"> PAGEREF _Toc79163885 \h </w:instrText>
      </w:r>
      <w:r>
        <w:fldChar w:fldCharType="separate"/>
      </w:r>
      <w:r>
        <w:t>35</w:t>
      </w:r>
      <w:r>
        <w:fldChar w:fldCharType="end"/>
      </w:r>
    </w:p>
    <w:p>
      <w:pPr>
        <w:pStyle w:val="20"/>
        <w:tabs>
          <w:tab w:val="right" w:leader="dot" w:pos="8296"/>
        </w:tabs>
        <w:rPr>
          <w:rFonts w:hAnsi="等线" w:eastAsia="等线" w:cs="Times New Roman"/>
          <w:smallCaps w:val="0"/>
          <w:sz w:val="21"/>
          <w:szCs w:val="22"/>
        </w:rPr>
      </w:pPr>
      <w:r>
        <w:rPr>
          <w:rFonts w:ascii="仿宋" w:hAnsi="仿宋" w:eastAsia="仿宋"/>
          <w:color w:val="000000"/>
        </w:rPr>
        <w:t>一、收</w:t>
      </w:r>
      <w:r>
        <w:rPr>
          <w:rFonts w:ascii="仿宋" w:hAnsi="仿宋" w:eastAsia="仿宋"/>
        </w:rPr>
        <w:t>入支出决算总表</w:t>
      </w:r>
      <w:r>
        <w:tab/>
      </w:r>
      <w:r>
        <w:fldChar w:fldCharType="begin"/>
      </w:r>
      <w:r>
        <w:instrText xml:space="preserve"> PAGEREF _Toc79163886 \h </w:instrText>
      </w:r>
      <w:r>
        <w:fldChar w:fldCharType="separate"/>
      </w:r>
      <w:r>
        <w:t>35</w:t>
      </w:r>
      <w:r>
        <w:fldChar w:fldCharType="end"/>
      </w:r>
    </w:p>
    <w:p>
      <w:pPr>
        <w:pStyle w:val="20"/>
        <w:tabs>
          <w:tab w:val="right" w:leader="dot" w:pos="8296"/>
        </w:tabs>
        <w:rPr>
          <w:rFonts w:hAnsi="等线" w:eastAsia="等线" w:cs="Times New Roman"/>
          <w:smallCaps w:val="0"/>
          <w:sz w:val="21"/>
          <w:szCs w:val="22"/>
        </w:rPr>
      </w:pPr>
      <w:r>
        <w:rPr>
          <w:rFonts w:ascii="仿宋" w:hAnsi="仿宋" w:eastAsia="仿宋"/>
          <w:color w:val="000000"/>
        </w:rPr>
        <w:t>二、收</w:t>
      </w:r>
      <w:r>
        <w:rPr>
          <w:rFonts w:ascii="仿宋" w:hAnsi="仿宋" w:eastAsia="仿宋"/>
        </w:rPr>
        <w:t>入决算表</w:t>
      </w:r>
      <w:r>
        <w:tab/>
      </w:r>
      <w:r>
        <w:fldChar w:fldCharType="begin"/>
      </w:r>
      <w:r>
        <w:instrText xml:space="preserve"> PAGEREF _Toc79163887 \h </w:instrText>
      </w:r>
      <w:r>
        <w:fldChar w:fldCharType="separate"/>
      </w:r>
      <w:r>
        <w:t>35</w:t>
      </w:r>
      <w:r>
        <w:fldChar w:fldCharType="end"/>
      </w:r>
    </w:p>
    <w:p>
      <w:pPr>
        <w:pStyle w:val="20"/>
        <w:tabs>
          <w:tab w:val="right" w:leader="dot" w:pos="8296"/>
        </w:tabs>
        <w:rPr>
          <w:rFonts w:hAnsi="等线" w:eastAsia="等线" w:cs="Times New Roman"/>
          <w:smallCaps w:val="0"/>
          <w:sz w:val="21"/>
          <w:szCs w:val="22"/>
        </w:rPr>
      </w:pPr>
      <w:r>
        <w:rPr>
          <w:rFonts w:ascii="仿宋" w:hAnsi="仿宋" w:eastAsia="仿宋"/>
        </w:rPr>
        <w:t>三、</w:t>
      </w:r>
      <w:r>
        <w:rPr>
          <w:rFonts w:ascii="仿宋" w:hAnsi="仿宋" w:eastAsia="仿宋"/>
          <w:color w:val="000000"/>
        </w:rPr>
        <w:t>支</w:t>
      </w:r>
      <w:r>
        <w:rPr>
          <w:rFonts w:ascii="仿宋" w:hAnsi="仿宋" w:eastAsia="仿宋"/>
        </w:rPr>
        <w:t>出决算表</w:t>
      </w:r>
      <w:r>
        <w:tab/>
      </w:r>
      <w:r>
        <w:fldChar w:fldCharType="begin"/>
      </w:r>
      <w:r>
        <w:instrText xml:space="preserve"> PAGEREF _Toc79163888 \h </w:instrText>
      </w:r>
      <w:r>
        <w:fldChar w:fldCharType="separate"/>
      </w:r>
      <w:r>
        <w:t>35</w:t>
      </w:r>
      <w:r>
        <w:fldChar w:fldCharType="end"/>
      </w:r>
    </w:p>
    <w:p>
      <w:pPr>
        <w:pStyle w:val="20"/>
        <w:tabs>
          <w:tab w:val="right" w:leader="dot" w:pos="8296"/>
        </w:tabs>
        <w:rPr>
          <w:rFonts w:hAnsi="等线" w:eastAsia="等线" w:cs="Times New Roman"/>
          <w:smallCaps w:val="0"/>
          <w:sz w:val="21"/>
          <w:szCs w:val="22"/>
        </w:rPr>
      </w:pPr>
      <w:r>
        <w:rPr>
          <w:rFonts w:ascii="仿宋" w:hAnsi="仿宋" w:eastAsia="仿宋"/>
        </w:rPr>
        <w:t>四、</w:t>
      </w:r>
      <w:r>
        <w:rPr>
          <w:rFonts w:ascii="仿宋" w:hAnsi="仿宋" w:eastAsia="仿宋"/>
          <w:color w:val="000000"/>
        </w:rPr>
        <w:t>财</w:t>
      </w:r>
      <w:r>
        <w:rPr>
          <w:rFonts w:ascii="仿宋" w:hAnsi="仿宋" w:eastAsia="仿宋"/>
        </w:rPr>
        <w:t>政拨款收入支出决算总表</w:t>
      </w:r>
      <w:r>
        <w:tab/>
      </w:r>
      <w:r>
        <w:fldChar w:fldCharType="begin"/>
      </w:r>
      <w:r>
        <w:instrText xml:space="preserve"> PAGEREF _Toc79163889 \h </w:instrText>
      </w:r>
      <w:r>
        <w:fldChar w:fldCharType="separate"/>
      </w:r>
      <w:r>
        <w:t>35</w:t>
      </w:r>
      <w:r>
        <w:fldChar w:fldCharType="end"/>
      </w:r>
    </w:p>
    <w:p>
      <w:pPr>
        <w:pStyle w:val="20"/>
        <w:tabs>
          <w:tab w:val="right" w:leader="dot" w:pos="8296"/>
        </w:tabs>
        <w:rPr>
          <w:rFonts w:hAnsi="等线" w:eastAsia="等线" w:cs="Times New Roman"/>
          <w:smallCaps w:val="0"/>
          <w:sz w:val="21"/>
          <w:szCs w:val="22"/>
        </w:rPr>
      </w:pPr>
      <w:r>
        <w:rPr>
          <w:rFonts w:ascii="仿宋" w:hAnsi="仿宋" w:eastAsia="仿宋"/>
        </w:rPr>
        <w:t>五、</w:t>
      </w:r>
      <w:r>
        <w:rPr>
          <w:rFonts w:ascii="仿宋" w:hAnsi="仿宋" w:eastAsia="仿宋"/>
          <w:color w:val="000000"/>
        </w:rPr>
        <w:t>财</w:t>
      </w:r>
      <w:r>
        <w:rPr>
          <w:rFonts w:ascii="仿宋" w:hAnsi="仿宋" w:eastAsia="仿宋"/>
        </w:rPr>
        <w:t>政拨款支出决算明细表</w:t>
      </w:r>
      <w:r>
        <w:tab/>
      </w:r>
      <w:r>
        <w:fldChar w:fldCharType="begin"/>
      </w:r>
      <w:r>
        <w:instrText xml:space="preserve"> PAGEREF _Toc79163890 \h </w:instrText>
      </w:r>
      <w:r>
        <w:fldChar w:fldCharType="separate"/>
      </w:r>
      <w:r>
        <w:t>35</w:t>
      </w:r>
      <w:r>
        <w:fldChar w:fldCharType="end"/>
      </w:r>
    </w:p>
    <w:p>
      <w:pPr>
        <w:pStyle w:val="20"/>
        <w:tabs>
          <w:tab w:val="right" w:leader="dot" w:pos="8296"/>
        </w:tabs>
        <w:rPr>
          <w:rFonts w:hAnsi="等线" w:eastAsia="等线" w:cs="Times New Roman"/>
          <w:smallCaps w:val="0"/>
          <w:sz w:val="21"/>
          <w:szCs w:val="22"/>
        </w:rPr>
      </w:pPr>
      <w:r>
        <w:rPr>
          <w:rFonts w:ascii="仿宋" w:hAnsi="仿宋" w:eastAsia="仿宋"/>
        </w:rPr>
        <w:t>六、</w:t>
      </w:r>
      <w:r>
        <w:rPr>
          <w:rFonts w:ascii="仿宋" w:hAnsi="仿宋" w:eastAsia="仿宋"/>
          <w:color w:val="000000"/>
        </w:rPr>
        <w:t>一</w:t>
      </w:r>
      <w:r>
        <w:rPr>
          <w:rFonts w:ascii="仿宋" w:hAnsi="仿宋" w:eastAsia="仿宋"/>
        </w:rPr>
        <w:t>般公共预算财政拨款支出决算表</w:t>
      </w:r>
      <w:r>
        <w:tab/>
      </w:r>
      <w:r>
        <w:fldChar w:fldCharType="begin"/>
      </w:r>
      <w:r>
        <w:instrText xml:space="preserve"> PAGEREF _Toc79163891 \h </w:instrText>
      </w:r>
      <w:r>
        <w:fldChar w:fldCharType="separate"/>
      </w:r>
      <w:r>
        <w:t>35</w:t>
      </w:r>
      <w:r>
        <w:fldChar w:fldCharType="end"/>
      </w:r>
    </w:p>
    <w:p>
      <w:pPr>
        <w:pStyle w:val="20"/>
        <w:tabs>
          <w:tab w:val="right" w:leader="dot" w:pos="8296"/>
        </w:tabs>
        <w:rPr>
          <w:rFonts w:hAnsi="等线" w:eastAsia="等线" w:cs="Times New Roman"/>
          <w:smallCaps w:val="0"/>
          <w:sz w:val="21"/>
          <w:szCs w:val="22"/>
        </w:rPr>
      </w:pPr>
      <w:r>
        <w:rPr>
          <w:rFonts w:ascii="仿宋" w:hAnsi="仿宋" w:eastAsia="仿宋"/>
        </w:rPr>
        <w:t>七、</w:t>
      </w:r>
      <w:r>
        <w:rPr>
          <w:rFonts w:ascii="仿宋" w:hAnsi="仿宋" w:eastAsia="仿宋"/>
          <w:color w:val="000000"/>
        </w:rPr>
        <w:t>一</w:t>
      </w:r>
      <w:r>
        <w:rPr>
          <w:rFonts w:ascii="仿宋" w:hAnsi="仿宋" w:eastAsia="仿宋"/>
        </w:rPr>
        <w:t>般公共预算财政拨款支出决算明细表</w:t>
      </w:r>
      <w:r>
        <w:tab/>
      </w:r>
      <w:r>
        <w:fldChar w:fldCharType="begin"/>
      </w:r>
      <w:r>
        <w:instrText xml:space="preserve"> PAGEREF _Toc79163892 \h </w:instrText>
      </w:r>
      <w:r>
        <w:fldChar w:fldCharType="separate"/>
      </w:r>
      <w:r>
        <w:t>35</w:t>
      </w:r>
      <w:r>
        <w:fldChar w:fldCharType="end"/>
      </w:r>
    </w:p>
    <w:p>
      <w:pPr>
        <w:pStyle w:val="20"/>
        <w:tabs>
          <w:tab w:val="right" w:leader="dot" w:pos="8296"/>
        </w:tabs>
        <w:rPr>
          <w:rFonts w:hAnsi="等线" w:eastAsia="等线" w:cs="Times New Roman"/>
          <w:smallCaps w:val="0"/>
          <w:sz w:val="21"/>
          <w:szCs w:val="22"/>
        </w:rPr>
      </w:pPr>
      <w:r>
        <w:rPr>
          <w:rFonts w:ascii="仿宋" w:hAnsi="仿宋" w:eastAsia="仿宋"/>
        </w:rPr>
        <w:t>八、</w:t>
      </w:r>
      <w:r>
        <w:rPr>
          <w:rFonts w:ascii="仿宋" w:hAnsi="仿宋" w:eastAsia="仿宋"/>
          <w:color w:val="000000"/>
        </w:rPr>
        <w:t>一</w:t>
      </w:r>
      <w:r>
        <w:rPr>
          <w:rFonts w:ascii="仿宋" w:hAnsi="仿宋" w:eastAsia="仿宋"/>
        </w:rPr>
        <w:t>般公共预算财政拨款基本支出决算表</w:t>
      </w:r>
      <w:r>
        <w:tab/>
      </w:r>
      <w:r>
        <w:fldChar w:fldCharType="begin"/>
      </w:r>
      <w:r>
        <w:instrText xml:space="preserve"> PAGEREF _Toc79163893 \h </w:instrText>
      </w:r>
      <w:r>
        <w:fldChar w:fldCharType="separate"/>
      </w:r>
      <w:r>
        <w:t>35</w:t>
      </w:r>
      <w:r>
        <w:fldChar w:fldCharType="end"/>
      </w:r>
    </w:p>
    <w:p>
      <w:pPr>
        <w:pStyle w:val="20"/>
        <w:tabs>
          <w:tab w:val="right" w:leader="dot" w:pos="8296"/>
        </w:tabs>
        <w:rPr>
          <w:rFonts w:hAnsi="等线" w:eastAsia="等线" w:cs="Times New Roman"/>
          <w:smallCaps w:val="0"/>
          <w:sz w:val="21"/>
          <w:szCs w:val="22"/>
        </w:rPr>
      </w:pPr>
      <w:r>
        <w:rPr>
          <w:rFonts w:ascii="仿宋" w:hAnsi="仿宋" w:eastAsia="仿宋"/>
        </w:rPr>
        <w:t>九、</w:t>
      </w:r>
      <w:r>
        <w:rPr>
          <w:rFonts w:ascii="仿宋" w:hAnsi="仿宋" w:eastAsia="仿宋"/>
          <w:color w:val="000000"/>
        </w:rPr>
        <w:t>一</w:t>
      </w:r>
      <w:r>
        <w:rPr>
          <w:rFonts w:ascii="仿宋" w:hAnsi="仿宋" w:eastAsia="仿宋"/>
        </w:rPr>
        <w:t>般公共预算财政拨款项目支出决算表</w:t>
      </w:r>
      <w:r>
        <w:tab/>
      </w:r>
      <w:r>
        <w:fldChar w:fldCharType="begin"/>
      </w:r>
      <w:r>
        <w:instrText xml:space="preserve"> PAGEREF _Toc79163894 \h </w:instrText>
      </w:r>
      <w:r>
        <w:fldChar w:fldCharType="separate"/>
      </w:r>
      <w:r>
        <w:t>35</w:t>
      </w:r>
      <w:r>
        <w:fldChar w:fldCharType="end"/>
      </w:r>
    </w:p>
    <w:p>
      <w:pPr>
        <w:pStyle w:val="20"/>
        <w:tabs>
          <w:tab w:val="right" w:leader="dot" w:pos="8296"/>
        </w:tabs>
        <w:rPr>
          <w:rFonts w:hAnsi="等线" w:eastAsia="等线" w:cs="Times New Roman"/>
          <w:smallCaps w:val="0"/>
          <w:sz w:val="21"/>
          <w:szCs w:val="22"/>
        </w:rPr>
      </w:pPr>
      <w:r>
        <w:rPr>
          <w:rFonts w:ascii="仿宋" w:hAnsi="仿宋" w:eastAsia="仿宋"/>
        </w:rPr>
        <w:t>十、</w:t>
      </w:r>
      <w:r>
        <w:rPr>
          <w:rFonts w:ascii="仿宋" w:hAnsi="仿宋" w:eastAsia="仿宋"/>
          <w:color w:val="000000"/>
        </w:rPr>
        <w:t>一</w:t>
      </w:r>
      <w:r>
        <w:rPr>
          <w:rFonts w:ascii="仿宋" w:hAnsi="仿宋" w:eastAsia="仿宋"/>
        </w:rPr>
        <w:t>般公共预算财政拨款“三公”经费支出决算表</w:t>
      </w:r>
      <w:r>
        <w:tab/>
      </w:r>
      <w:r>
        <w:fldChar w:fldCharType="begin"/>
      </w:r>
      <w:r>
        <w:instrText xml:space="preserve"> PAGEREF _Toc79163895 \h </w:instrText>
      </w:r>
      <w:r>
        <w:fldChar w:fldCharType="separate"/>
      </w:r>
      <w:r>
        <w:t>35</w:t>
      </w:r>
      <w:r>
        <w:fldChar w:fldCharType="end"/>
      </w:r>
    </w:p>
    <w:p>
      <w:pPr>
        <w:pStyle w:val="20"/>
        <w:tabs>
          <w:tab w:val="right" w:leader="dot" w:pos="8296"/>
        </w:tabs>
        <w:rPr>
          <w:rFonts w:hAnsi="等线" w:eastAsia="等线" w:cs="Times New Roman"/>
          <w:smallCaps w:val="0"/>
          <w:sz w:val="21"/>
          <w:szCs w:val="22"/>
        </w:rPr>
      </w:pPr>
      <w:r>
        <w:rPr>
          <w:rFonts w:ascii="仿宋" w:hAnsi="仿宋" w:eastAsia="仿宋"/>
        </w:rPr>
        <w:t>十一、</w:t>
      </w:r>
      <w:r>
        <w:rPr>
          <w:rFonts w:ascii="仿宋" w:hAnsi="仿宋" w:eastAsia="仿宋"/>
          <w:color w:val="000000"/>
        </w:rPr>
        <w:t>政</w:t>
      </w:r>
      <w:r>
        <w:rPr>
          <w:rFonts w:ascii="仿宋" w:hAnsi="仿宋" w:eastAsia="仿宋"/>
        </w:rPr>
        <w:t>府性基金预算财政拨款收入支出决算表</w:t>
      </w:r>
      <w:r>
        <w:tab/>
      </w:r>
      <w:r>
        <w:fldChar w:fldCharType="begin"/>
      </w:r>
      <w:r>
        <w:instrText xml:space="preserve"> PAGEREF _Toc79163896 \h </w:instrText>
      </w:r>
      <w:r>
        <w:fldChar w:fldCharType="separate"/>
      </w:r>
      <w:r>
        <w:t>35</w:t>
      </w:r>
      <w:r>
        <w:fldChar w:fldCharType="end"/>
      </w:r>
    </w:p>
    <w:p>
      <w:pPr>
        <w:pStyle w:val="20"/>
        <w:tabs>
          <w:tab w:val="right" w:leader="dot" w:pos="8296"/>
        </w:tabs>
        <w:rPr>
          <w:rFonts w:hAnsi="等线" w:eastAsia="等线" w:cs="Times New Roman"/>
          <w:smallCaps w:val="0"/>
          <w:sz w:val="21"/>
          <w:szCs w:val="22"/>
        </w:rPr>
      </w:pPr>
      <w:r>
        <w:rPr>
          <w:rFonts w:ascii="仿宋" w:hAnsi="仿宋" w:eastAsia="仿宋"/>
        </w:rPr>
        <w:t>十二、</w:t>
      </w:r>
      <w:r>
        <w:rPr>
          <w:rFonts w:ascii="仿宋" w:hAnsi="仿宋" w:eastAsia="仿宋"/>
          <w:color w:val="000000"/>
        </w:rPr>
        <w:t>政</w:t>
      </w:r>
      <w:r>
        <w:rPr>
          <w:rFonts w:ascii="仿宋" w:hAnsi="仿宋" w:eastAsia="仿宋"/>
        </w:rPr>
        <w:t>府性基金预算财政拨款“三公”经费支出决算表</w:t>
      </w:r>
      <w:r>
        <w:tab/>
      </w:r>
      <w:r>
        <w:fldChar w:fldCharType="begin"/>
      </w:r>
      <w:r>
        <w:instrText xml:space="preserve"> PAGEREF _Toc79163897 \h </w:instrText>
      </w:r>
      <w:r>
        <w:fldChar w:fldCharType="separate"/>
      </w:r>
      <w:r>
        <w:t>35</w:t>
      </w:r>
      <w:r>
        <w:fldChar w:fldCharType="end"/>
      </w:r>
    </w:p>
    <w:p>
      <w:pPr>
        <w:pStyle w:val="20"/>
        <w:tabs>
          <w:tab w:val="right" w:leader="dot" w:pos="8296"/>
        </w:tabs>
        <w:rPr>
          <w:rFonts w:hAnsi="等线" w:eastAsia="等线" w:cs="Times New Roman"/>
          <w:smallCaps w:val="0"/>
          <w:sz w:val="21"/>
          <w:szCs w:val="22"/>
        </w:rPr>
      </w:pPr>
      <w:r>
        <w:rPr>
          <w:rFonts w:ascii="仿宋" w:hAnsi="仿宋" w:eastAsia="仿宋"/>
        </w:rPr>
        <w:t>十三、</w:t>
      </w:r>
      <w:r>
        <w:rPr>
          <w:rFonts w:ascii="仿宋" w:hAnsi="仿宋" w:eastAsia="仿宋"/>
          <w:color w:val="000000"/>
        </w:rPr>
        <w:t>国</w:t>
      </w:r>
      <w:r>
        <w:rPr>
          <w:rFonts w:ascii="仿宋" w:hAnsi="仿宋" w:eastAsia="仿宋"/>
        </w:rPr>
        <w:t>有资本经营预算财政拨款</w:t>
      </w:r>
      <w:r>
        <w:rPr>
          <w:rFonts w:hint="eastAsia" w:ascii="仿宋" w:hAnsi="仿宋" w:eastAsia="仿宋"/>
        </w:rPr>
        <w:t>收入</w:t>
      </w:r>
      <w:r>
        <w:rPr>
          <w:rFonts w:ascii="仿宋" w:hAnsi="仿宋" w:eastAsia="仿宋"/>
        </w:rPr>
        <w:t>支出决算表</w:t>
      </w:r>
      <w:r>
        <w:tab/>
      </w:r>
      <w:r>
        <w:fldChar w:fldCharType="begin"/>
      </w:r>
      <w:r>
        <w:instrText xml:space="preserve"> PAGEREF _Toc79163898 \h </w:instrText>
      </w:r>
      <w:r>
        <w:fldChar w:fldCharType="separate"/>
      </w:r>
      <w:r>
        <w:t>35</w:t>
      </w:r>
      <w:r>
        <w:fldChar w:fldCharType="end"/>
      </w:r>
    </w:p>
    <w:p>
      <w:pPr>
        <w:pStyle w:val="20"/>
        <w:tabs>
          <w:tab w:val="right" w:leader="dot" w:pos="8296"/>
        </w:tabs>
        <w:rPr>
          <w:rFonts w:hAnsi="等线" w:eastAsia="等线" w:cs="Times New Roman"/>
          <w:smallCaps w:val="0"/>
          <w:sz w:val="21"/>
          <w:szCs w:val="22"/>
        </w:rPr>
      </w:pPr>
      <w:r>
        <w:rPr>
          <w:rFonts w:ascii="仿宋" w:hAnsi="仿宋" w:eastAsia="仿宋"/>
        </w:rPr>
        <w:t>十四、国有资本经营预算财政拨款支出决算表</w:t>
      </w:r>
      <w:r>
        <w:tab/>
      </w:r>
      <w:r>
        <w:fldChar w:fldCharType="begin"/>
      </w:r>
      <w:r>
        <w:instrText xml:space="preserve"> PAGEREF _Toc79163899 \h </w:instrText>
      </w:r>
      <w:r>
        <w:fldChar w:fldCharType="separate"/>
      </w:r>
      <w:r>
        <w:t>35</w:t>
      </w:r>
      <w:r>
        <w:fldChar w:fldCharType="end"/>
      </w:r>
    </w:p>
    <w:p>
      <w:r>
        <w:rPr>
          <w:rFonts w:ascii="等线" w:eastAsia="等线"/>
          <w:b/>
          <w:bCs/>
          <w:caps/>
          <w:sz w:val="20"/>
          <w:szCs w:val="20"/>
        </w:rPr>
        <w:fldChar w:fldCharType="end"/>
      </w:r>
    </w:p>
    <w:p>
      <w:pPr>
        <w:widowControl/>
        <w:spacing w:line="440" w:lineRule="exact"/>
        <w:jc w:val="left"/>
        <w:rPr>
          <w:rFonts w:ascii="仿宋" w:hAnsi="仿宋" w:eastAsia="仿宋"/>
          <w:bCs/>
          <w:kern w:val="44"/>
          <w:sz w:val="24"/>
        </w:rPr>
      </w:pPr>
      <w:bookmarkStart w:id="19" w:name="_Toc15377196"/>
      <w:bookmarkStart w:id="20" w:name="_Toc15396599"/>
      <w:r>
        <w:rPr>
          <w:rFonts w:ascii="仿宋" w:hAnsi="仿宋" w:eastAsia="仿宋"/>
          <w:b/>
          <w:sz w:val="24"/>
        </w:rPr>
        <w:br w:type="page"/>
      </w:r>
    </w:p>
    <w:p>
      <w:pPr>
        <w:pStyle w:val="4"/>
        <w:jc w:val="center"/>
        <w:rPr>
          <w:rStyle w:val="28"/>
          <w:rFonts w:ascii="黑体" w:hAnsi="黑体" w:eastAsia="黑体"/>
          <w:b/>
          <w:bCs w:val="0"/>
        </w:rPr>
      </w:pPr>
      <w:bookmarkStart w:id="21" w:name="_Toc79163851"/>
      <w:bookmarkStart w:id="22" w:name="_Toc79163601"/>
      <w:r>
        <w:rPr>
          <w:rFonts w:hint="eastAsia" w:ascii="黑体" w:hAnsi="黑体" w:eastAsia="黑体"/>
          <w:b w:val="0"/>
        </w:rPr>
        <w:t>第一部分</w:t>
      </w:r>
      <w:r>
        <w:rPr>
          <w:rFonts w:ascii="黑体" w:hAnsi="黑体" w:eastAsia="黑体"/>
          <w:b w:val="0"/>
        </w:rPr>
        <w:t xml:space="preserve"> </w:t>
      </w:r>
      <w:r>
        <w:rPr>
          <w:rStyle w:val="28"/>
          <w:rFonts w:hint="eastAsia" w:ascii="黑体" w:hAnsi="黑体" w:eastAsia="黑体"/>
          <w:b w:val="0"/>
          <w:bCs w:val="0"/>
        </w:rPr>
        <w:t>部门概况</w:t>
      </w:r>
      <w:bookmarkEnd w:id="19"/>
      <w:bookmarkEnd w:id="20"/>
      <w:bookmarkEnd w:id="21"/>
      <w:bookmarkEnd w:id="22"/>
    </w:p>
    <w:p>
      <w:pPr>
        <w:widowControl/>
        <w:jc w:val="left"/>
        <w:rPr>
          <w:rFonts w:ascii="黑体" w:eastAsia="黑体"/>
          <w:color w:val="000000"/>
          <w:sz w:val="32"/>
          <w:szCs w:val="32"/>
        </w:rPr>
      </w:pPr>
    </w:p>
    <w:p>
      <w:pPr>
        <w:pStyle w:val="5"/>
        <w:keepNext/>
        <w:keepLines/>
        <w:pageBreakBefore w:val="0"/>
        <w:widowControl w:val="0"/>
        <w:numPr>
          <w:ilvl w:val="0"/>
          <w:numId w:val="1"/>
        </w:numPr>
        <w:kinsoku/>
        <w:wordWrap/>
        <w:overflowPunct/>
        <w:topLinePunct w:val="0"/>
        <w:autoSpaceDE/>
        <w:autoSpaceDN/>
        <w:bidi w:val="0"/>
        <w:adjustRightInd/>
        <w:snapToGrid/>
        <w:spacing w:line="560" w:lineRule="exact"/>
        <w:textAlignment w:val="auto"/>
        <w:rPr>
          <w:rStyle w:val="29"/>
          <w:rFonts w:hint="eastAsia" w:ascii="黑体" w:hAnsi="黑体" w:eastAsia="黑体"/>
          <w:b w:val="0"/>
          <w:bCs w:val="0"/>
        </w:rPr>
      </w:pPr>
      <w:bookmarkStart w:id="23" w:name="_Toc15377197"/>
      <w:bookmarkStart w:id="24" w:name="_Toc15396600"/>
      <w:bookmarkStart w:id="25" w:name="_Toc79163602"/>
      <w:bookmarkStart w:id="26" w:name="_Toc79163852"/>
      <w:r>
        <w:rPr>
          <w:rFonts w:hint="eastAsia" w:ascii="黑体" w:hAnsi="黑体" w:eastAsia="黑体"/>
          <w:b w:val="0"/>
          <w:color w:val="000000"/>
        </w:rPr>
        <w:t>基</w:t>
      </w:r>
      <w:r>
        <w:rPr>
          <w:rStyle w:val="29"/>
          <w:rFonts w:hint="eastAsia" w:ascii="黑体" w:hAnsi="黑体" w:eastAsia="黑体"/>
          <w:b w:val="0"/>
          <w:bCs w:val="0"/>
        </w:rPr>
        <w:t>本职能及主要工作</w:t>
      </w:r>
      <w:bookmarkEnd w:id="23"/>
      <w:bookmarkEnd w:id="24"/>
      <w:bookmarkEnd w:id="25"/>
      <w:bookmarkEnd w:id="26"/>
      <w:bookmarkStart w:id="27" w:name="_Toc79163853"/>
      <w:bookmarkStart w:id="28" w:name="_Toc79163603"/>
      <w:bookmarkStart w:id="29" w:name="_Toc15377198"/>
      <w:bookmarkStart w:id="30" w:name="_Toc15378445"/>
    </w:p>
    <w:p>
      <w:pPr>
        <w:pStyle w:val="5"/>
        <w:keepNext/>
        <w:keepLines/>
        <w:pageBreakBefore w:val="0"/>
        <w:widowControl w:val="0"/>
        <w:numPr>
          <w:ilvl w:val="0"/>
          <w:numId w:val="0"/>
        </w:numPr>
        <w:kinsoku/>
        <w:wordWrap/>
        <w:overflowPunct/>
        <w:topLinePunct w:val="0"/>
        <w:autoSpaceDE/>
        <w:autoSpaceDN/>
        <w:bidi w:val="0"/>
        <w:adjustRightInd/>
        <w:snapToGrid/>
        <w:spacing w:line="560" w:lineRule="exact"/>
        <w:textAlignment w:val="auto"/>
        <w:rPr>
          <w:rFonts w:ascii="仿宋" w:hAnsi="仿宋" w:eastAsia="仿宋"/>
          <w:bCs/>
          <w:color w:val="000000"/>
          <w:sz w:val="32"/>
          <w:szCs w:val="32"/>
        </w:rPr>
      </w:pPr>
      <w:r>
        <w:rPr>
          <w:rFonts w:hint="eastAsia" w:ascii="仿宋" w:hAnsi="仿宋" w:eastAsia="仿宋"/>
          <w:bCs/>
          <w:color w:val="000000"/>
          <w:sz w:val="32"/>
          <w:szCs w:val="32"/>
        </w:rPr>
        <w:t>（一）主要职能。</w:t>
      </w:r>
      <w:bookmarkEnd w:id="27"/>
      <w:bookmarkEnd w:id="28"/>
    </w:p>
    <w:bookmarkEnd w:id="29"/>
    <w:bookmarkEnd w:id="30"/>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1.贯彻落实医疗保险、生育保险、医疗救助等医疗保障法律法规，拟订执行医疗保障地方性法规、政府规章的具体办法，拟订全县医疗保障事业发展规划、政策和标准，并组织实施和监督检查。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2.组织拟订并实施医疗保障基金监督管理制度，建立健全医疗保障基金安全防控机制，监督强化全县医疗保障基金运行管理。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3.承担医疗保障筹资和待遇支付政策落实的责任。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4.贯彻落实全州城乡统一的药品、医用耗材、医疗服务项目、医疗服务设施等医疗保障目录和支付标准并监督管理；监督管理全县特殊医用材料、特殊检查和治疗、医院制剂等相关目录和支付标准并实施。</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负责药品、医用耗材、医疗服务项目、医疗服务设施收费等政策监督管理，建立医保支付医药服务价格合理确定和动态调整机制，推动建立市场主导的社会医药服务价格形成机制，建立价格信息监测和信息发布制度。</w:t>
      </w:r>
      <w:r>
        <w:rPr>
          <w:rFonts w:ascii="仿宋_GB2312" w:hAnsi="仿宋_GB2312" w:eastAsia="仿宋_GB2312" w:cs="仿宋_GB2312"/>
          <w:sz w:val="32"/>
          <w:szCs w:val="32"/>
        </w:rPr>
        <w:softHyphen/>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6.贯彻落实药品、医用耗材的招标采购政策并监督实施。</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7.推进医疗保障基金支付方式改革，拟订全县定点医药机构协议和支付管理办法并组织实施，指导全县医疗保障定点机构管理。建立健全医疗保障信用评价体系和信息披露制度，监督管理定点医药机构医疗服务行为和医疗费用，依法查处医疗保障领域违法违规行为。承担全县医疗保障经办服务管理，并组织实施异地就医管理和费用结算，负责全县医疗保障关系转移接续经办管理。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8.负责规划实施全县医疗保障信息化建设。组织开展医疗保障大数据管理和应用。</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9.负责职责范围内的安全生产和职业健康、生态环境保护、公共机构节能减排、审批服务便民化等工作。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10.完成县委和县政府交办的其他任务。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职能转变。完善统一的城乡居民基本医疗保险和大病保险制度，不断提高医疗保障水平，建立健全覆盖全民、城乡统筹的多层次医疗保障体系，确保医疗保障资金合理使用、安全可控，推进医疗、医保、医药“三医联动”改革，更好地保障人民群众就医需求、减轻医药费用负担。</w:t>
      </w:r>
    </w:p>
    <w:p>
      <w:pPr>
        <w:ind w:firstLine="640" w:firstLineChars="200"/>
        <w:rPr>
          <w:rFonts w:hint="eastAsia" w:hAnsi="Times New Roman" w:cs="Times New Roman"/>
          <w:sz w:val="32"/>
          <w:szCs w:val="32"/>
        </w:rPr>
      </w:pPr>
      <w:r>
        <w:rPr>
          <w:rFonts w:hint="eastAsia" w:ascii="仿宋_GB2312" w:hAnsi="仿宋_GB2312" w:eastAsia="仿宋_GB2312" w:cs="仿宋_GB2312"/>
          <w:sz w:val="32"/>
          <w:szCs w:val="32"/>
        </w:rPr>
        <w:t>12.与县卫生健康局的有关职责分工。两部门在医疗、医保、医药等方面加强制度、政策衔接，建立沟通协商机制，协同推进改革，提高医疗资源使用效率和医疗保障水平。</w:t>
      </w:r>
    </w:p>
    <w:p>
      <w:pPr>
        <w:pStyle w:val="9"/>
        <w:pageBreakBefore w:val="0"/>
        <w:widowControl w:val="0"/>
        <w:kinsoku/>
        <w:wordWrap/>
        <w:overflowPunct/>
        <w:topLinePunct w:val="0"/>
        <w:bidi w:val="0"/>
        <w:adjustRightInd w:val="0"/>
        <w:snapToGrid w:val="0"/>
        <w:spacing w:before="93" w:line="560" w:lineRule="exact"/>
        <w:ind w:firstLine="672" w:firstLineChars="210"/>
        <w:textAlignment w:val="auto"/>
        <w:outlineLvl w:val="2"/>
        <w:rPr>
          <w:rFonts w:hint="eastAsia" w:ascii="仿宋" w:hAnsi="仿宋" w:eastAsia="仿宋"/>
          <w:bCs/>
          <w:color w:val="000000"/>
          <w:sz w:val="32"/>
          <w:szCs w:val="32"/>
        </w:rPr>
      </w:pPr>
      <w:bookmarkStart w:id="31" w:name="_Toc79163854"/>
      <w:bookmarkStart w:id="32" w:name="_Toc79163604"/>
      <w:bookmarkStart w:id="33" w:name="_Toc15377199"/>
      <w:bookmarkStart w:id="34" w:name="_Toc15378446"/>
      <w:r>
        <w:rPr>
          <w:rFonts w:hint="eastAsia" w:ascii="仿宋" w:hAnsi="仿宋" w:eastAsia="仿宋"/>
          <w:bCs/>
          <w:color w:val="000000"/>
          <w:sz w:val="32"/>
          <w:szCs w:val="32"/>
        </w:rPr>
        <w:t>（二）</w:t>
      </w:r>
      <w:r>
        <w:rPr>
          <w:rFonts w:ascii="仿宋" w:hAnsi="仿宋" w:eastAsia="仿宋"/>
          <w:bCs/>
          <w:color w:val="000000"/>
          <w:sz w:val="32"/>
          <w:szCs w:val="32"/>
        </w:rPr>
        <w:t>202</w:t>
      </w:r>
      <w:r>
        <w:rPr>
          <w:rFonts w:hint="eastAsia" w:ascii="仿宋" w:hAnsi="仿宋" w:eastAsia="仿宋"/>
          <w:bCs/>
          <w:color w:val="000000"/>
          <w:sz w:val="32"/>
          <w:szCs w:val="32"/>
        </w:rPr>
        <w:t>1年重点工作完成情况。</w:t>
      </w:r>
      <w:bookmarkEnd w:id="31"/>
      <w:bookmarkEnd w:id="32"/>
      <w:bookmarkEnd w:id="33"/>
      <w:bookmarkEnd w:id="34"/>
    </w:p>
    <w:p>
      <w:pPr>
        <w:numPr>
          <w:ilvl w:val="0"/>
          <w:numId w:val="0"/>
        </w:numPr>
        <w:snapToGrid w:val="0"/>
        <w:spacing w:line="588" w:lineRule="exact"/>
        <w:ind w:leftChars="200" w:firstLine="321" w:firstLineChars="1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1.持续推进全民参保计划，确保基金收支，筑牢民生底线</w:t>
      </w:r>
    </w:p>
    <w:p>
      <w:pPr>
        <w:keepNext w:val="0"/>
        <w:keepLines w:val="0"/>
        <w:pageBreakBefore w:val="0"/>
        <w:kinsoku/>
        <w:overflowPunct/>
        <w:topLinePunct w:val="0"/>
        <w:autoSpaceDE/>
        <w:autoSpaceDN/>
        <w:bidi w:val="0"/>
        <w:spacing w:line="576" w:lineRule="exact"/>
        <w:ind w:firstLine="640" w:firstLineChars="200"/>
        <w:textAlignment w:val="auto"/>
        <w:outlineLvl w:val="9"/>
        <w:rPr>
          <w:rFonts w:hint="eastAsia"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lang w:val="en-US" w:eastAsia="zh-CN"/>
        </w:rPr>
        <w:t>一年来，我局紧扣保障民生这条主线，大力抓参保扩面、强医保基金征收、保障医保待遇支付。一是参保情况。全年参加基本医疗保险人数4</w:t>
      </w:r>
      <w:r>
        <w:rPr>
          <w:rFonts w:hint="eastAsia" w:ascii="Times New Roman" w:hAnsi="Times New Roman" w:eastAsia="仿宋_GB2312" w:cs="Times New Roman"/>
          <w:sz w:val="32"/>
          <w:szCs w:val="32"/>
          <w:lang w:val="en-US" w:eastAsia="zh-CN"/>
        </w:rPr>
        <w:t>0214人，其中：参加城镇职工医疗保险7996人（在职职工6017人，退休职工1969人）；参加城乡居民基本医疗保险人数32218人，其中：建卡贫困户4057人，特殊人员1065人，失地农民1868人，一般人员25228人。参保覆盖面达97%。二是基金收入情况。全县共征收到城镇职工各类医疗保险基金5115.49万元，其中：统筹基金3312.26万元，个人帐户基金920.53万元，征集大病基金169.64万元，公务员补助基金693.46万元，离休、二等乙级伤残军人24.6万元；征收2021年度城乡居民医疗保险基金个人缴纳收入177.64万元。三是基金支付情况。全县累计支付城镇职工各类医疗保险基金1464.64万元，其中：住院统筹基金368.47万元（含生育保险基金85.16万元），个人帐户基金1056.24万元，离休、二乙12.02万元，大病补充医疗保险基金4.79万元，公务员补助医保基金23.11万元；累计补偿城乡居民医疗保险基金723.05万元，其中：住院补偿488万元，门诊特殊疾病补偿231.07万元，门诊统筹补偿3.98万元，大病补偿26万元。四是民生项目推进情况。已将县财政拨付的城乡居民（32162人）县级财政配套基金93.78万元上解到州医保局财政专户。</w:t>
      </w:r>
    </w:p>
    <w:p>
      <w:pPr>
        <w:numPr>
          <w:ilvl w:val="0"/>
          <w:numId w:val="0"/>
        </w:numPr>
        <w:snapToGrid w:val="0"/>
        <w:spacing w:line="588" w:lineRule="exact"/>
        <w:ind w:leftChars="200" w:firstLine="321" w:firstLineChars="1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2.持续完善医疗保障体系，提升待遇保障水平</w:t>
      </w:r>
    </w:p>
    <w:p>
      <w:pPr>
        <w:keepNext w:val="0"/>
        <w:keepLines w:val="0"/>
        <w:pageBreakBefore w:val="0"/>
        <w:kinsoku/>
        <w:overflowPunct/>
        <w:topLinePunct w:val="0"/>
        <w:autoSpaceDE/>
        <w:autoSpaceDN/>
        <w:bidi w:val="0"/>
        <w:spacing w:line="576" w:lineRule="exact"/>
        <w:ind w:firstLine="640" w:firstLineChars="200"/>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一年来，我局持续完善医疗保障体系，尤其是“全民保”的建立，为参保群众“因病致贫、因病返贫”构筑了一道“防火墙”。一是持续巩固提升“全民保”。一方面以“全民保”典型案例为宣传突破口，大力开展政策宣传工作，康巴卫视网、州人民政府和县人民政府网站均刊登了理县“全民保”讯息。另一方面对《理县全民补充医疗商业责任保险方案》进行了修订。截止目前，全县参加“全民保”人数为28716人，集资282.87万元（县级配套基金215.37万元，参保群众个人缴费67.5万元），累计获赔人数200人，获赔金额200.63万元，获赔人员当中单笔最高赔付金额达10.53万元。二是建立脱贫攻坚医疗保障乡村振兴衔接机制。联合相关部门建立了基本医疗保障防止返贫监测和帮扶机制，将边缘易致贫户12户34人，突发困难户7户30人，脱贫不稳定户4户12人纳入监测，监测对象将享受与脱贫户相同的参保、报销待遇。三是充分发挥医疗救助托底功能。全年共支出医疗救助金251.52万元，其中：门诊救助697人次，救助金额17.34元，住院救助897人次，救助金额206.95万元，资助参保缴费1147人，资助金额27.23万元；医疗救助累计结余资金23.33万元。四是扎实推进“两险”合并实施。按照《阿坝州生育保险和职工基本医疗保险合并实施意见》文件要求，我县企业在职职工同步参加生育保险人数为5943人，实现了统一保障制度。五是严格执行“两病”政策，切实减轻门诊用药费用负担。全县纳入“两病”管理的城乡居民共1192人，落实城乡居民高血压糖尿病门诊用药支付限额分别为每人每年300元和200元，增强医保门诊保障能力。</w:t>
      </w:r>
    </w:p>
    <w:p>
      <w:pPr>
        <w:numPr>
          <w:ilvl w:val="0"/>
          <w:numId w:val="0"/>
        </w:numPr>
        <w:snapToGrid w:val="0"/>
        <w:spacing w:line="588" w:lineRule="exact"/>
        <w:ind w:leftChars="200" w:firstLine="321" w:firstLineChars="1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3.积极落实疫情防控医保特殊政策，维护群众健康</w:t>
      </w:r>
    </w:p>
    <w:p>
      <w:pPr>
        <w:keepNext w:val="0"/>
        <w:keepLines w:val="0"/>
        <w:pageBreakBefore w:val="0"/>
        <w:kinsoku/>
        <w:overflowPunct/>
        <w:topLinePunct w:val="0"/>
        <w:autoSpaceDE/>
        <w:autoSpaceDN/>
        <w:bidi w:val="0"/>
        <w:spacing w:line="576" w:lineRule="exact"/>
        <w:ind w:firstLine="640" w:firstLineChars="200"/>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一是新冠病毒疫苗及接种费用保障工作。我局会同县财政局、县卫健局建立了协调联动工作机制，联合制定并下发了《理县新冠病毒疫苗及接种费用保障实施方案》，全年支付接种单位新冠疫苗接种费60422人次，支付金额475504元。二是严格落实“两个确保”政策。将国家卫生健康委《新型冠状病毒感染的肺炎诊疗方案》覆盖的药品和医疗服务项目，全部临时纳入医保基金支付范围；对异地就医患者先救治后结算，报销不再执行异地转外就医支付比例调减规定。三是全面开展疫情防控相关医疗商品价格应急监测。共设置23个监测点，联合县市场监督管理局等部门密切监测抗病毒药物、口罩、消毒液等相关商品的价格监测。四是提升疫情期间医保服务能力。大力推行“不见面”服务，开通了线上备案绿色通道；费用报销采取邮寄的方式；实行门诊特殊疾病（包括异地就医患者）3个月长处方。</w:t>
      </w:r>
    </w:p>
    <w:p>
      <w:pPr>
        <w:numPr>
          <w:ilvl w:val="0"/>
          <w:numId w:val="0"/>
        </w:numPr>
        <w:snapToGrid w:val="0"/>
        <w:spacing w:line="588" w:lineRule="exact"/>
        <w:ind w:leftChars="200" w:firstLine="321" w:firstLineChars="1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4.夯实基础，全面提升医保业务经办能力</w:t>
      </w:r>
    </w:p>
    <w:p>
      <w:pPr>
        <w:keepNext w:val="0"/>
        <w:keepLines w:val="0"/>
        <w:pageBreakBefore w:val="0"/>
        <w:kinsoku/>
        <w:overflowPunct/>
        <w:topLinePunct w:val="0"/>
        <w:autoSpaceDE/>
        <w:autoSpaceDN/>
        <w:bidi w:val="0"/>
        <w:spacing w:line="576" w:lineRule="exact"/>
        <w:ind w:firstLine="640" w:firstLineChars="200"/>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一是积极推广医保电子凭证的使用。实现了县域内两定机构“医保电子凭证”全覆盖。二是持续推广采用微信平台缴费，拓宽了缴费渠道。在征收2021年和2022年城乡居民医疗保险工作中，我局联合县税务局，大力推广采用微信平台缴纳医疗保险费的宣传，采用微信平台缴费率达98%。三是全面推进医疗保障一体化大数据平台建设。按照国家医疗保障局统一要求，全面做好疾病诊断和手术操作等14项业务编码标准和医保结算清单的落地工作，对标制定的编码规则，实现编码标准“纵向全贯通、横向全覆盖”。完成县域内13家定点医院、10家定点药店开展了贯标、对码工作，共完善医疗机构人员信息271条，清理定点医疗机构医保药品6052条，中药饮片256条，诊疗项目3025条，耗材313条。完成县内13家定点医院、10家定点药店、11个乡（镇）新医保系统接口改造和网络接入工作。目前新医疗保障系统已正式上线运行。四是持续推进医保费用联网结算工作。县域内医保联网结算达到全覆盖，理县人民医院接入异地就医即时结算省级平台，理县君康药店开通了普通门诊跨省异地就医即时结算。将医疗救助、大病保险等纳入“一站式”、“一单式”即时结算管理。五是积极开展医疗保险靠前服务工作。全年到都江堰开展医疗保险靠前服务工作2次，现场解答政策140余人次，发放宣传资料500余份，收集门诊特殊疾病票据及申报资料60余份。</w:t>
      </w:r>
    </w:p>
    <w:p>
      <w:pPr>
        <w:numPr>
          <w:ilvl w:val="0"/>
          <w:numId w:val="0"/>
        </w:numPr>
        <w:snapToGrid w:val="0"/>
        <w:spacing w:line="588" w:lineRule="exact"/>
        <w:ind w:leftChars="200" w:firstLine="321" w:firstLineChars="1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5.加强医保基金监管，切实维护医保基金安全</w:t>
      </w:r>
    </w:p>
    <w:p>
      <w:pPr>
        <w:keepNext w:val="0"/>
        <w:keepLines w:val="0"/>
        <w:pageBreakBefore w:val="0"/>
        <w:kinsoku/>
        <w:overflowPunct/>
        <w:topLinePunct w:val="0"/>
        <w:autoSpaceDE/>
        <w:autoSpaceDN/>
        <w:bidi w:val="0"/>
        <w:spacing w:line="576" w:lineRule="exact"/>
        <w:ind w:firstLine="640" w:firstLineChars="200"/>
        <w:textAlignment w:val="auto"/>
        <w:outlineLvl w:val="9"/>
        <w:rPr>
          <w:rFonts w:hint="eastAsia" w:ascii="仿宋" w:hAnsi="仿宋" w:eastAsia="仿宋"/>
          <w:bCs/>
          <w:color w:val="000000"/>
          <w:sz w:val="32"/>
          <w:szCs w:val="32"/>
        </w:rPr>
      </w:pPr>
      <w:r>
        <w:rPr>
          <w:rFonts w:hint="eastAsia" w:ascii="Times New Roman" w:hAnsi="Times New Roman" w:eastAsia="仿宋_GB2312" w:cs="Times New Roman"/>
          <w:sz w:val="32"/>
          <w:szCs w:val="32"/>
          <w:lang w:val="en-US" w:eastAsia="zh-CN"/>
        </w:rPr>
        <w:t>一年来，我局把维护医保基金安全作为首要政治任务，不断完善监管机制，严厉打击违规收费、不规范诊疗等欺诈骗保违法行为。一是强化医疗服务协议监管。今年4月，我局与县内14家定点医院、9家定点药店签订了《2021年度定点医疗机构医疗服务协议书》，通过协议的签订，明确了双方的权利和义务，为解决双方争议和防范可能存在的风险提供了可靠依据。二是加强《条例》宣传工作。为深入宣传贯彻我国医保领域首部行政法规《医疗保障基金使用监督管理条例》，今年4月1日我局联合县委宣传部、县卫健局、县税务局、县融媒体中心、县人民医院五部门在理县街心花园举办了主题为“宣传贯彻《医疗保障基金使用监督管理条例》加强基金监管”大型宣传活动1次。共组织深入乡镇（村、社区）开展《条例》宣传3场次。据统计，累计发放《条例》宣传折页5000余份，发放医保《应知应会》宣传册及相关资料3000余份，发放宣传品（抽纸）2000余盒，张贴海报60余张，悬挂横幅26条，现场解答医保政策750余人次。组织县定医药机构《条例》培训会2场次。通过活动的开展，提高了广大群众对《条例》知晓率，引导社会各界形成自觉维护医保基金安全的意识。三是全面完成审计查出问题整改工作。完成州审计局对阿坝州医疗保障系统进行审计查出问题中涉及我县5项整改工作。其中：立行立改问题整改3项，追回超标准收费2594.3元，多记收费30元，串换违规收费78.1元；审计组核实问题1项，经核查未发现违规收费行为；因我县低保人员不愿自行缴纳医保费39人问题整改1项。四是强化医保基金的监管力度。今年年初，完成县域内定点医药机构的上年度协议考核工作，累计扣除《协议》违约金9000.3元。全年稽查定点医疗机构9家，检查病历180余份，审核定点医疗机构违规扣款15.5万元。核查外伤病人160人次，涉及金额165万元，因涉及第三方责任人拒付医疗费用12.35万元。</w:t>
      </w:r>
    </w:p>
    <w:p>
      <w:pPr>
        <w:pStyle w:val="5"/>
        <w:pageBreakBefore w:val="0"/>
        <w:widowControl w:val="0"/>
        <w:kinsoku/>
        <w:wordWrap/>
        <w:overflowPunct/>
        <w:topLinePunct w:val="0"/>
        <w:bidi w:val="0"/>
        <w:spacing w:line="560" w:lineRule="exact"/>
        <w:textAlignment w:val="auto"/>
        <w:rPr>
          <w:rStyle w:val="29"/>
          <w:b w:val="0"/>
          <w:bCs w:val="0"/>
        </w:rPr>
      </w:pPr>
      <w:bookmarkStart w:id="35" w:name="_Toc79163855"/>
      <w:bookmarkStart w:id="36" w:name="_Toc15377200"/>
      <w:bookmarkStart w:id="37" w:name="_Toc79163605"/>
      <w:bookmarkStart w:id="38" w:name="_Toc15396601"/>
      <w:r>
        <w:rPr>
          <w:rFonts w:hint="eastAsia" w:ascii="黑体" w:eastAsia="黑体"/>
          <w:b w:val="0"/>
          <w:color w:val="000000"/>
        </w:rPr>
        <w:t>二、</w:t>
      </w:r>
      <w:r>
        <w:rPr>
          <w:rFonts w:hint="eastAsia" w:ascii="黑体" w:hAnsi="黑体" w:eastAsia="黑体"/>
          <w:b w:val="0"/>
          <w:color w:val="000000"/>
        </w:rPr>
        <w:t>机</w:t>
      </w:r>
      <w:r>
        <w:rPr>
          <w:rStyle w:val="29"/>
          <w:rFonts w:hint="eastAsia" w:ascii="黑体" w:hAnsi="黑体" w:eastAsia="黑体"/>
          <w:b w:val="0"/>
          <w:bCs w:val="0"/>
        </w:rPr>
        <w:t>构设置</w:t>
      </w:r>
      <w:bookmarkEnd w:id="35"/>
      <w:bookmarkEnd w:id="36"/>
      <w:bookmarkEnd w:id="37"/>
      <w:bookmarkEnd w:id="38"/>
    </w:p>
    <w:p>
      <w:pPr>
        <w:ind w:firstLine="640" w:firstLineChars="200"/>
        <w:rPr>
          <w:rFonts w:ascii="仿宋" w:hAnsi="仿宋" w:eastAsia="仿宋"/>
          <w:sz w:val="32"/>
          <w:szCs w:val="32"/>
        </w:rPr>
      </w:pPr>
      <w:r>
        <w:rPr>
          <w:rFonts w:hint="eastAsia" w:ascii="仿宋" w:hAnsi="仿宋" w:eastAsia="仿宋"/>
          <w:sz w:val="32"/>
          <w:szCs w:val="32"/>
        </w:rPr>
        <w:t>理县医疗保障局下属二级单位2个，其中行政单位1个，参照公务员法管理的事业单位</w:t>
      </w:r>
      <w:r>
        <w:rPr>
          <w:rFonts w:hint="eastAsia" w:ascii="仿宋" w:hAnsi="仿宋" w:eastAsia="仿宋"/>
          <w:bCs/>
          <w:sz w:val="32"/>
          <w:szCs w:val="32"/>
        </w:rPr>
        <w:t>1</w:t>
      </w:r>
      <w:r>
        <w:rPr>
          <w:rFonts w:hint="eastAsia" w:ascii="仿宋" w:hAnsi="仿宋" w:eastAsia="仿宋"/>
          <w:sz w:val="32"/>
          <w:szCs w:val="32"/>
        </w:rPr>
        <w:t>个，事业单位1个。</w:t>
      </w:r>
    </w:p>
    <w:p>
      <w:pPr>
        <w:pStyle w:val="9"/>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color w:val="000000"/>
          <w:sz w:val="32"/>
          <w:szCs w:val="32"/>
        </w:rPr>
        <w:t>纳入理县医疗保障局</w:t>
      </w:r>
      <w:r>
        <w:rPr>
          <w:rFonts w:hint="eastAsia" w:ascii="仿宋" w:hAnsi="仿宋" w:eastAsia="仿宋"/>
          <w:color w:val="000000"/>
          <w:sz w:val="32"/>
          <w:szCs w:val="32"/>
          <w:lang w:val="en-US" w:eastAsia="zh-CN"/>
        </w:rPr>
        <w:t>2021</w:t>
      </w:r>
      <w:r>
        <w:rPr>
          <w:rFonts w:hint="eastAsia" w:ascii="仿宋" w:hAnsi="仿宋" w:eastAsia="仿宋"/>
          <w:color w:val="000000"/>
          <w:sz w:val="32"/>
          <w:szCs w:val="32"/>
        </w:rPr>
        <w:t>年度部门决算编制范围的二级预算单位包括：</w:t>
      </w:r>
    </w:p>
    <w:p>
      <w:pPr>
        <w:pStyle w:val="9"/>
        <w:numPr>
          <w:ilvl w:val="0"/>
          <w:numId w:val="2"/>
        </w:numPr>
        <w:adjustRightInd w:val="0"/>
        <w:snapToGrid w:val="0"/>
        <w:spacing w:before="93" w:line="600" w:lineRule="exact"/>
        <w:outlineLvl w:val="2"/>
        <w:rPr>
          <w:rFonts w:ascii="仿宋" w:hAnsi="仿宋" w:eastAsia="仿宋"/>
          <w:color w:val="000000"/>
          <w:sz w:val="32"/>
          <w:szCs w:val="32"/>
        </w:rPr>
      </w:pPr>
      <w:bookmarkStart w:id="39" w:name="_Toc6161"/>
      <w:bookmarkStart w:id="40" w:name="_Toc506"/>
      <w:bookmarkStart w:id="41" w:name="_Toc15378450"/>
      <w:bookmarkStart w:id="42" w:name="_Toc15306277"/>
      <w:bookmarkStart w:id="43" w:name="_Toc26028"/>
      <w:bookmarkStart w:id="44" w:name="_Toc2583"/>
      <w:bookmarkStart w:id="45" w:name="_Toc16708"/>
      <w:bookmarkStart w:id="46" w:name="_Toc15377203"/>
      <w:bookmarkStart w:id="47" w:name="_Toc4722"/>
      <w:bookmarkStart w:id="48" w:name="_Toc15377434"/>
      <w:bookmarkStart w:id="49" w:name="_Toc20175"/>
      <w:r>
        <w:rPr>
          <w:rFonts w:hint="eastAsia" w:ascii="仿宋" w:hAnsi="仿宋" w:eastAsia="仿宋"/>
          <w:color w:val="000000"/>
          <w:sz w:val="32"/>
          <w:szCs w:val="32"/>
        </w:rPr>
        <w:t>四川省阿坝州理县城乡居民医疗保险服务中心</w:t>
      </w:r>
      <w:bookmarkEnd w:id="39"/>
      <w:bookmarkEnd w:id="40"/>
      <w:bookmarkEnd w:id="41"/>
      <w:bookmarkEnd w:id="42"/>
      <w:bookmarkEnd w:id="43"/>
      <w:bookmarkEnd w:id="44"/>
      <w:bookmarkEnd w:id="45"/>
      <w:bookmarkEnd w:id="46"/>
      <w:bookmarkEnd w:id="47"/>
      <w:bookmarkEnd w:id="48"/>
      <w:bookmarkEnd w:id="49"/>
    </w:p>
    <w:p>
      <w:pPr>
        <w:pStyle w:val="9"/>
        <w:pageBreakBefore w:val="0"/>
        <w:widowControl w:val="0"/>
        <w:numPr>
          <w:ilvl w:val="0"/>
          <w:numId w:val="2"/>
        </w:numPr>
        <w:kinsoku/>
        <w:wordWrap/>
        <w:overflowPunct/>
        <w:topLinePunct w:val="0"/>
        <w:bidi w:val="0"/>
        <w:adjustRightInd w:val="0"/>
        <w:snapToGrid w:val="0"/>
        <w:spacing w:before="93" w:line="560" w:lineRule="exact"/>
        <w:ind w:left="1152" w:leftChars="0" w:hanging="480" w:firstLineChars="0"/>
        <w:textAlignment w:val="auto"/>
        <w:rPr>
          <w:rFonts w:hint="eastAsia" w:ascii="仿宋" w:hAnsi="仿宋" w:eastAsia="仿宋"/>
          <w:color w:val="000000"/>
          <w:sz w:val="32"/>
          <w:szCs w:val="32"/>
          <w:lang w:eastAsia="zh-CN"/>
        </w:rPr>
      </w:pPr>
      <w:r>
        <w:rPr>
          <w:rFonts w:hint="eastAsia" w:ascii="仿宋" w:hAnsi="仿宋" w:eastAsia="仿宋"/>
          <w:color w:val="000000"/>
          <w:sz w:val="32"/>
          <w:szCs w:val="32"/>
        </w:rPr>
        <w:t>四川省阿坝州</w:t>
      </w:r>
      <w:r>
        <w:rPr>
          <w:rFonts w:hint="eastAsia" w:ascii="仿宋" w:hAnsi="仿宋" w:eastAsia="仿宋"/>
          <w:color w:val="000000"/>
          <w:sz w:val="32"/>
          <w:szCs w:val="32"/>
          <w:lang w:eastAsia="zh-CN"/>
        </w:rPr>
        <w:t>理县医疗保障事务中心</w:t>
      </w:r>
    </w:p>
    <w:p>
      <w:pPr>
        <w:pStyle w:val="8"/>
        <w:rPr>
          <w:rFonts w:hint="eastAsia" w:ascii="仿宋" w:hAnsi="仿宋" w:eastAsia="仿宋"/>
          <w:color w:val="000000"/>
          <w:sz w:val="32"/>
          <w:szCs w:val="32"/>
          <w:lang w:eastAsia="zh-CN"/>
        </w:rPr>
      </w:pPr>
    </w:p>
    <w:p>
      <w:pPr>
        <w:rPr>
          <w:rFonts w:hint="eastAsia" w:ascii="仿宋" w:hAnsi="仿宋" w:eastAsia="仿宋"/>
          <w:color w:val="000000"/>
          <w:sz w:val="32"/>
          <w:szCs w:val="32"/>
          <w:lang w:eastAsia="zh-CN"/>
        </w:rPr>
      </w:pPr>
    </w:p>
    <w:p>
      <w:pPr>
        <w:pStyle w:val="2"/>
        <w:rPr>
          <w:rFonts w:hint="eastAsia" w:ascii="仿宋" w:hAnsi="仿宋" w:eastAsia="仿宋"/>
          <w:color w:val="000000"/>
          <w:sz w:val="32"/>
          <w:szCs w:val="32"/>
          <w:lang w:eastAsia="zh-CN"/>
        </w:rPr>
      </w:pPr>
    </w:p>
    <w:p>
      <w:pPr>
        <w:rPr>
          <w:rFonts w:hint="eastAsia" w:ascii="仿宋" w:hAnsi="仿宋" w:eastAsia="仿宋"/>
          <w:color w:val="000000"/>
          <w:sz w:val="32"/>
          <w:szCs w:val="32"/>
          <w:lang w:eastAsia="zh-CN"/>
        </w:rPr>
      </w:pPr>
    </w:p>
    <w:p>
      <w:pPr>
        <w:pStyle w:val="2"/>
        <w:rPr>
          <w:rFonts w:hint="eastAsia" w:ascii="仿宋" w:hAnsi="仿宋" w:eastAsia="仿宋"/>
          <w:color w:val="000000"/>
          <w:sz w:val="32"/>
          <w:szCs w:val="32"/>
          <w:lang w:eastAsia="zh-CN"/>
        </w:rPr>
      </w:pPr>
    </w:p>
    <w:p>
      <w:pPr>
        <w:rPr>
          <w:rFonts w:hint="eastAsia" w:ascii="仿宋" w:hAnsi="仿宋" w:eastAsia="仿宋"/>
          <w:color w:val="000000"/>
          <w:sz w:val="32"/>
          <w:szCs w:val="32"/>
          <w:lang w:eastAsia="zh-CN"/>
        </w:rPr>
      </w:pPr>
    </w:p>
    <w:p>
      <w:pPr>
        <w:pStyle w:val="2"/>
        <w:rPr>
          <w:rFonts w:hint="eastAsia" w:ascii="仿宋" w:hAnsi="仿宋" w:eastAsia="仿宋"/>
          <w:color w:val="000000"/>
          <w:sz w:val="32"/>
          <w:szCs w:val="32"/>
          <w:lang w:eastAsia="zh-CN"/>
        </w:rPr>
      </w:pPr>
    </w:p>
    <w:p>
      <w:pPr>
        <w:rPr>
          <w:rFonts w:hint="eastAsia" w:ascii="仿宋" w:hAnsi="仿宋" w:eastAsia="仿宋"/>
          <w:color w:val="000000"/>
          <w:sz w:val="32"/>
          <w:szCs w:val="32"/>
          <w:lang w:eastAsia="zh-CN"/>
        </w:rPr>
      </w:pPr>
    </w:p>
    <w:p>
      <w:pPr>
        <w:pStyle w:val="2"/>
        <w:rPr>
          <w:rFonts w:hint="eastAsia" w:ascii="仿宋" w:hAnsi="仿宋" w:eastAsia="仿宋"/>
          <w:color w:val="000000"/>
          <w:sz w:val="32"/>
          <w:szCs w:val="32"/>
          <w:lang w:eastAsia="zh-CN"/>
        </w:rPr>
      </w:pPr>
    </w:p>
    <w:p>
      <w:pPr>
        <w:rPr>
          <w:rFonts w:hint="eastAsia" w:ascii="仿宋" w:hAnsi="仿宋" w:eastAsia="仿宋"/>
          <w:color w:val="000000"/>
          <w:sz w:val="32"/>
          <w:szCs w:val="32"/>
          <w:lang w:eastAsia="zh-CN"/>
        </w:rPr>
      </w:pPr>
    </w:p>
    <w:p>
      <w:pPr>
        <w:pStyle w:val="2"/>
        <w:rPr>
          <w:rFonts w:hint="eastAsia"/>
          <w:lang w:eastAsia="zh-CN"/>
        </w:rPr>
      </w:pPr>
    </w:p>
    <w:p>
      <w:pPr>
        <w:pStyle w:val="2"/>
      </w:pPr>
    </w:p>
    <w:p>
      <w:pPr>
        <w:pStyle w:val="4"/>
        <w:pageBreakBefore w:val="0"/>
        <w:widowControl w:val="0"/>
        <w:kinsoku/>
        <w:wordWrap/>
        <w:overflowPunct/>
        <w:topLinePunct w:val="0"/>
        <w:bidi w:val="0"/>
        <w:spacing w:line="560" w:lineRule="exact"/>
        <w:ind w:right="440"/>
        <w:jc w:val="right"/>
        <w:textAlignment w:val="auto"/>
        <w:rPr>
          <w:rStyle w:val="28"/>
          <w:rFonts w:ascii="黑体" w:hAnsi="黑体" w:eastAsia="黑体"/>
          <w:b w:val="0"/>
          <w:bCs w:val="0"/>
        </w:rPr>
      </w:pPr>
      <w:bookmarkStart w:id="50" w:name="_Toc15396602"/>
      <w:bookmarkStart w:id="51" w:name="_Toc15377204"/>
      <w:bookmarkStart w:id="52" w:name="_Toc79163859"/>
      <w:bookmarkStart w:id="53" w:name="_Toc79163609"/>
      <w:r>
        <w:rPr>
          <w:rFonts w:hint="eastAsia" w:ascii="黑体" w:hAnsi="黑体" w:eastAsia="黑体"/>
          <w:b w:val="0"/>
          <w:color w:val="000000"/>
        </w:rPr>
        <w:t>第二部分</w:t>
      </w:r>
      <w:r>
        <w:rPr>
          <w:rFonts w:ascii="黑体" w:hAnsi="黑体" w:eastAsia="黑体"/>
          <w:color w:val="000000"/>
        </w:rPr>
        <w:t xml:space="preserve"> </w:t>
      </w:r>
      <w:r>
        <w:rPr>
          <w:rStyle w:val="28"/>
          <w:rFonts w:ascii="黑体" w:hAnsi="黑体" w:eastAsia="黑体"/>
          <w:b w:val="0"/>
          <w:bCs w:val="0"/>
        </w:rPr>
        <w:t>202</w:t>
      </w:r>
      <w:r>
        <w:rPr>
          <w:rStyle w:val="28"/>
          <w:rFonts w:hint="eastAsia" w:ascii="黑体" w:hAnsi="黑体" w:eastAsia="黑体"/>
          <w:b w:val="0"/>
          <w:bCs w:val="0"/>
        </w:rPr>
        <w:t>1年度部门决算情况说明</w:t>
      </w:r>
      <w:bookmarkEnd w:id="50"/>
      <w:bookmarkEnd w:id="51"/>
      <w:bookmarkEnd w:id="52"/>
      <w:bookmarkEnd w:id="53"/>
    </w:p>
    <w:p>
      <w:pPr>
        <w:pageBreakBefore w:val="0"/>
        <w:widowControl w:val="0"/>
        <w:kinsoku/>
        <w:wordWrap/>
        <w:overflowPunct/>
        <w:topLinePunct w:val="0"/>
        <w:bidi w:val="0"/>
        <w:spacing w:line="560" w:lineRule="exact"/>
        <w:textAlignment w:val="auto"/>
      </w:pPr>
    </w:p>
    <w:p>
      <w:pPr>
        <w:pStyle w:val="38"/>
        <w:pageBreakBefore w:val="0"/>
        <w:widowControl w:val="0"/>
        <w:numPr>
          <w:ilvl w:val="0"/>
          <w:numId w:val="3"/>
        </w:numPr>
        <w:kinsoku/>
        <w:wordWrap/>
        <w:overflowPunct/>
        <w:topLinePunct w:val="0"/>
        <w:bidi w:val="0"/>
        <w:spacing w:line="560" w:lineRule="exact"/>
        <w:ind w:firstLineChars="0"/>
        <w:textAlignment w:val="auto"/>
        <w:outlineLvl w:val="1"/>
        <w:rPr>
          <w:rStyle w:val="29"/>
          <w:rFonts w:ascii="黑体" w:hAnsi="黑体" w:eastAsia="黑体"/>
          <w:b w:val="0"/>
        </w:rPr>
      </w:pPr>
      <w:bookmarkStart w:id="54" w:name="_Toc15377205"/>
      <w:bookmarkStart w:id="55" w:name="_Toc79163610"/>
      <w:bookmarkStart w:id="56" w:name="_Toc79163860"/>
      <w:bookmarkStart w:id="57" w:name="_Toc15396603"/>
      <w:r>
        <w:rPr>
          <w:rFonts w:hint="eastAsia" w:ascii="黑体" w:hAnsi="黑体" w:eastAsia="黑体"/>
          <w:color w:val="000000"/>
          <w:sz w:val="32"/>
          <w:szCs w:val="32"/>
        </w:rPr>
        <w:t>收</w:t>
      </w:r>
      <w:r>
        <w:rPr>
          <w:rStyle w:val="29"/>
          <w:rFonts w:hint="eastAsia" w:ascii="黑体" w:hAnsi="黑体" w:eastAsia="黑体"/>
          <w:b w:val="0"/>
        </w:rPr>
        <w:t>入支出决算总体情况说明</w:t>
      </w:r>
      <w:bookmarkEnd w:id="54"/>
      <w:bookmarkEnd w:id="55"/>
      <w:bookmarkEnd w:id="56"/>
      <w:bookmarkEnd w:id="57"/>
    </w:p>
    <w:p>
      <w:pPr>
        <w:pageBreakBefore w:val="0"/>
        <w:widowControl w:val="0"/>
        <w:kinsoku/>
        <w:wordWrap/>
        <w:overflowPunct/>
        <w:topLinePunct w:val="0"/>
        <w:bidi w:val="0"/>
        <w:spacing w:line="560" w:lineRule="exact"/>
        <w:ind w:firstLine="640" w:firstLineChars="200"/>
        <w:textAlignment w:val="auto"/>
        <w:rPr>
          <w:rFonts w:hint="eastAsia" w:ascii="仿宋" w:hAnsi="仿宋" w:eastAsia="仿宋"/>
          <w:color w:val="000000"/>
          <w:sz w:val="32"/>
          <w:szCs w:val="32"/>
          <w:lang w:eastAsia="zh-CN"/>
        </w:rPr>
      </w:pPr>
      <w:r>
        <w:rPr>
          <w:rFonts w:ascii="仿宋" w:hAnsi="仿宋" w:eastAsia="仿宋"/>
          <w:color w:val="000000"/>
          <w:sz w:val="32"/>
          <w:szCs w:val="32"/>
        </w:rPr>
        <w:t>202</w:t>
      </w:r>
      <w:r>
        <w:rPr>
          <w:rFonts w:hint="eastAsia" w:ascii="仿宋" w:hAnsi="仿宋" w:eastAsia="仿宋"/>
          <w:color w:val="000000"/>
          <w:sz w:val="32"/>
          <w:szCs w:val="32"/>
        </w:rPr>
        <w:t>1年度收</w:t>
      </w:r>
      <w:r>
        <w:rPr>
          <w:rFonts w:hint="eastAsia" w:ascii="仿宋" w:hAnsi="仿宋" w:eastAsia="仿宋"/>
          <w:color w:val="000000"/>
          <w:sz w:val="32"/>
          <w:szCs w:val="32"/>
          <w:lang w:val="en-US" w:eastAsia="zh-CN"/>
        </w:rPr>
        <w:t>入</w:t>
      </w:r>
      <w:r>
        <w:rPr>
          <w:rFonts w:hint="eastAsia" w:ascii="仿宋" w:hAnsi="仿宋" w:eastAsia="仿宋"/>
          <w:color w:val="000000"/>
          <w:sz w:val="32"/>
          <w:szCs w:val="32"/>
        </w:rPr>
        <w:t>总计</w:t>
      </w:r>
      <w:r>
        <w:rPr>
          <w:rFonts w:hint="eastAsia" w:ascii="仿宋" w:hAnsi="仿宋" w:eastAsia="仿宋"/>
          <w:color w:val="000000"/>
          <w:sz w:val="32"/>
          <w:szCs w:val="32"/>
          <w:lang w:val="en-US" w:eastAsia="zh-CN"/>
        </w:rPr>
        <w:t>624.56</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w:t>
      </w:r>
      <w:r>
        <w:rPr>
          <w:rFonts w:hint="eastAsia" w:ascii="仿宋" w:hAnsi="仿宋" w:eastAsia="仿宋"/>
          <w:color w:val="000000"/>
          <w:sz w:val="32"/>
          <w:szCs w:val="32"/>
        </w:rPr>
        <w:t>与</w:t>
      </w:r>
      <w:r>
        <w:rPr>
          <w:rFonts w:ascii="仿宋" w:hAnsi="仿宋" w:eastAsia="仿宋"/>
          <w:color w:val="000000"/>
          <w:sz w:val="32"/>
          <w:szCs w:val="32"/>
        </w:rPr>
        <w:t>20</w:t>
      </w:r>
      <w:r>
        <w:rPr>
          <w:rFonts w:hint="eastAsia" w:ascii="仿宋" w:hAnsi="仿宋" w:eastAsia="仿宋"/>
          <w:color w:val="000000"/>
          <w:sz w:val="32"/>
          <w:szCs w:val="32"/>
        </w:rPr>
        <w:t>20年相比，收</w:t>
      </w:r>
      <w:r>
        <w:rPr>
          <w:rFonts w:hint="eastAsia" w:ascii="仿宋" w:hAnsi="仿宋" w:eastAsia="仿宋"/>
          <w:color w:val="000000"/>
          <w:sz w:val="32"/>
          <w:szCs w:val="32"/>
          <w:lang w:val="en-US" w:eastAsia="zh-CN"/>
        </w:rPr>
        <w:t>入</w:t>
      </w:r>
      <w:r>
        <w:rPr>
          <w:rFonts w:hint="eastAsia" w:ascii="仿宋" w:hAnsi="仿宋" w:eastAsia="仿宋"/>
          <w:color w:val="000000"/>
          <w:sz w:val="32"/>
          <w:szCs w:val="32"/>
        </w:rPr>
        <w:t>总计</w:t>
      </w:r>
      <w:r>
        <w:rPr>
          <w:rFonts w:hint="eastAsia" w:ascii="仿宋" w:hAnsi="仿宋" w:eastAsia="仿宋"/>
          <w:color w:val="000000"/>
          <w:sz w:val="32"/>
          <w:szCs w:val="32"/>
          <w:lang w:eastAsia="zh-CN"/>
        </w:rPr>
        <w:t>增加</w:t>
      </w:r>
      <w:r>
        <w:rPr>
          <w:rFonts w:hint="eastAsia" w:ascii="仿宋" w:hAnsi="仿宋" w:eastAsia="仿宋"/>
          <w:color w:val="000000"/>
          <w:sz w:val="32"/>
          <w:szCs w:val="32"/>
          <w:lang w:val="en-US" w:eastAsia="zh-CN"/>
        </w:rPr>
        <w:t>109.36</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增长</w:t>
      </w:r>
      <w:r>
        <w:rPr>
          <w:rFonts w:hint="eastAsia" w:ascii="仿宋" w:hAnsi="仿宋" w:eastAsia="仿宋"/>
          <w:color w:val="000000"/>
          <w:sz w:val="32"/>
          <w:szCs w:val="32"/>
          <w:lang w:val="en-US" w:eastAsia="zh-CN"/>
        </w:rPr>
        <w:t>21.23</w:t>
      </w:r>
      <w:r>
        <w:rPr>
          <w:rFonts w:ascii="仿宋" w:hAnsi="仿宋" w:eastAsia="仿宋"/>
          <w:color w:val="000000"/>
          <w:sz w:val="32"/>
          <w:szCs w:val="32"/>
        </w:rPr>
        <w:t>%</w:t>
      </w:r>
      <w:r>
        <w:rPr>
          <w:rFonts w:hint="eastAsia" w:ascii="仿宋" w:hAnsi="仿宋" w:eastAsia="仿宋"/>
          <w:color w:val="000000"/>
          <w:sz w:val="32"/>
          <w:szCs w:val="32"/>
          <w:lang w:eastAsia="zh-CN"/>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val="en-US" w:eastAsia="zh-CN"/>
        </w:rPr>
        <w:t>2021年医保基金支出增加</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支出</w:t>
      </w:r>
      <w:r>
        <w:rPr>
          <w:rFonts w:hint="eastAsia" w:ascii="仿宋" w:hAnsi="仿宋" w:eastAsia="仿宋"/>
          <w:color w:val="000000"/>
          <w:sz w:val="32"/>
          <w:szCs w:val="32"/>
        </w:rPr>
        <w:t>总计</w:t>
      </w:r>
      <w:r>
        <w:rPr>
          <w:rFonts w:hint="eastAsia" w:ascii="仿宋" w:hAnsi="仿宋" w:eastAsia="仿宋"/>
          <w:color w:val="000000"/>
          <w:sz w:val="32"/>
          <w:szCs w:val="32"/>
          <w:lang w:val="en-US" w:eastAsia="zh-CN"/>
        </w:rPr>
        <w:t>627.1</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w:t>
      </w:r>
      <w:r>
        <w:rPr>
          <w:rFonts w:hint="eastAsia" w:ascii="仿宋" w:hAnsi="仿宋" w:eastAsia="仿宋"/>
          <w:color w:val="000000"/>
          <w:sz w:val="32"/>
          <w:szCs w:val="32"/>
        </w:rPr>
        <w:t>与</w:t>
      </w:r>
      <w:r>
        <w:rPr>
          <w:rFonts w:ascii="仿宋" w:hAnsi="仿宋" w:eastAsia="仿宋"/>
          <w:color w:val="000000"/>
          <w:sz w:val="32"/>
          <w:szCs w:val="32"/>
        </w:rPr>
        <w:t>20</w:t>
      </w:r>
      <w:r>
        <w:rPr>
          <w:rFonts w:hint="eastAsia" w:ascii="仿宋" w:hAnsi="仿宋" w:eastAsia="仿宋"/>
          <w:color w:val="000000"/>
          <w:sz w:val="32"/>
          <w:szCs w:val="32"/>
        </w:rPr>
        <w:t>20年相比，</w:t>
      </w:r>
      <w:r>
        <w:rPr>
          <w:rFonts w:hint="eastAsia" w:ascii="仿宋" w:hAnsi="仿宋" w:eastAsia="仿宋"/>
          <w:color w:val="000000"/>
          <w:sz w:val="32"/>
          <w:szCs w:val="32"/>
          <w:lang w:val="en-US" w:eastAsia="zh-CN"/>
        </w:rPr>
        <w:t>支出</w:t>
      </w:r>
      <w:r>
        <w:rPr>
          <w:rFonts w:hint="eastAsia" w:ascii="仿宋" w:hAnsi="仿宋" w:eastAsia="仿宋"/>
          <w:color w:val="000000"/>
          <w:sz w:val="32"/>
          <w:szCs w:val="32"/>
        </w:rPr>
        <w:t>总计</w:t>
      </w:r>
      <w:r>
        <w:rPr>
          <w:rFonts w:hint="eastAsia" w:ascii="仿宋" w:hAnsi="仿宋" w:eastAsia="仿宋"/>
          <w:color w:val="000000"/>
          <w:sz w:val="32"/>
          <w:szCs w:val="32"/>
          <w:lang w:val="en-US" w:eastAsia="zh-CN"/>
        </w:rPr>
        <w:t>增加109.48</w:t>
      </w:r>
      <w:r>
        <w:rPr>
          <w:rFonts w:hint="eastAsia" w:ascii="仿宋" w:hAnsi="仿宋" w:eastAsia="仿宋"/>
          <w:color w:val="000000"/>
          <w:sz w:val="32"/>
          <w:szCs w:val="32"/>
        </w:rPr>
        <w:t>万元，</w:t>
      </w:r>
      <w:r>
        <w:rPr>
          <w:rFonts w:hint="eastAsia" w:ascii="仿宋" w:hAnsi="仿宋" w:eastAsia="仿宋"/>
          <w:color w:val="000000"/>
          <w:sz w:val="32"/>
          <w:szCs w:val="32"/>
          <w:lang w:val="en-US" w:eastAsia="zh-CN"/>
        </w:rPr>
        <w:t>增加21.15</w:t>
      </w:r>
      <w:r>
        <w:rPr>
          <w:rFonts w:ascii="仿宋" w:hAnsi="仿宋" w:eastAsia="仿宋"/>
          <w:color w:val="000000"/>
          <w:sz w:val="32"/>
          <w:szCs w:val="32"/>
        </w:rPr>
        <w:t>%</w:t>
      </w:r>
      <w:r>
        <w:rPr>
          <w:rFonts w:hint="eastAsia" w:ascii="仿宋" w:hAnsi="仿宋" w:eastAsia="仿宋"/>
          <w:color w:val="000000"/>
          <w:sz w:val="32"/>
          <w:szCs w:val="32"/>
          <w:lang w:eastAsia="zh-CN"/>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val="en-US" w:eastAsia="zh-CN"/>
        </w:rPr>
        <w:t>2021年医保基金支出增加</w:t>
      </w:r>
      <w:r>
        <w:rPr>
          <w:rFonts w:hint="eastAsia" w:ascii="仿宋" w:hAnsi="仿宋" w:eastAsia="仿宋"/>
          <w:color w:val="000000"/>
          <w:sz w:val="32"/>
          <w:szCs w:val="32"/>
          <w:lang w:eastAsia="zh-CN"/>
        </w:rPr>
        <w:t>。</w:t>
      </w:r>
    </w:p>
    <w:p>
      <w:pPr>
        <w:spacing w:line="600" w:lineRule="exact"/>
        <w:ind w:firstLine="640" w:firstLineChars="200"/>
        <w:rPr>
          <w:rFonts w:hint="eastAsia" w:ascii="仿宋_GB2312" w:eastAsia="仿宋"/>
          <w:color w:val="000000"/>
          <w:sz w:val="32"/>
          <w:szCs w:val="32"/>
          <w:lang w:eastAsia="zh-CN"/>
        </w:rPr>
      </w:pPr>
      <w:r>
        <w:rPr>
          <w:rFonts w:hint="eastAsia" w:ascii="仿宋" w:hAnsi="仿宋" w:eastAsia="仿宋"/>
          <w:color w:val="000000" w:themeColor="text1"/>
          <w:sz w:val="32"/>
          <w:szCs w:val="32"/>
          <w14:textFill>
            <w14:solidFill>
              <w14:schemeClr w14:val="tx1"/>
            </w14:solidFill>
          </w14:textFill>
        </w:rPr>
        <w:t>（图</w:t>
      </w: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：收、支决算总计变动情况图）</w:t>
      </w:r>
    </w:p>
    <w:p>
      <w:pPr>
        <w:pStyle w:val="2"/>
        <w:ind w:left="0" w:leftChars="0" w:firstLine="0" w:firstLineChars="0"/>
      </w:pPr>
      <w:r>
        <w:rPr>
          <w:rFonts w:hint="eastAsia" w:ascii="仿宋" w:hAnsi="仿宋" w:eastAsia="仿宋"/>
          <w:color w:val="000000"/>
          <w:sz w:val="32"/>
          <w:szCs w:val="32"/>
        </w:rPr>
        <w:object>
          <v:shape id="_x0000_i1025" o:spt="75" type="#_x0000_t75" style="height:307.25pt;width:404.1pt;" o:ole="t" filled="f" o:preferrelative="t" stroked="f" coordsize="21600,21600">
            <v:path/>
            <v:fill on="f" focussize="0,0"/>
            <v:stroke on="f"/>
            <v:imagedata r:id="rId7" o:title=""/>
            <o:lock v:ext="edit" aspectratio="t"/>
            <w10:wrap type="none"/>
            <w10:anchorlock/>
          </v:shape>
          <o:OLEObject Type="Embed" ProgID="Excel.Chart.8" ShapeID="_x0000_i1025" DrawAspect="Content" ObjectID="_1468075725" r:id="rId6">
            <o:LockedField>false</o:LockedField>
          </o:OLEObject>
        </w:object>
      </w:r>
    </w:p>
    <w:p>
      <w:pPr>
        <w:pStyle w:val="38"/>
        <w:pageBreakBefore w:val="0"/>
        <w:widowControl w:val="0"/>
        <w:numPr>
          <w:ilvl w:val="0"/>
          <w:numId w:val="3"/>
        </w:numPr>
        <w:kinsoku/>
        <w:wordWrap/>
        <w:overflowPunct/>
        <w:topLinePunct w:val="0"/>
        <w:bidi w:val="0"/>
        <w:spacing w:line="560" w:lineRule="exact"/>
        <w:ind w:firstLineChars="0"/>
        <w:textAlignment w:val="auto"/>
        <w:outlineLvl w:val="1"/>
        <w:rPr>
          <w:rStyle w:val="29"/>
          <w:rFonts w:ascii="黑体" w:hAnsi="黑体" w:eastAsia="黑体"/>
          <w:b w:val="0"/>
        </w:rPr>
      </w:pPr>
      <w:bookmarkStart w:id="58" w:name="_Toc15396604"/>
      <w:bookmarkStart w:id="59" w:name="_Toc79163861"/>
      <w:bookmarkStart w:id="60" w:name="_Toc15377206"/>
      <w:bookmarkStart w:id="61" w:name="_Toc79163611"/>
      <w:r>
        <w:rPr>
          <w:rFonts w:hint="eastAsia" w:ascii="黑体" w:hAnsi="黑体" w:eastAsia="黑体"/>
          <w:color w:val="000000"/>
          <w:sz w:val="32"/>
          <w:szCs w:val="32"/>
        </w:rPr>
        <w:t>收</w:t>
      </w:r>
      <w:r>
        <w:rPr>
          <w:rStyle w:val="29"/>
          <w:rFonts w:hint="eastAsia" w:ascii="黑体" w:hAnsi="黑体" w:eastAsia="黑体"/>
          <w:b w:val="0"/>
        </w:rPr>
        <w:t>入决算情况说明</w:t>
      </w:r>
      <w:bookmarkEnd w:id="58"/>
      <w:bookmarkEnd w:id="59"/>
      <w:bookmarkEnd w:id="60"/>
      <w:bookmarkEnd w:id="61"/>
    </w:p>
    <w:p>
      <w:pPr>
        <w:pageBreakBefore w:val="0"/>
        <w:widowControl w:val="0"/>
        <w:kinsoku/>
        <w:wordWrap/>
        <w:overflowPunct/>
        <w:topLinePunct w:val="0"/>
        <w:bidi w:val="0"/>
        <w:spacing w:line="560" w:lineRule="exact"/>
        <w:ind w:firstLine="640" w:firstLineChars="200"/>
        <w:textAlignment w:val="auto"/>
        <w:rPr>
          <w:rFonts w:ascii="仿宋_GB2312" w:eastAsia="仿宋_GB2312"/>
          <w:color w:val="FF0000"/>
          <w:sz w:val="32"/>
          <w:szCs w:val="32"/>
        </w:rPr>
      </w:pPr>
      <w:r>
        <w:rPr>
          <w:rFonts w:ascii="仿宋" w:hAnsi="仿宋" w:eastAsia="仿宋"/>
          <w:color w:val="000000"/>
          <w:sz w:val="32"/>
          <w:szCs w:val="32"/>
        </w:rPr>
        <w:t>202</w:t>
      </w:r>
      <w:r>
        <w:rPr>
          <w:rFonts w:hint="eastAsia" w:ascii="仿宋" w:hAnsi="仿宋" w:eastAsia="仿宋"/>
          <w:color w:val="000000"/>
          <w:sz w:val="32"/>
          <w:szCs w:val="32"/>
        </w:rPr>
        <w:t>1年本年收入合计</w:t>
      </w:r>
      <w:r>
        <w:rPr>
          <w:rFonts w:hint="eastAsia" w:ascii="仿宋" w:hAnsi="仿宋" w:eastAsia="仿宋"/>
          <w:color w:val="000000"/>
          <w:sz w:val="32"/>
          <w:szCs w:val="32"/>
          <w:lang w:val="en-US" w:eastAsia="zh-CN"/>
        </w:rPr>
        <w:t>624.56</w:t>
      </w:r>
      <w:r>
        <w:rPr>
          <w:rFonts w:hint="eastAsia" w:ascii="仿宋" w:hAnsi="仿宋" w:eastAsia="仿宋"/>
          <w:color w:val="000000"/>
          <w:sz w:val="32"/>
          <w:szCs w:val="32"/>
        </w:rPr>
        <w:t>万元，其中：一般公共预算财政拨款收入</w:t>
      </w:r>
      <w:r>
        <w:rPr>
          <w:rFonts w:hint="eastAsia" w:ascii="仿宋" w:hAnsi="仿宋" w:eastAsia="仿宋"/>
          <w:color w:val="000000"/>
          <w:sz w:val="32"/>
          <w:szCs w:val="32"/>
          <w:lang w:val="en-US" w:eastAsia="zh-CN"/>
        </w:rPr>
        <w:t>583.94</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93.4</w:t>
      </w:r>
      <w:r>
        <w:rPr>
          <w:rFonts w:ascii="仿宋" w:hAnsi="仿宋" w:eastAsia="仿宋"/>
          <w:color w:val="000000"/>
          <w:sz w:val="32"/>
          <w:szCs w:val="32"/>
        </w:rPr>
        <w:t>%</w:t>
      </w:r>
      <w:r>
        <w:rPr>
          <w:rFonts w:hint="eastAsia" w:ascii="仿宋" w:hAnsi="仿宋" w:eastAsia="仿宋"/>
          <w:color w:val="000000"/>
          <w:sz w:val="32"/>
          <w:szCs w:val="32"/>
        </w:rPr>
        <w:t>；政府性基金预算财政拨款收入</w:t>
      </w:r>
      <w:r>
        <w:rPr>
          <w:rFonts w:hint="eastAsia" w:ascii="仿宋" w:hAnsi="仿宋" w:eastAsia="仿宋"/>
          <w:color w:val="000000"/>
          <w:sz w:val="32"/>
          <w:szCs w:val="32"/>
          <w:lang w:val="en-US" w:eastAsia="zh-CN"/>
        </w:rPr>
        <w:t>40.62</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6.6</w:t>
      </w:r>
      <w:r>
        <w:rPr>
          <w:rFonts w:ascii="仿宋" w:hAnsi="仿宋" w:eastAsia="仿宋"/>
          <w:color w:val="000000"/>
          <w:sz w:val="32"/>
          <w:szCs w:val="32"/>
        </w:rPr>
        <w:t>%</w:t>
      </w:r>
      <w:r>
        <w:rPr>
          <w:rFonts w:hint="eastAsia" w:ascii="仿宋" w:hAnsi="仿宋" w:eastAsia="仿宋"/>
          <w:color w:val="000000"/>
          <w:sz w:val="32"/>
          <w:szCs w:val="32"/>
        </w:rPr>
        <w:t>；上级补助收入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；事业收入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；经营收入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；附属单位上缴收入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；其他收入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p>
    <w:p>
      <w:pPr>
        <w:pageBreakBefore w:val="0"/>
        <w:widowControl w:val="0"/>
        <w:kinsoku/>
        <w:wordWrap/>
        <w:overflowPunct/>
        <w:topLinePunct w:val="0"/>
        <w:bidi w:val="0"/>
        <w:spacing w:line="560" w:lineRule="exact"/>
        <w:ind w:firstLine="640" w:firstLineChars="200"/>
        <w:textAlignment w:val="auto"/>
        <w:rPr>
          <w:rFonts w:hint="eastAsia" w:eastAsia="仿宋"/>
          <w:lang w:eastAsia="zh-CN"/>
        </w:rPr>
      </w:pPr>
      <w:r>
        <w:rPr>
          <w:rFonts w:hint="eastAsia" w:ascii="仿宋" w:hAnsi="仿宋" w:eastAsia="仿宋"/>
          <w:color w:val="000000"/>
          <w:sz w:val="32"/>
          <w:szCs w:val="32"/>
        </w:rPr>
        <w:t>（图</w:t>
      </w:r>
      <w:r>
        <w:rPr>
          <w:rFonts w:ascii="仿宋" w:hAnsi="仿宋" w:eastAsia="仿宋"/>
          <w:color w:val="000000"/>
          <w:sz w:val="32"/>
          <w:szCs w:val="32"/>
        </w:rPr>
        <w:t>2</w:t>
      </w:r>
      <w:r>
        <w:rPr>
          <w:rFonts w:hint="eastAsia" w:ascii="仿宋" w:hAnsi="仿宋" w:eastAsia="仿宋"/>
          <w:color w:val="000000"/>
          <w:sz w:val="32"/>
          <w:szCs w:val="32"/>
        </w:rPr>
        <w:t>：收入决算结构图）（饼状图）</w:t>
      </w:r>
      <w:r>
        <w:rPr>
          <w:rFonts w:hint="eastAsia" w:eastAsia="仿宋"/>
          <w:lang w:eastAsia="zh-CN"/>
        </w:rPr>
        <w:drawing>
          <wp:anchor distT="0" distB="0" distL="114300" distR="114300" simplePos="0" relativeHeight="251659264" behindDoc="1" locked="0" layoutInCell="1" allowOverlap="1">
            <wp:simplePos x="0" y="0"/>
            <wp:positionH relativeFrom="column">
              <wp:posOffset>20320</wp:posOffset>
            </wp:positionH>
            <wp:positionV relativeFrom="paragraph">
              <wp:posOffset>-9159875</wp:posOffset>
            </wp:positionV>
            <wp:extent cx="5330825" cy="2893060"/>
            <wp:effectExtent l="4445" t="4445" r="17780" b="55245"/>
            <wp:wrapTight wrapText="bothSides">
              <wp:wrapPolygon>
                <wp:start x="-18" y="-33"/>
                <wp:lineTo x="-18" y="21870"/>
                <wp:lineTo x="21518" y="21870"/>
                <wp:lineTo x="21518" y="-33"/>
                <wp:lineTo x="-18" y="-33"/>
              </wp:wrapPolygon>
            </wp:wrapTight>
            <wp:docPr id="9" name="图表 9" descr="7b0a202020202263686172745265734964223a20223230343731333838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pStyle w:val="38"/>
        <w:pageBreakBefore w:val="0"/>
        <w:widowControl w:val="0"/>
        <w:numPr>
          <w:ilvl w:val="0"/>
          <w:numId w:val="3"/>
        </w:numPr>
        <w:kinsoku/>
        <w:wordWrap/>
        <w:overflowPunct/>
        <w:topLinePunct w:val="0"/>
        <w:bidi w:val="0"/>
        <w:spacing w:line="560" w:lineRule="exact"/>
        <w:ind w:firstLineChars="0"/>
        <w:textAlignment w:val="auto"/>
        <w:outlineLvl w:val="1"/>
        <w:rPr>
          <w:rStyle w:val="29"/>
          <w:rFonts w:ascii="黑体" w:hAnsi="黑体" w:eastAsia="黑体"/>
          <w:b w:val="0"/>
        </w:rPr>
      </w:pPr>
      <w:bookmarkStart w:id="62" w:name="_Toc79163862"/>
      <w:bookmarkStart w:id="63" w:name="_Toc79163612"/>
      <w:bookmarkStart w:id="64" w:name="_Toc15396605"/>
      <w:bookmarkStart w:id="65" w:name="_Toc15377207"/>
      <w:r>
        <w:rPr>
          <w:rFonts w:hint="eastAsia" w:ascii="黑体" w:hAnsi="黑体" w:eastAsia="黑体"/>
          <w:color w:val="000000"/>
          <w:sz w:val="32"/>
          <w:szCs w:val="32"/>
        </w:rPr>
        <w:t>支</w:t>
      </w:r>
      <w:r>
        <w:rPr>
          <w:rStyle w:val="29"/>
          <w:rFonts w:hint="eastAsia" w:ascii="黑体" w:hAnsi="黑体" w:eastAsia="黑体"/>
          <w:b w:val="0"/>
        </w:rPr>
        <w:t>出决算情况说明</w:t>
      </w:r>
      <w:bookmarkEnd w:id="62"/>
      <w:bookmarkEnd w:id="63"/>
      <w:bookmarkEnd w:id="64"/>
      <w:bookmarkEnd w:id="65"/>
    </w:p>
    <w:p>
      <w:pPr>
        <w:pageBreakBefore w:val="0"/>
        <w:widowControl w:val="0"/>
        <w:kinsoku/>
        <w:wordWrap/>
        <w:overflowPunct/>
        <w:topLinePunct w:val="0"/>
        <w:bidi w:val="0"/>
        <w:spacing w:line="560" w:lineRule="exact"/>
        <w:ind w:firstLine="640" w:firstLineChars="200"/>
        <w:textAlignment w:val="auto"/>
        <w:rPr>
          <w:rFonts w:ascii="仿宋" w:hAnsi="仿宋" w:eastAsia="仿宋"/>
          <w:color w:val="000000"/>
          <w:sz w:val="32"/>
          <w:szCs w:val="32"/>
          <w:shd w:val="pct10" w:color="auto" w:fill="FFFFFF"/>
        </w:rPr>
      </w:pPr>
      <w:r>
        <w:rPr>
          <w:rFonts w:ascii="仿宋_GB2312" w:eastAsia="仿宋_GB2312"/>
          <w:sz w:val="32"/>
          <w:szCs w:val="32"/>
        </w:rPr>
        <w:t>202</w:t>
      </w:r>
      <w:r>
        <w:rPr>
          <w:rFonts w:hint="eastAsia" w:ascii="仿宋_GB2312" w:eastAsia="仿宋_GB2312"/>
          <w:sz w:val="32"/>
          <w:szCs w:val="32"/>
        </w:rPr>
        <w:t>1年本年支出合计</w:t>
      </w:r>
      <w:r>
        <w:rPr>
          <w:rFonts w:hint="eastAsia" w:ascii="仿宋_GB2312" w:eastAsia="仿宋_GB2312"/>
          <w:sz w:val="32"/>
          <w:szCs w:val="32"/>
          <w:lang w:val="en-US" w:eastAsia="zh-CN"/>
        </w:rPr>
        <w:t>627.1</w:t>
      </w:r>
      <w:r>
        <w:rPr>
          <w:rFonts w:hint="eastAsia" w:ascii="仿宋_GB2312" w:eastAsia="仿宋_GB2312"/>
          <w:sz w:val="32"/>
          <w:szCs w:val="32"/>
        </w:rPr>
        <w:t>万元，其中：基本支出</w:t>
      </w:r>
      <w:r>
        <w:rPr>
          <w:rFonts w:hint="eastAsia" w:ascii="仿宋_GB2312" w:eastAsia="仿宋_GB2312"/>
          <w:sz w:val="32"/>
          <w:szCs w:val="32"/>
          <w:lang w:val="en-US" w:eastAsia="zh-CN"/>
        </w:rPr>
        <w:t>521.56</w:t>
      </w:r>
      <w:r>
        <w:rPr>
          <w:rFonts w:hint="eastAsia" w:ascii="仿宋_GB2312" w:eastAsia="仿宋_GB2312"/>
          <w:sz w:val="32"/>
          <w:szCs w:val="32"/>
        </w:rPr>
        <w:t>万元，占</w:t>
      </w:r>
      <w:r>
        <w:rPr>
          <w:rFonts w:hint="eastAsia" w:ascii="仿宋_GB2312" w:eastAsia="仿宋_GB2312"/>
          <w:sz w:val="32"/>
          <w:szCs w:val="32"/>
          <w:lang w:val="en-US" w:eastAsia="zh-CN"/>
        </w:rPr>
        <w:t>67.2</w:t>
      </w:r>
      <w:r>
        <w:rPr>
          <w:rFonts w:ascii="仿宋_GB2312" w:eastAsia="仿宋_GB2312"/>
          <w:sz w:val="32"/>
          <w:szCs w:val="32"/>
        </w:rPr>
        <w:t>%</w:t>
      </w:r>
      <w:r>
        <w:rPr>
          <w:rFonts w:hint="eastAsia" w:ascii="仿宋_GB2312" w:eastAsia="仿宋_GB2312"/>
          <w:sz w:val="32"/>
          <w:szCs w:val="32"/>
        </w:rPr>
        <w:t>；项目支出</w:t>
      </w:r>
      <w:r>
        <w:rPr>
          <w:rFonts w:hint="eastAsia" w:ascii="仿宋_GB2312" w:eastAsia="仿宋_GB2312"/>
          <w:sz w:val="32"/>
          <w:szCs w:val="32"/>
          <w:lang w:val="en-US" w:eastAsia="zh-CN"/>
        </w:rPr>
        <w:t>205.54</w:t>
      </w:r>
      <w:r>
        <w:rPr>
          <w:rFonts w:hint="eastAsia" w:ascii="仿宋_GB2312" w:eastAsia="仿宋_GB2312"/>
          <w:sz w:val="32"/>
          <w:szCs w:val="32"/>
        </w:rPr>
        <w:t>万元，占</w:t>
      </w:r>
      <w:r>
        <w:rPr>
          <w:rFonts w:hint="eastAsia" w:ascii="仿宋_GB2312" w:eastAsia="仿宋_GB2312"/>
          <w:sz w:val="32"/>
          <w:szCs w:val="32"/>
          <w:lang w:val="en-US" w:eastAsia="zh-CN"/>
        </w:rPr>
        <w:t>32.8</w:t>
      </w:r>
      <w:r>
        <w:rPr>
          <w:rFonts w:ascii="仿宋_GB2312" w:eastAsia="仿宋_GB2312"/>
          <w:sz w:val="32"/>
          <w:szCs w:val="32"/>
        </w:rPr>
        <w:t>%</w:t>
      </w:r>
      <w:r>
        <w:rPr>
          <w:rFonts w:hint="eastAsia" w:ascii="仿宋_GB2312" w:eastAsia="仿宋_GB2312"/>
          <w:sz w:val="32"/>
          <w:szCs w:val="32"/>
        </w:rPr>
        <w:t>；上缴上级支出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；经营支出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；对附属单位补助支出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pPr>
        <w:pageBreakBefore w:val="0"/>
        <w:widowControl w:val="0"/>
        <w:kinsoku/>
        <w:wordWrap/>
        <w:overflowPunct/>
        <w:topLinePunct w:val="0"/>
        <w:bidi w:val="0"/>
        <w:spacing w:line="560" w:lineRule="exact"/>
        <w:ind w:firstLine="640" w:firstLineChars="200"/>
        <w:textAlignment w:val="auto"/>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3</w:t>
      </w:r>
      <w:r>
        <w:rPr>
          <w:rFonts w:hint="eastAsia" w:ascii="仿宋" w:hAnsi="仿宋" w:eastAsia="仿宋"/>
          <w:color w:val="000000"/>
          <w:sz w:val="32"/>
          <w:szCs w:val="32"/>
        </w:rPr>
        <w:t>：支出决算结构图）（饼状图）</w:t>
      </w:r>
    </w:p>
    <w:p>
      <w:pPr>
        <w:pageBreakBefore w:val="0"/>
        <w:widowControl w:val="0"/>
        <w:kinsoku/>
        <w:wordWrap/>
        <w:overflowPunct/>
        <w:topLinePunct w:val="0"/>
        <w:bidi w:val="0"/>
        <w:spacing w:line="560" w:lineRule="exact"/>
        <w:ind w:firstLine="640" w:firstLineChars="200"/>
        <w:textAlignment w:val="auto"/>
        <w:rPr>
          <w:rFonts w:hint="eastAsia" w:ascii="仿宋_GB2312" w:eastAsia="仿宋_GB2312"/>
          <w:color w:val="FF0000"/>
          <w:sz w:val="32"/>
          <w:szCs w:val="32"/>
          <w:lang w:eastAsia="zh-CN"/>
        </w:rPr>
      </w:pPr>
      <w:r>
        <w:rPr>
          <w:rFonts w:hint="eastAsia" w:ascii="仿宋" w:hAnsi="仿宋" w:eastAsia="仿宋"/>
          <w:color w:val="000000" w:themeColor="text1"/>
          <w:sz w:val="32"/>
          <w:szCs w:val="32"/>
          <w:lang w:eastAsia="zh-CN"/>
          <w14:textFill>
            <w14:solidFill>
              <w14:schemeClr w14:val="tx1"/>
            </w14:solidFill>
          </w14:textFill>
        </w:rPr>
        <w:drawing>
          <wp:anchor distT="0" distB="0" distL="114300" distR="114300" simplePos="0" relativeHeight="251660288" behindDoc="1" locked="0" layoutInCell="1" allowOverlap="1">
            <wp:simplePos x="0" y="0"/>
            <wp:positionH relativeFrom="column">
              <wp:posOffset>316230</wp:posOffset>
            </wp:positionH>
            <wp:positionV relativeFrom="paragraph">
              <wp:posOffset>31115</wp:posOffset>
            </wp:positionV>
            <wp:extent cx="4704715" cy="2663190"/>
            <wp:effectExtent l="4445" t="4445" r="15240" b="18415"/>
            <wp:wrapTight wrapText="bothSides">
              <wp:wrapPolygon>
                <wp:start x="-20" y="-36"/>
                <wp:lineTo x="-20" y="21440"/>
                <wp:lineTo x="21495" y="21440"/>
                <wp:lineTo x="21495" y="-36"/>
                <wp:lineTo x="-20" y="-36"/>
              </wp:wrapPolygon>
            </wp:wrapTight>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ageBreakBefore w:val="0"/>
        <w:widowControl w:val="0"/>
        <w:kinsoku/>
        <w:wordWrap/>
        <w:overflowPunct/>
        <w:topLinePunct w:val="0"/>
        <w:bidi w:val="0"/>
        <w:spacing w:line="560" w:lineRule="exact"/>
        <w:ind w:firstLine="640" w:firstLineChars="200"/>
        <w:textAlignment w:val="auto"/>
        <w:outlineLvl w:val="1"/>
        <w:rPr>
          <w:rStyle w:val="29"/>
          <w:rFonts w:ascii="黑体" w:hAnsi="黑体" w:eastAsia="黑体"/>
          <w:b w:val="0"/>
        </w:rPr>
      </w:pPr>
      <w:bookmarkStart w:id="66" w:name="_Toc15396606"/>
      <w:bookmarkStart w:id="67" w:name="_Toc15377208"/>
      <w:bookmarkStart w:id="68" w:name="_Toc79163863"/>
      <w:bookmarkStart w:id="69" w:name="_Toc79163613"/>
      <w:r>
        <w:rPr>
          <w:rFonts w:hint="eastAsia" w:ascii="黑体" w:hAnsi="黑体" w:eastAsia="黑体"/>
          <w:color w:val="000000"/>
          <w:sz w:val="32"/>
          <w:szCs w:val="32"/>
        </w:rPr>
        <w:t>四、财</w:t>
      </w:r>
      <w:r>
        <w:rPr>
          <w:rStyle w:val="29"/>
          <w:rFonts w:hint="eastAsia" w:ascii="黑体" w:hAnsi="黑体" w:eastAsia="黑体"/>
          <w:b w:val="0"/>
        </w:rPr>
        <w:t>政拨款收入支出决算总体情况说明</w:t>
      </w:r>
      <w:bookmarkEnd w:id="66"/>
      <w:bookmarkEnd w:id="67"/>
      <w:bookmarkEnd w:id="68"/>
      <w:bookmarkEnd w:id="69"/>
    </w:p>
    <w:p>
      <w:pPr>
        <w:spacing w:line="600" w:lineRule="exact"/>
        <w:ind w:firstLine="640" w:firstLineChars="200"/>
        <w:rPr>
          <w:rFonts w:ascii="仿宋" w:hAnsi="仿宋" w:eastAsia="仿宋"/>
          <w:color w:val="000000"/>
          <w:sz w:val="32"/>
          <w:szCs w:val="32"/>
        </w:rPr>
      </w:pPr>
      <w:r>
        <w:rPr>
          <w:rFonts w:hint="eastAsia" w:ascii="仿宋_GB2312" w:hAnsi="仿宋" w:eastAsia="仿宋_GB2312"/>
          <w:color w:val="000000"/>
          <w:sz w:val="32"/>
          <w:szCs w:val="32"/>
        </w:rPr>
        <w:t>202</w:t>
      </w:r>
      <w:r>
        <w:rPr>
          <w:rFonts w:hint="eastAsia" w:ascii="仿宋_GB2312" w:hAnsi="仿宋" w:eastAsia="仿宋_GB2312"/>
          <w:color w:val="000000"/>
          <w:sz w:val="32"/>
          <w:szCs w:val="32"/>
          <w:lang w:val="en-US" w:eastAsia="zh-CN"/>
        </w:rPr>
        <w:t>1</w:t>
      </w:r>
      <w:r>
        <w:rPr>
          <w:rFonts w:hint="eastAsia" w:ascii="仿宋_GB2312" w:hAnsi="仿宋" w:eastAsia="仿宋_GB2312"/>
          <w:color w:val="000000"/>
          <w:sz w:val="32"/>
          <w:szCs w:val="32"/>
        </w:rPr>
        <w:t>年度收入总计</w:t>
      </w:r>
      <w:r>
        <w:rPr>
          <w:rFonts w:hint="eastAsia" w:ascii="仿宋" w:hAnsi="仿宋" w:eastAsia="仿宋"/>
          <w:color w:val="000000"/>
          <w:sz w:val="32"/>
          <w:szCs w:val="32"/>
          <w:lang w:val="en-US" w:eastAsia="zh-CN"/>
        </w:rPr>
        <w:t>624.56</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w:t>
      </w:r>
      <w:r>
        <w:rPr>
          <w:rFonts w:hint="eastAsia" w:ascii="仿宋" w:hAnsi="仿宋" w:eastAsia="仿宋"/>
          <w:color w:val="000000"/>
          <w:sz w:val="32"/>
          <w:szCs w:val="32"/>
        </w:rPr>
        <w:t>与</w:t>
      </w:r>
      <w:r>
        <w:rPr>
          <w:rFonts w:ascii="仿宋" w:hAnsi="仿宋" w:eastAsia="仿宋"/>
          <w:color w:val="000000"/>
          <w:sz w:val="32"/>
          <w:szCs w:val="32"/>
        </w:rPr>
        <w:t>20</w:t>
      </w:r>
      <w:r>
        <w:rPr>
          <w:rFonts w:hint="eastAsia" w:ascii="仿宋" w:hAnsi="仿宋" w:eastAsia="仿宋"/>
          <w:color w:val="000000"/>
          <w:sz w:val="32"/>
          <w:szCs w:val="32"/>
        </w:rPr>
        <w:t>20年相比，收</w:t>
      </w:r>
      <w:r>
        <w:rPr>
          <w:rFonts w:hint="eastAsia" w:ascii="仿宋" w:hAnsi="仿宋" w:eastAsia="仿宋"/>
          <w:color w:val="000000"/>
          <w:sz w:val="32"/>
          <w:szCs w:val="32"/>
          <w:lang w:val="en-US" w:eastAsia="zh-CN"/>
        </w:rPr>
        <w:t>入</w:t>
      </w:r>
      <w:r>
        <w:rPr>
          <w:rFonts w:hint="eastAsia" w:ascii="仿宋" w:hAnsi="仿宋" w:eastAsia="仿宋"/>
          <w:color w:val="000000"/>
          <w:sz w:val="32"/>
          <w:szCs w:val="32"/>
        </w:rPr>
        <w:t>总计</w:t>
      </w:r>
      <w:r>
        <w:rPr>
          <w:rFonts w:hint="eastAsia" w:ascii="仿宋" w:hAnsi="仿宋" w:eastAsia="仿宋"/>
          <w:color w:val="000000"/>
          <w:sz w:val="32"/>
          <w:szCs w:val="32"/>
          <w:lang w:eastAsia="zh-CN"/>
        </w:rPr>
        <w:t>增加</w:t>
      </w:r>
      <w:r>
        <w:rPr>
          <w:rFonts w:hint="eastAsia" w:ascii="仿宋" w:hAnsi="仿宋" w:eastAsia="仿宋"/>
          <w:color w:val="000000"/>
          <w:sz w:val="32"/>
          <w:szCs w:val="32"/>
          <w:lang w:val="en-US" w:eastAsia="zh-CN"/>
        </w:rPr>
        <w:t>109.36</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增长</w:t>
      </w:r>
      <w:r>
        <w:rPr>
          <w:rFonts w:hint="eastAsia" w:ascii="仿宋" w:hAnsi="仿宋" w:eastAsia="仿宋"/>
          <w:color w:val="000000"/>
          <w:sz w:val="32"/>
          <w:szCs w:val="32"/>
          <w:lang w:val="en-US" w:eastAsia="zh-CN"/>
        </w:rPr>
        <w:t>21.23</w:t>
      </w:r>
      <w:r>
        <w:rPr>
          <w:rFonts w:ascii="仿宋" w:hAnsi="仿宋" w:eastAsia="仿宋"/>
          <w:color w:val="000000"/>
          <w:sz w:val="32"/>
          <w:szCs w:val="32"/>
        </w:rPr>
        <w:t>%</w:t>
      </w:r>
      <w:r>
        <w:rPr>
          <w:rFonts w:hint="eastAsia" w:ascii="仿宋" w:hAnsi="仿宋" w:eastAsia="仿宋"/>
          <w:color w:val="000000"/>
          <w:sz w:val="32"/>
          <w:szCs w:val="32"/>
          <w:lang w:eastAsia="zh-CN"/>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val="en-US" w:eastAsia="zh-CN"/>
        </w:rPr>
        <w:t>2021年医保基金支出增加</w:t>
      </w:r>
      <w:r>
        <w:rPr>
          <w:rFonts w:hint="eastAsia" w:ascii="仿宋" w:hAnsi="仿宋" w:eastAsia="仿宋"/>
          <w:color w:val="000000"/>
          <w:sz w:val="32"/>
          <w:szCs w:val="32"/>
          <w:lang w:eastAsia="zh-CN"/>
        </w:rPr>
        <w:t>。</w:t>
      </w:r>
      <w:r>
        <w:rPr>
          <w:rFonts w:ascii="仿宋_GB2312" w:hAnsi="仿宋" w:eastAsia="仿宋_GB2312"/>
          <w:color w:val="000000"/>
          <w:sz w:val="32"/>
          <w:szCs w:val="32"/>
        </w:rPr>
        <w:t>202</w:t>
      </w:r>
      <w:r>
        <w:rPr>
          <w:rFonts w:hint="eastAsia" w:ascii="仿宋_GB2312" w:hAnsi="仿宋" w:eastAsia="仿宋_GB2312"/>
          <w:color w:val="000000"/>
          <w:sz w:val="32"/>
          <w:szCs w:val="32"/>
          <w:lang w:val="en-US" w:eastAsia="zh-CN"/>
        </w:rPr>
        <w:t>1</w:t>
      </w:r>
      <w:r>
        <w:rPr>
          <w:rFonts w:hint="eastAsia" w:ascii="仿宋_GB2312" w:hAnsi="仿宋" w:eastAsia="仿宋_GB2312"/>
          <w:color w:val="000000"/>
          <w:sz w:val="32"/>
          <w:szCs w:val="32"/>
        </w:rPr>
        <w:t>年度支出总计</w:t>
      </w:r>
      <w:r>
        <w:rPr>
          <w:rFonts w:hint="eastAsia" w:ascii="仿宋" w:hAnsi="仿宋" w:eastAsia="仿宋"/>
          <w:color w:val="000000"/>
          <w:sz w:val="32"/>
          <w:szCs w:val="32"/>
          <w:lang w:val="en-US" w:eastAsia="zh-CN"/>
        </w:rPr>
        <w:t>627.1</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w:t>
      </w:r>
      <w:r>
        <w:rPr>
          <w:rFonts w:hint="eastAsia" w:ascii="仿宋" w:hAnsi="仿宋" w:eastAsia="仿宋"/>
          <w:color w:val="000000"/>
          <w:sz w:val="32"/>
          <w:szCs w:val="32"/>
        </w:rPr>
        <w:t>与</w:t>
      </w:r>
      <w:r>
        <w:rPr>
          <w:rFonts w:ascii="仿宋" w:hAnsi="仿宋" w:eastAsia="仿宋"/>
          <w:color w:val="000000"/>
          <w:sz w:val="32"/>
          <w:szCs w:val="32"/>
        </w:rPr>
        <w:t>20</w:t>
      </w:r>
      <w:r>
        <w:rPr>
          <w:rFonts w:hint="eastAsia" w:ascii="仿宋" w:hAnsi="仿宋" w:eastAsia="仿宋"/>
          <w:color w:val="000000"/>
          <w:sz w:val="32"/>
          <w:szCs w:val="32"/>
        </w:rPr>
        <w:t>20年相比，</w:t>
      </w:r>
      <w:r>
        <w:rPr>
          <w:rFonts w:hint="eastAsia" w:ascii="仿宋" w:hAnsi="仿宋" w:eastAsia="仿宋"/>
          <w:color w:val="000000"/>
          <w:sz w:val="32"/>
          <w:szCs w:val="32"/>
          <w:lang w:val="en-US" w:eastAsia="zh-CN"/>
        </w:rPr>
        <w:t>支出</w:t>
      </w:r>
      <w:r>
        <w:rPr>
          <w:rFonts w:hint="eastAsia" w:ascii="仿宋" w:hAnsi="仿宋" w:eastAsia="仿宋"/>
          <w:color w:val="000000"/>
          <w:sz w:val="32"/>
          <w:szCs w:val="32"/>
        </w:rPr>
        <w:t>总计</w:t>
      </w:r>
      <w:r>
        <w:rPr>
          <w:rFonts w:hint="eastAsia" w:ascii="仿宋" w:hAnsi="仿宋" w:eastAsia="仿宋"/>
          <w:color w:val="000000"/>
          <w:sz w:val="32"/>
          <w:szCs w:val="32"/>
          <w:lang w:val="en-US" w:eastAsia="zh-CN"/>
        </w:rPr>
        <w:t>增加109.48</w:t>
      </w:r>
      <w:r>
        <w:rPr>
          <w:rFonts w:hint="eastAsia" w:ascii="仿宋" w:hAnsi="仿宋" w:eastAsia="仿宋"/>
          <w:color w:val="000000"/>
          <w:sz w:val="32"/>
          <w:szCs w:val="32"/>
        </w:rPr>
        <w:t>万元，</w:t>
      </w:r>
      <w:r>
        <w:rPr>
          <w:rFonts w:hint="eastAsia" w:ascii="仿宋" w:hAnsi="仿宋" w:eastAsia="仿宋"/>
          <w:color w:val="000000"/>
          <w:sz w:val="32"/>
          <w:szCs w:val="32"/>
          <w:lang w:val="en-US" w:eastAsia="zh-CN"/>
        </w:rPr>
        <w:t>增加21.15</w:t>
      </w:r>
      <w:r>
        <w:rPr>
          <w:rFonts w:ascii="仿宋" w:hAnsi="仿宋" w:eastAsia="仿宋"/>
          <w:color w:val="000000"/>
          <w:sz w:val="32"/>
          <w:szCs w:val="32"/>
        </w:rPr>
        <w:t>%</w:t>
      </w:r>
      <w:r>
        <w:rPr>
          <w:rFonts w:hint="eastAsia" w:ascii="仿宋" w:hAnsi="仿宋" w:eastAsia="仿宋"/>
          <w:color w:val="000000"/>
          <w:sz w:val="32"/>
          <w:szCs w:val="32"/>
          <w:lang w:eastAsia="zh-CN"/>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val="en-US" w:eastAsia="zh-CN"/>
        </w:rPr>
        <w:t>2021年医保基金支出增加</w:t>
      </w:r>
      <w:r>
        <w:rPr>
          <w:rFonts w:hint="eastAsia" w:ascii="仿宋" w:hAnsi="仿宋" w:eastAsia="仿宋"/>
          <w:color w:val="000000"/>
          <w:sz w:val="32"/>
          <w:szCs w:val="32"/>
          <w:lang w:eastAsia="zh-CN"/>
        </w:rPr>
        <w:t>。</w:t>
      </w:r>
    </w:p>
    <w:p>
      <w:pPr>
        <w:pageBreakBefore w:val="0"/>
        <w:widowControl w:val="0"/>
        <w:kinsoku/>
        <w:wordWrap/>
        <w:overflowPunct/>
        <w:topLinePunct w:val="0"/>
        <w:bidi w:val="0"/>
        <w:spacing w:line="560" w:lineRule="exact"/>
        <w:ind w:firstLine="640" w:firstLineChars="200"/>
        <w:textAlignment w:val="auto"/>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4</w:t>
      </w:r>
      <w:r>
        <w:rPr>
          <w:rFonts w:hint="eastAsia" w:ascii="仿宋" w:hAnsi="仿宋" w:eastAsia="仿宋"/>
          <w:color w:val="000000"/>
          <w:sz w:val="32"/>
          <w:szCs w:val="32"/>
        </w:rPr>
        <w:t>：财政拨款收、支决算总计变动情况）（柱状图）</w:t>
      </w:r>
    </w:p>
    <w:p>
      <w:pPr>
        <w:pageBreakBefore w:val="0"/>
        <w:widowControl w:val="0"/>
        <w:kinsoku/>
        <w:wordWrap/>
        <w:overflowPunct/>
        <w:topLinePunct w:val="0"/>
        <w:bidi w:val="0"/>
        <w:spacing w:line="560" w:lineRule="exact"/>
        <w:textAlignment w:val="auto"/>
        <w:rPr>
          <w:rFonts w:ascii="仿宋" w:hAnsi="仿宋" w:eastAsia="仿宋"/>
          <w:b/>
          <w:color w:val="00B050"/>
          <w:sz w:val="32"/>
          <w:szCs w:val="32"/>
        </w:rPr>
      </w:pPr>
      <w:r>
        <w:rPr>
          <w:rFonts w:hint="eastAsia" w:ascii="黑体" w:hAnsi="黑体" w:eastAsia="黑体"/>
          <w:color w:val="000000"/>
          <w:sz w:val="32"/>
          <w:szCs w:val="32"/>
          <w:lang w:eastAsia="zh-CN"/>
        </w:rPr>
        <w:drawing>
          <wp:anchor distT="0" distB="0" distL="114300" distR="114300" simplePos="0" relativeHeight="251661312" behindDoc="1" locked="0" layoutInCell="1" allowOverlap="1">
            <wp:simplePos x="0" y="0"/>
            <wp:positionH relativeFrom="column">
              <wp:posOffset>255270</wp:posOffset>
            </wp:positionH>
            <wp:positionV relativeFrom="paragraph">
              <wp:posOffset>217805</wp:posOffset>
            </wp:positionV>
            <wp:extent cx="4827270" cy="3101975"/>
            <wp:effectExtent l="4445" t="4445" r="6985" b="17780"/>
            <wp:wrapTight wrapText="bothSides">
              <wp:wrapPolygon>
                <wp:start x="-20" y="-31"/>
                <wp:lineTo x="-20" y="21459"/>
                <wp:lineTo x="21546" y="21459"/>
                <wp:lineTo x="21546" y="-31"/>
                <wp:lineTo x="-20" y="-31"/>
              </wp:wrapPolygon>
            </wp:wrapTight>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ageBreakBefore w:val="0"/>
        <w:widowControl w:val="0"/>
        <w:kinsoku/>
        <w:wordWrap/>
        <w:overflowPunct/>
        <w:topLinePunct w:val="0"/>
        <w:bidi w:val="0"/>
        <w:spacing w:line="560" w:lineRule="exact"/>
        <w:ind w:firstLine="640" w:firstLineChars="200"/>
        <w:textAlignment w:val="auto"/>
        <w:outlineLvl w:val="1"/>
        <w:rPr>
          <w:rStyle w:val="29"/>
          <w:rFonts w:ascii="黑体" w:hAnsi="黑体" w:eastAsia="黑体"/>
          <w:b w:val="0"/>
        </w:rPr>
      </w:pPr>
      <w:bookmarkStart w:id="70" w:name="_Toc15396607"/>
      <w:bookmarkStart w:id="71" w:name="_Toc79163864"/>
      <w:bookmarkStart w:id="72" w:name="_Toc15377209"/>
      <w:bookmarkStart w:id="73" w:name="_Toc79163614"/>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29"/>
          <w:rFonts w:hint="eastAsia" w:ascii="黑体" w:hAnsi="黑体" w:eastAsia="黑体"/>
          <w:b w:val="0"/>
        </w:rPr>
        <w:t>般公共预算财政拨款支出决算情况说明</w:t>
      </w:r>
      <w:bookmarkEnd w:id="70"/>
      <w:bookmarkEnd w:id="71"/>
      <w:bookmarkEnd w:id="72"/>
      <w:bookmarkEnd w:id="73"/>
    </w:p>
    <w:p>
      <w:pPr>
        <w:pageBreakBefore w:val="0"/>
        <w:widowControl w:val="0"/>
        <w:kinsoku/>
        <w:wordWrap/>
        <w:overflowPunct/>
        <w:topLinePunct w:val="0"/>
        <w:bidi w:val="0"/>
        <w:spacing w:line="560" w:lineRule="exact"/>
        <w:ind w:firstLine="643" w:firstLineChars="200"/>
        <w:textAlignment w:val="auto"/>
        <w:outlineLvl w:val="2"/>
        <w:rPr>
          <w:rFonts w:ascii="仿宋" w:hAnsi="仿宋" w:eastAsia="仿宋"/>
          <w:b/>
          <w:color w:val="000000"/>
          <w:sz w:val="32"/>
          <w:szCs w:val="32"/>
        </w:rPr>
      </w:pPr>
      <w:bookmarkStart w:id="74" w:name="_Toc79163865"/>
      <w:bookmarkStart w:id="75" w:name="_Toc79163615"/>
      <w:bookmarkStart w:id="76" w:name="_Toc15377210"/>
      <w:r>
        <w:rPr>
          <w:rFonts w:hint="eastAsia" w:ascii="仿宋" w:hAnsi="仿宋" w:eastAsia="仿宋"/>
          <w:b/>
          <w:color w:val="000000"/>
          <w:sz w:val="32"/>
          <w:szCs w:val="32"/>
        </w:rPr>
        <w:t>（一）一般公共预算财政拨款支出决算总体情况</w:t>
      </w:r>
      <w:bookmarkEnd w:id="74"/>
      <w:bookmarkEnd w:id="75"/>
      <w:bookmarkEnd w:id="76"/>
    </w:p>
    <w:p>
      <w:pPr>
        <w:pageBreakBefore w:val="0"/>
        <w:widowControl w:val="0"/>
        <w:kinsoku/>
        <w:wordWrap/>
        <w:overflowPunct/>
        <w:topLinePunct w:val="0"/>
        <w:bidi w:val="0"/>
        <w:spacing w:line="560" w:lineRule="exact"/>
        <w:ind w:firstLine="640" w:firstLineChars="200"/>
        <w:textAlignment w:val="auto"/>
        <w:rPr>
          <w:rFonts w:hint="eastAsia" w:ascii="仿宋" w:hAnsi="仿宋" w:eastAsia="仿宋"/>
          <w:color w:val="000000"/>
          <w:sz w:val="32"/>
          <w:szCs w:val="32"/>
          <w:lang w:eastAsia="zh-CN"/>
        </w:rPr>
      </w:pPr>
      <w:r>
        <w:rPr>
          <w:rFonts w:ascii="仿宋" w:hAnsi="仿宋" w:eastAsia="仿宋"/>
          <w:color w:val="000000"/>
          <w:sz w:val="32"/>
          <w:szCs w:val="32"/>
        </w:rPr>
        <w:t>202</w:t>
      </w:r>
      <w:r>
        <w:rPr>
          <w:rFonts w:hint="eastAsia" w:ascii="仿宋" w:hAnsi="仿宋" w:eastAsia="仿宋"/>
          <w:color w:val="000000"/>
          <w:sz w:val="32"/>
          <w:szCs w:val="32"/>
        </w:rPr>
        <w:t>1年一般公共预算财政拨款支出</w:t>
      </w:r>
      <w:r>
        <w:rPr>
          <w:rFonts w:hint="eastAsia" w:ascii="仿宋" w:hAnsi="仿宋" w:eastAsia="仿宋"/>
          <w:color w:val="000000"/>
          <w:sz w:val="32"/>
          <w:szCs w:val="32"/>
          <w:lang w:val="en-US" w:eastAsia="zh-CN"/>
        </w:rPr>
        <w:t>586.48</w:t>
      </w:r>
      <w:r>
        <w:rPr>
          <w:rFonts w:hint="eastAsia" w:ascii="仿宋" w:hAnsi="仿宋" w:eastAsia="仿宋"/>
          <w:color w:val="000000"/>
          <w:sz w:val="32"/>
          <w:szCs w:val="32"/>
        </w:rPr>
        <w:t>万元，占本年支出合计的</w:t>
      </w:r>
      <w:r>
        <w:rPr>
          <w:rFonts w:hint="eastAsia" w:ascii="仿宋" w:hAnsi="仿宋" w:eastAsia="仿宋"/>
          <w:color w:val="000000"/>
          <w:sz w:val="32"/>
          <w:szCs w:val="32"/>
          <w:lang w:val="en-US" w:eastAsia="zh-CN"/>
        </w:rPr>
        <w:t>93.5</w:t>
      </w:r>
      <w:r>
        <w:rPr>
          <w:rFonts w:ascii="仿宋" w:hAnsi="仿宋" w:eastAsia="仿宋"/>
          <w:color w:val="000000"/>
          <w:sz w:val="32"/>
          <w:szCs w:val="32"/>
        </w:rPr>
        <w:t>%</w:t>
      </w:r>
      <w:r>
        <w:rPr>
          <w:rFonts w:hint="eastAsia" w:ascii="仿宋" w:hAnsi="仿宋" w:eastAsia="仿宋"/>
          <w:color w:val="000000"/>
          <w:sz w:val="32"/>
          <w:szCs w:val="32"/>
        </w:rPr>
        <w:t>。与</w:t>
      </w:r>
      <w:r>
        <w:rPr>
          <w:rFonts w:ascii="仿宋" w:hAnsi="仿宋" w:eastAsia="仿宋"/>
          <w:color w:val="000000"/>
          <w:sz w:val="32"/>
          <w:szCs w:val="32"/>
        </w:rPr>
        <w:t>20</w:t>
      </w:r>
      <w:r>
        <w:rPr>
          <w:rFonts w:hint="eastAsia" w:ascii="仿宋" w:hAnsi="仿宋" w:eastAsia="仿宋"/>
          <w:color w:val="000000"/>
          <w:sz w:val="32"/>
          <w:szCs w:val="32"/>
        </w:rPr>
        <w:t>20年相比，一般公共预算财政拨款增加</w:t>
      </w:r>
      <w:r>
        <w:rPr>
          <w:rFonts w:hint="eastAsia" w:ascii="仿宋" w:hAnsi="仿宋" w:eastAsia="仿宋"/>
          <w:color w:val="000000"/>
          <w:sz w:val="32"/>
          <w:szCs w:val="32"/>
          <w:lang w:val="en-US" w:eastAsia="zh-CN"/>
        </w:rPr>
        <w:t>68.74</w:t>
      </w:r>
      <w:r>
        <w:rPr>
          <w:rFonts w:hint="eastAsia" w:ascii="仿宋" w:hAnsi="仿宋" w:eastAsia="仿宋"/>
          <w:color w:val="000000"/>
          <w:sz w:val="32"/>
          <w:szCs w:val="32"/>
        </w:rPr>
        <w:t>万元，增长</w:t>
      </w:r>
      <w:r>
        <w:rPr>
          <w:rFonts w:hint="eastAsia" w:ascii="仿宋" w:hAnsi="仿宋" w:eastAsia="仿宋"/>
          <w:color w:val="000000"/>
          <w:sz w:val="32"/>
          <w:szCs w:val="32"/>
          <w:lang w:val="en-US" w:eastAsia="zh-CN"/>
        </w:rPr>
        <w:t>13.34</w:t>
      </w:r>
      <w:r>
        <w:rPr>
          <w:rFonts w:ascii="仿宋" w:hAnsi="仿宋" w:eastAsia="仿宋"/>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val="en-US" w:eastAsia="zh-CN"/>
        </w:rPr>
        <w:t>2021年医保基金支出增加</w:t>
      </w:r>
      <w:r>
        <w:rPr>
          <w:rFonts w:hint="eastAsia" w:ascii="仿宋" w:hAnsi="仿宋" w:eastAsia="仿宋"/>
          <w:color w:val="000000"/>
          <w:sz w:val="32"/>
          <w:szCs w:val="32"/>
          <w:lang w:eastAsia="zh-CN"/>
        </w:rPr>
        <w:t>。</w:t>
      </w:r>
    </w:p>
    <w:p>
      <w:pPr>
        <w:pageBreakBefore w:val="0"/>
        <w:widowControl w:val="0"/>
        <w:kinsoku/>
        <w:wordWrap/>
        <w:overflowPunct/>
        <w:topLinePunct w:val="0"/>
        <w:bidi w:val="0"/>
        <w:spacing w:line="560" w:lineRule="exact"/>
        <w:ind w:firstLine="640" w:firstLineChars="200"/>
        <w:textAlignment w:val="auto"/>
        <w:rPr>
          <w:rFonts w:ascii="仿宋" w:hAnsi="仿宋" w:eastAsia="仿宋"/>
          <w:color w:val="000000"/>
          <w:sz w:val="32"/>
          <w:szCs w:val="32"/>
        </w:rPr>
      </w:pPr>
      <w:r>
        <w:rPr>
          <w:rFonts w:hint="eastAsia" w:ascii="仿宋" w:hAnsi="仿宋" w:eastAsia="仿宋"/>
          <w:color w:val="000000"/>
          <w:sz w:val="32"/>
          <w:szCs w:val="32"/>
        </w:rPr>
        <w:t>（图</w:t>
      </w:r>
      <w:r>
        <w:rPr>
          <w:rFonts w:ascii="仿宋" w:hAnsi="仿宋" w:eastAsia="仿宋"/>
          <w:color w:val="000000"/>
          <w:sz w:val="32"/>
          <w:szCs w:val="32"/>
        </w:rPr>
        <w:t>5</w:t>
      </w:r>
      <w:r>
        <w:rPr>
          <w:rFonts w:hint="eastAsia" w:ascii="仿宋" w:hAnsi="仿宋" w:eastAsia="仿宋"/>
          <w:color w:val="000000"/>
          <w:sz w:val="32"/>
          <w:szCs w:val="32"/>
        </w:rPr>
        <w:t>：一般公共预算财政拨款支出决算变动情况）（柱状图）</w:t>
      </w:r>
    </w:p>
    <w:p>
      <w:pPr>
        <w:pageBreakBefore w:val="0"/>
        <w:widowControl w:val="0"/>
        <w:kinsoku/>
        <w:wordWrap/>
        <w:overflowPunct/>
        <w:topLinePunct w:val="0"/>
        <w:bidi w:val="0"/>
        <w:spacing w:line="560" w:lineRule="exact"/>
        <w:ind w:firstLine="640" w:firstLineChars="200"/>
        <w:textAlignment w:val="auto"/>
        <w:rPr>
          <w:rFonts w:ascii="仿宋" w:hAnsi="仿宋" w:eastAsia="仿宋"/>
          <w:color w:val="000000"/>
          <w:sz w:val="32"/>
          <w:szCs w:val="32"/>
        </w:rPr>
      </w:pPr>
      <w:r>
        <w:rPr>
          <w:rFonts w:hint="eastAsia" w:ascii="仿宋" w:hAnsi="仿宋" w:eastAsia="仿宋"/>
          <w:color w:val="000000" w:themeColor="text1"/>
          <w:sz w:val="32"/>
          <w:szCs w:val="32"/>
          <w:lang w:eastAsia="zh-CN"/>
          <w14:textFill>
            <w14:solidFill>
              <w14:schemeClr w14:val="tx1"/>
            </w14:solidFill>
          </w14:textFill>
        </w:rPr>
        <w:drawing>
          <wp:anchor distT="0" distB="0" distL="114300" distR="114300" simplePos="0" relativeHeight="251662336" behindDoc="1" locked="0" layoutInCell="1" allowOverlap="1">
            <wp:simplePos x="0" y="0"/>
            <wp:positionH relativeFrom="column">
              <wp:posOffset>567055</wp:posOffset>
            </wp:positionH>
            <wp:positionV relativeFrom="paragraph">
              <wp:posOffset>-754380</wp:posOffset>
            </wp:positionV>
            <wp:extent cx="4081145" cy="2440305"/>
            <wp:effectExtent l="4445" t="4445" r="10160" b="12700"/>
            <wp:wrapTight wrapText="bothSides">
              <wp:wrapPolygon>
                <wp:start x="-24" y="-39"/>
                <wp:lineTo x="-24" y="21544"/>
                <wp:lineTo x="21553" y="21544"/>
                <wp:lineTo x="21553" y="-39"/>
                <wp:lineTo x="-24" y="-39"/>
              </wp:wrapPolygon>
            </wp:wrapTight>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ageBreakBefore w:val="0"/>
        <w:widowControl w:val="0"/>
        <w:kinsoku/>
        <w:wordWrap/>
        <w:overflowPunct/>
        <w:topLinePunct w:val="0"/>
        <w:bidi w:val="0"/>
        <w:spacing w:line="560" w:lineRule="exact"/>
        <w:ind w:firstLine="643" w:firstLineChars="200"/>
        <w:textAlignment w:val="auto"/>
        <w:outlineLvl w:val="2"/>
        <w:rPr>
          <w:rFonts w:ascii="仿宋" w:hAnsi="仿宋" w:eastAsia="仿宋"/>
          <w:b/>
          <w:color w:val="000000"/>
          <w:sz w:val="32"/>
          <w:szCs w:val="32"/>
        </w:rPr>
      </w:pPr>
      <w:bookmarkStart w:id="77" w:name="_Toc15377211"/>
      <w:bookmarkStart w:id="78" w:name="_Toc79163866"/>
      <w:bookmarkStart w:id="79" w:name="_Toc79163616"/>
      <w:r>
        <w:rPr>
          <w:rFonts w:hint="eastAsia" w:ascii="仿宋" w:hAnsi="仿宋" w:eastAsia="仿宋"/>
          <w:b/>
          <w:color w:val="000000"/>
          <w:sz w:val="32"/>
          <w:szCs w:val="32"/>
        </w:rPr>
        <w:t>（二）一般公共预算财政拨款支出决算结构情况</w:t>
      </w:r>
      <w:bookmarkEnd w:id="77"/>
      <w:bookmarkEnd w:id="78"/>
      <w:bookmarkEnd w:id="79"/>
    </w:p>
    <w:p>
      <w:pPr>
        <w:pageBreakBefore w:val="0"/>
        <w:widowControl w:val="0"/>
        <w:kinsoku/>
        <w:wordWrap/>
        <w:overflowPunct/>
        <w:topLinePunct w:val="0"/>
        <w:bidi w:val="0"/>
        <w:spacing w:line="560" w:lineRule="exact"/>
        <w:ind w:firstLine="640"/>
        <w:textAlignment w:val="auto"/>
        <w:rPr>
          <w:rFonts w:ascii="仿宋" w:hAnsi="仿宋" w:eastAsia="仿宋"/>
          <w:color w:val="000000"/>
          <w:sz w:val="32"/>
          <w:szCs w:val="32"/>
        </w:rPr>
      </w:pPr>
      <w:r>
        <w:rPr>
          <w:rFonts w:hint="eastAsia" w:ascii="仿宋_GB2312" w:hAnsi="仿宋" w:eastAsia="仿宋_GB2312"/>
          <w:color w:val="000000"/>
          <w:sz w:val="32"/>
          <w:szCs w:val="32"/>
        </w:rPr>
        <w:t>202</w:t>
      </w:r>
      <w:r>
        <w:rPr>
          <w:rFonts w:hint="eastAsia" w:ascii="仿宋_GB2312" w:hAnsi="仿宋" w:eastAsia="仿宋_GB2312"/>
          <w:color w:val="000000"/>
          <w:sz w:val="32"/>
          <w:szCs w:val="32"/>
          <w:lang w:val="en-US" w:eastAsia="zh-CN"/>
        </w:rPr>
        <w:t>1</w:t>
      </w:r>
      <w:r>
        <w:rPr>
          <w:rFonts w:hint="eastAsia" w:ascii="仿宋_GB2312" w:hAnsi="仿宋" w:eastAsia="仿宋_GB2312"/>
          <w:color w:val="000000"/>
          <w:sz w:val="32"/>
          <w:szCs w:val="32"/>
        </w:rPr>
        <w:t>年一般公共预算财政拨款支出</w:t>
      </w:r>
      <w:r>
        <w:rPr>
          <w:rFonts w:hint="eastAsia" w:ascii="仿宋" w:hAnsi="仿宋" w:eastAsia="仿宋"/>
          <w:color w:val="000000"/>
          <w:sz w:val="32"/>
          <w:szCs w:val="32"/>
          <w:lang w:val="en-US" w:eastAsia="zh-CN"/>
        </w:rPr>
        <w:t>586.48</w:t>
      </w:r>
      <w:r>
        <w:rPr>
          <w:rFonts w:hint="eastAsia" w:ascii="仿宋_GB2312" w:hAnsi="仿宋" w:eastAsia="仿宋_GB2312"/>
          <w:color w:val="000000"/>
          <w:sz w:val="32"/>
          <w:szCs w:val="32"/>
        </w:rPr>
        <w:t>万元，主要用于以下方面:</w:t>
      </w:r>
      <w:r>
        <w:rPr>
          <w:rFonts w:hint="eastAsia" w:ascii="仿宋_GB2312" w:hAnsi="仿宋" w:eastAsia="仿宋_GB2312"/>
          <w:b/>
          <w:color w:val="000000"/>
          <w:sz w:val="32"/>
          <w:szCs w:val="32"/>
        </w:rPr>
        <w:t>社会保障和就业（类）</w:t>
      </w:r>
      <w:r>
        <w:rPr>
          <w:rFonts w:hint="eastAsia" w:ascii="仿宋_GB2312" w:hAnsi="仿宋" w:eastAsia="仿宋_GB2312"/>
          <w:color w:val="000000"/>
          <w:sz w:val="32"/>
          <w:szCs w:val="32"/>
        </w:rPr>
        <w:t>支出</w:t>
      </w:r>
      <w:r>
        <w:rPr>
          <w:rFonts w:hint="eastAsia" w:ascii="仿宋_GB2312" w:hAnsi="仿宋" w:eastAsia="仿宋_GB2312"/>
          <w:color w:val="000000"/>
          <w:sz w:val="32"/>
          <w:szCs w:val="32"/>
          <w:lang w:val="en-US" w:eastAsia="zh-CN"/>
        </w:rPr>
        <w:t>361.24</w:t>
      </w:r>
      <w:r>
        <w:rPr>
          <w:rFonts w:hint="eastAsia" w:ascii="仿宋_GB2312" w:hAnsi="仿宋" w:eastAsia="仿宋_GB2312"/>
          <w:color w:val="000000"/>
          <w:sz w:val="32"/>
          <w:szCs w:val="32"/>
        </w:rPr>
        <w:t>万元，占</w:t>
      </w:r>
      <w:r>
        <w:rPr>
          <w:rFonts w:hint="eastAsia" w:ascii="仿宋_GB2312" w:hAnsi="仿宋" w:eastAsia="仿宋_GB2312"/>
          <w:color w:val="000000"/>
          <w:sz w:val="32"/>
          <w:szCs w:val="32"/>
          <w:lang w:val="en-US" w:eastAsia="zh-CN"/>
        </w:rPr>
        <w:t>61.6</w:t>
      </w:r>
      <w:r>
        <w:rPr>
          <w:rFonts w:hint="eastAsia" w:ascii="仿宋_GB2312" w:hAnsi="仿宋" w:eastAsia="仿宋_GB2312"/>
          <w:color w:val="000000"/>
          <w:sz w:val="32"/>
          <w:szCs w:val="32"/>
        </w:rPr>
        <w:t>%；</w:t>
      </w:r>
      <w:r>
        <w:rPr>
          <w:rFonts w:hint="eastAsia" w:ascii="仿宋_GB2312" w:hAnsi="仿宋" w:eastAsia="仿宋_GB2312" w:cs="Times New Roman"/>
          <w:b/>
          <w:color w:val="000000"/>
          <w:sz w:val="32"/>
          <w:szCs w:val="32"/>
          <w:lang w:val="en-US" w:eastAsia="zh-CN"/>
        </w:rPr>
        <w:t>卫生健康（类）</w:t>
      </w:r>
      <w:r>
        <w:rPr>
          <w:rFonts w:hint="eastAsia" w:ascii="仿宋_GB2312" w:hAnsi="仿宋" w:eastAsia="仿宋_GB2312"/>
          <w:color w:val="000000"/>
          <w:sz w:val="32"/>
          <w:szCs w:val="32"/>
        </w:rPr>
        <w:t>支出</w:t>
      </w:r>
      <w:r>
        <w:rPr>
          <w:rFonts w:hint="eastAsia" w:ascii="仿宋_GB2312" w:hAnsi="仿宋" w:eastAsia="仿宋_GB2312"/>
          <w:color w:val="000000"/>
          <w:sz w:val="32"/>
          <w:szCs w:val="32"/>
          <w:lang w:val="en-US" w:eastAsia="zh-CN"/>
        </w:rPr>
        <w:t>194.46</w:t>
      </w:r>
      <w:r>
        <w:rPr>
          <w:rFonts w:hint="eastAsia" w:ascii="仿宋_GB2312" w:hAnsi="仿宋" w:eastAsia="仿宋_GB2312"/>
          <w:color w:val="000000"/>
          <w:sz w:val="32"/>
          <w:szCs w:val="32"/>
        </w:rPr>
        <w:t>万元，占</w:t>
      </w:r>
      <w:r>
        <w:rPr>
          <w:rFonts w:hint="eastAsia" w:ascii="仿宋_GB2312" w:hAnsi="仿宋" w:eastAsia="仿宋_GB2312"/>
          <w:color w:val="000000"/>
          <w:sz w:val="32"/>
          <w:szCs w:val="32"/>
          <w:lang w:val="en-US" w:eastAsia="zh-CN"/>
        </w:rPr>
        <w:t>33.2</w:t>
      </w:r>
      <w:r>
        <w:rPr>
          <w:rFonts w:hint="eastAsia" w:ascii="仿宋_GB2312" w:hAnsi="仿宋" w:eastAsia="仿宋_GB2312"/>
          <w:color w:val="000000"/>
          <w:sz w:val="32"/>
          <w:szCs w:val="32"/>
        </w:rPr>
        <w:t>%；</w:t>
      </w:r>
      <w:r>
        <w:rPr>
          <w:rFonts w:hint="eastAsia" w:ascii="仿宋_GB2312" w:hAnsi="仿宋" w:eastAsia="仿宋_GB2312" w:cs="Times New Roman"/>
          <w:b/>
          <w:color w:val="000000"/>
          <w:sz w:val="32"/>
          <w:szCs w:val="32"/>
        </w:rPr>
        <w:t>住房保障支出</w:t>
      </w:r>
      <w:r>
        <w:rPr>
          <w:rFonts w:hint="eastAsia" w:ascii="仿宋_GB2312" w:hAnsi="仿宋" w:eastAsia="仿宋_GB2312" w:cs="Times New Roman"/>
          <w:b/>
          <w:color w:val="000000"/>
          <w:sz w:val="32"/>
          <w:szCs w:val="32"/>
          <w:lang w:eastAsia="zh-CN"/>
        </w:rPr>
        <w:t>（</w:t>
      </w:r>
      <w:r>
        <w:rPr>
          <w:rFonts w:hint="eastAsia" w:ascii="仿宋_GB2312" w:hAnsi="仿宋" w:eastAsia="仿宋_GB2312" w:cs="Times New Roman"/>
          <w:b/>
          <w:color w:val="000000"/>
          <w:sz w:val="32"/>
          <w:szCs w:val="32"/>
          <w:lang w:val="en-US" w:eastAsia="zh-CN"/>
        </w:rPr>
        <w:t>类）</w:t>
      </w:r>
      <w:r>
        <w:rPr>
          <w:rFonts w:hint="eastAsia" w:ascii="仿宋_GB2312" w:hAnsi="仿宋" w:eastAsia="仿宋_GB2312"/>
          <w:color w:val="000000"/>
          <w:sz w:val="32"/>
          <w:szCs w:val="32"/>
          <w:lang w:val="en-US" w:eastAsia="zh-CN"/>
        </w:rPr>
        <w:t>30.78</w:t>
      </w:r>
      <w:r>
        <w:rPr>
          <w:rFonts w:hint="eastAsia" w:ascii="仿宋_GB2312" w:hAnsi="仿宋" w:eastAsia="仿宋_GB2312"/>
          <w:color w:val="000000"/>
          <w:sz w:val="32"/>
          <w:szCs w:val="32"/>
        </w:rPr>
        <w:t>万元，占</w:t>
      </w:r>
      <w:r>
        <w:rPr>
          <w:rFonts w:hint="eastAsia" w:ascii="仿宋_GB2312" w:hAnsi="仿宋" w:eastAsia="仿宋_GB2312"/>
          <w:color w:val="000000"/>
          <w:sz w:val="32"/>
          <w:szCs w:val="32"/>
          <w:lang w:val="en-US" w:eastAsia="zh-CN"/>
        </w:rPr>
        <w:t>5.2</w:t>
      </w:r>
      <w:r>
        <w:rPr>
          <w:rFonts w:hint="eastAsia" w:ascii="仿宋_GB2312" w:hAnsi="仿宋" w:eastAsia="仿宋_GB2312"/>
          <w:color w:val="000000"/>
          <w:sz w:val="32"/>
          <w:szCs w:val="32"/>
        </w:rPr>
        <w:t>%。</w:t>
      </w:r>
    </w:p>
    <w:p>
      <w:pPr>
        <w:pageBreakBefore w:val="0"/>
        <w:widowControl w:val="0"/>
        <w:kinsoku/>
        <w:wordWrap/>
        <w:overflowPunct/>
        <w:topLinePunct w:val="0"/>
        <w:bidi w:val="0"/>
        <w:spacing w:line="560" w:lineRule="exact"/>
        <w:textAlignment w:val="auto"/>
        <w:rPr>
          <w:rFonts w:ascii="仿宋" w:hAnsi="仿宋" w:eastAsia="仿宋"/>
          <w:color w:val="000000"/>
          <w:sz w:val="32"/>
          <w:szCs w:val="32"/>
        </w:rPr>
      </w:pPr>
      <w:r>
        <w:rPr>
          <w:rFonts w:hint="eastAsia" w:ascii="仿宋" w:hAnsi="仿宋" w:eastAsia="仿宋"/>
          <w:color w:val="000000"/>
          <w:sz w:val="32"/>
          <w:szCs w:val="32"/>
          <w:lang w:eastAsia="zh-CN"/>
        </w:rPr>
        <w:drawing>
          <wp:anchor distT="0" distB="0" distL="114300" distR="114300" simplePos="0" relativeHeight="251663360" behindDoc="1" locked="0" layoutInCell="1" allowOverlap="1">
            <wp:simplePos x="0" y="0"/>
            <wp:positionH relativeFrom="column">
              <wp:posOffset>194310</wp:posOffset>
            </wp:positionH>
            <wp:positionV relativeFrom="paragraph">
              <wp:posOffset>447040</wp:posOffset>
            </wp:positionV>
            <wp:extent cx="4298315" cy="2750820"/>
            <wp:effectExtent l="4445" t="4445" r="21590" b="6985"/>
            <wp:wrapTight wrapText="bothSides">
              <wp:wrapPolygon>
                <wp:start x="-22" y="-35"/>
                <wp:lineTo x="-22" y="21505"/>
                <wp:lineTo x="21517" y="21505"/>
                <wp:lineTo x="21517" y="-35"/>
                <wp:lineTo x="-22" y="-35"/>
              </wp:wrapPolygon>
            </wp:wrapTight>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color w:val="000000"/>
          <w:sz w:val="32"/>
          <w:szCs w:val="32"/>
        </w:rPr>
        <w:t>（图</w:t>
      </w:r>
      <w:r>
        <w:rPr>
          <w:rFonts w:ascii="仿宋" w:hAnsi="仿宋" w:eastAsia="仿宋"/>
          <w:color w:val="000000"/>
          <w:sz w:val="32"/>
          <w:szCs w:val="32"/>
        </w:rPr>
        <w:t>6</w:t>
      </w:r>
      <w:r>
        <w:rPr>
          <w:rFonts w:hint="eastAsia" w:ascii="仿宋" w:hAnsi="仿宋" w:eastAsia="仿宋"/>
          <w:color w:val="000000"/>
          <w:sz w:val="32"/>
          <w:szCs w:val="32"/>
        </w:rPr>
        <w:t>：一般公共预算财政拨款支出决算结构）（饼状图）</w:t>
      </w:r>
    </w:p>
    <w:p>
      <w:pPr>
        <w:pageBreakBefore w:val="0"/>
        <w:widowControl w:val="0"/>
        <w:kinsoku/>
        <w:wordWrap/>
        <w:overflowPunct/>
        <w:topLinePunct w:val="0"/>
        <w:bidi w:val="0"/>
        <w:spacing w:line="560" w:lineRule="exact"/>
        <w:ind w:firstLine="640" w:firstLineChars="200"/>
        <w:textAlignment w:val="auto"/>
        <w:rPr>
          <w:rFonts w:ascii="仿宋" w:hAnsi="仿宋" w:eastAsia="仿宋"/>
          <w:color w:val="000000"/>
          <w:sz w:val="32"/>
          <w:szCs w:val="32"/>
        </w:rPr>
      </w:pPr>
    </w:p>
    <w:p>
      <w:pPr>
        <w:pageBreakBefore w:val="0"/>
        <w:widowControl w:val="0"/>
        <w:kinsoku/>
        <w:wordWrap/>
        <w:overflowPunct/>
        <w:topLinePunct w:val="0"/>
        <w:bidi w:val="0"/>
        <w:spacing w:line="560" w:lineRule="exact"/>
        <w:ind w:firstLine="643" w:firstLineChars="200"/>
        <w:textAlignment w:val="auto"/>
        <w:outlineLvl w:val="2"/>
        <w:rPr>
          <w:rFonts w:ascii="仿宋" w:hAnsi="仿宋" w:eastAsia="仿宋"/>
          <w:b/>
          <w:color w:val="000000"/>
          <w:sz w:val="32"/>
          <w:szCs w:val="32"/>
        </w:rPr>
      </w:pPr>
      <w:bookmarkStart w:id="80" w:name="_Toc15377212"/>
      <w:bookmarkStart w:id="81" w:name="_Toc79163867"/>
      <w:bookmarkStart w:id="82" w:name="_Toc79163617"/>
      <w:r>
        <w:rPr>
          <w:rFonts w:hint="eastAsia" w:ascii="仿宋" w:hAnsi="仿宋" w:eastAsia="仿宋"/>
          <w:b/>
          <w:color w:val="000000"/>
          <w:sz w:val="32"/>
          <w:szCs w:val="32"/>
        </w:rPr>
        <w:t>（三）一般公共预算财政拨款支出决算具体情况</w:t>
      </w:r>
      <w:bookmarkEnd w:id="80"/>
      <w:bookmarkEnd w:id="81"/>
      <w:bookmarkEnd w:id="82"/>
    </w:p>
    <w:p>
      <w:pPr>
        <w:spacing w:line="600" w:lineRule="exact"/>
        <w:ind w:firstLine="643" w:firstLineChars="200"/>
        <w:outlineLvl w:val="2"/>
        <w:rPr>
          <w:rFonts w:ascii="仿宋" w:hAnsi="仿宋" w:eastAsia="仿宋"/>
          <w:color w:val="FF0000"/>
          <w:sz w:val="32"/>
          <w:szCs w:val="32"/>
        </w:rPr>
      </w:pPr>
      <w:bookmarkStart w:id="83" w:name="_Toc15377444"/>
      <w:bookmarkStart w:id="84" w:name="_Toc15377213"/>
      <w:bookmarkStart w:id="85" w:name="_Toc15378460"/>
      <w:r>
        <w:rPr>
          <w:rFonts w:ascii="仿宋_GB2312" w:eastAsia="仿宋_GB2312"/>
          <w:b/>
          <w:bCs/>
          <w:sz w:val="32"/>
          <w:szCs w:val="32"/>
        </w:rPr>
        <w:t>202</w:t>
      </w:r>
      <w:r>
        <w:rPr>
          <w:rFonts w:hint="eastAsia" w:ascii="仿宋_GB2312" w:eastAsia="仿宋_GB2312"/>
          <w:b/>
          <w:bCs/>
          <w:sz w:val="32"/>
          <w:szCs w:val="32"/>
        </w:rPr>
        <w:t>1年</w:t>
      </w:r>
      <w:bookmarkEnd w:id="83"/>
      <w:bookmarkEnd w:id="84"/>
      <w:bookmarkEnd w:id="85"/>
      <w:bookmarkStart w:id="86" w:name="_Toc8558"/>
      <w:bookmarkStart w:id="87" w:name="_Toc22410"/>
      <w:bookmarkStart w:id="88" w:name="_Toc22711"/>
      <w:bookmarkStart w:id="89" w:name="_Toc25265"/>
      <w:bookmarkStart w:id="90" w:name="_Toc164"/>
      <w:bookmarkStart w:id="91" w:name="_Toc1424"/>
      <w:bookmarkStart w:id="92" w:name="_Toc3316"/>
      <w:r>
        <w:rPr>
          <w:rFonts w:hint="eastAsia" w:ascii="仿宋" w:hAnsi="仿宋" w:eastAsia="仿宋"/>
          <w:b/>
          <w:color w:val="000000" w:themeColor="text1"/>
          <w:sz w:val="32"/>
          <w:szCs w:val="32"/>
          <w14:textFill>
            <w14:solidFill>
              <w14:schemeClr w14:val="tx1"/>
            </w14:solidFill>
          </w14:textFill>
        </w:rPr>
        <w:t>一般公共预算支出决算数为</w:t>
      </w:r>
      <w:r>
        <w:rPr>
          <w:rFonts w:hint="eastAsia" w:ascii="仿宋" w:hAnsi="仿宋" w:eastAsia="仿宋"/>
          <w:b/>
          <w:color w:val="000000" w:themeColor="text1"/>
          <w:sz w:val="32"/>
          <w:szCs w:val="32"/>
          <w:lang w:val="en-US" w:eastAsia="zh-CN"/>
          <w14:textFill>
            <w14:solidFill>
              <w14:schemeClr w14:val="tx1"/>
            </w14:solidFill>
          </w14:textFill>
        </w:rPr>
        <w:t>586.48</w:t>
      </w:r>
      <w:r>
        <w:rPr>
          <w:rFonts w:hint="eastAsia" w:ascii="仿宋" w:hAnsi="仿宋" w:eastAsia="仿宋"/>
          <w:b/>
          <w:color w:val="000000" w:themeColor="text1"/>
          <w:sz w:val="32"/>
          <w:szCs w:val="32"/>
          <w14:textFill>
            <w14:solidFill>
              <w14:schemeClr w14:val="tx1"/>
            </w14:solidFill>
          </w14:textFill>
        </w:rPr>
        <w:t>万元</w:t>
      </w:r>
      <w:r>
        <w:rPr>
          <w:rFonts w:hint="eastAsia" w:ascii="仿宋" w:hAnsi="仿宋" w:eastAsia="仿宋"/>
          <w:color w:val="000000" w:themeColor="text1"/>
          <w:sz w:val="32"/>
          <w:szCs w:val="32"/>
          <w14:textFill>
            <w14:solidFill>
              <w14:schemeClr w14:val="tx1"/>
            </w14:solidFill>
          </w14:textFill>
        </w:rPr>
        <w:t>，</w:t>
      </w:r>
      <w:r>
        <w:rPr>
          <w:rStyle w:val="25"/>
          <w:rFonts w:hint="eastAsia" w:ascii="仿宋" w:hAnsi="仿宋" w:eastAsia="仿宋"/>
          <w:bCs/>
          <w:color w:val="000000" w:themeColor="text1"/>
          <w:sz w:val="32"/>
          <w:szCs w:val="32"/>
          <w14:textFill>
            <w14:solidFill>
              <w14:schemeClr w14:val="tx1"/>
            </w14:solidFill>
          </w14:textFill>
        </w:rPr>
        <w:t>完成</w:t>
      </w:r>
      <w:r>
        <w:rPr>
          <w:rStyle w:val="25"/>
          <w:rFonts w:hint="eastAsia" w:ascii="仿宋" w:hAnsi="仿宋" w:eastAsia="仿宋"/>
          <w:bCs/>
          <w:color w:val="000000"/>
          <w:sz w:val="32"/>
          <w:szCs w:val="32"/>
        </w:rPr>
        <w:t>预算100</w:t>
      </w:r>
      <w:r>
        <w:rPr>
          <w:rStyle w:val="25"/>
          <w:rFonts w:ascii="仿宋" w:hAnsi="仿宋" w:eastAsia="仿宋"/>
          <w:bCs/>
          <w:color w:val="000000"/>
          <w:sz w:val="32"/>
          <w:szCs w:val="32"/>
        </w:rPr>
        <w:t>%</w:t>
      </w:r>
      <w:r>
        <w:rPr>
          <w:rStyle w:val="25"/>
          <w:rFonts w:hint="eastAsia" w:ascii="仿宋" w:hAnsi="仿宋" w:eastAsia="仿宋"/>
          <w:bCs/>
          <w:color w:val="000000"/>
          <w:sz w:val="32"/>
          <w:szCs w:val="32"/>
        </w:rPr>
        <w:t>。其中：</w:t>
      </w:r>
      <w:bookmarkEnd w:id="86"/>
      <w:bookmarkEnd w:id="87"/>
      <w:bookmarkEnd w:id="88"/>
      <w:bookmarkEnd w:id="89"/>
      <w:bookmarkEnd w:id="90"/>
      <w:bookmarkEnd w:id="91"/>
      <w:bookmarkEnd w:id="92"/>
    </w:p>
    <w:p>
      <w:pPr>
        <w:spacing w:line="600" w:lineRule="exact"/>
        <w:ind w:firstLine="643" w:firstLineChars="200"/>
        <w:rPr>
          <w:rFonts w:ascii="仿宋" w:hAnsi="仿宋" w:eastAsia="仿宋"/>
          <w:b/>
          <w:bCs/>
          <w:color w:val="000000"/>
          <w:sz w:val="32"/>
          <w:szCs w:val="32"/>
        </w:rPr>
      </w:pPr>
      <w:r>
        <w:rPr>
          <w:rStyle w:val="25"/>
          <w:rFonts w:ascii="仿宋" w:hAnsi="仿宋" w:eastAsia="仿宋"/>
          <w:bCs/>
          <w:color w:val="000000"/>
          <w:sz w:val="32"/>
          <w:szCs w:val="32"/>
        </w:rPr>
        <w:t>1.</w:t>
      </w:r>
      <w:r>
        <w:rPr>
          <w:rStyle w:val="25"/>
          <w:rFonts w:hint="eastAsia" w:ascii="仿宋" w:hAnsi="仿宋" w:eastAsia="仿宋"/>
          <w:bCs/>
          <w:color w:val="000000"/>
          <w:sz w:val="32"/>
          <w:szCs w:val="32"/>
        </w:rPr>
        <w:t>社会保障和就业2080101、2080109、2080505、2080506</w:t>
      </w:r>
      <w:r>
        <w:rPr>
          <w:rStyle w:val="25"/>
          <w:rFonts w:ascii="仿宋" w:hAnsi="仿宋" w:eastAsia="仿宋"/>
          <w:bCs/>
          <w:color w:val="000000"/>
          <w:sz w:val="32"/>
          <w:szCs w:val="32"/>
        </w:rPr>
        <w:t>:</w:t>
      </w:r>
      <w:r>
        <w:rPr>
          <w:rStyle w:val="25"/>
          <w:rFonts w:ascii="仿宋" w:hAnsi="仿宋" w:eastAsia="仿宋"/>
          <w:b w:val="0"/>
          <w:bCs/>
          <w:color w:val="000000"/>
          <w:sz w:val="32"/>
          <w:szCs w:val="32"/>
        </w:rPr>
        <w:t xml:space="preserve"> </w:t>
      </w:r>
      <w:r>
        <w:rPr>
          <w:rStyle w:val="25"/>
          <w:rFonts w:hint="eastAsia" w:ascii="仿宋" w:hAnsi="仿宋" w:eastAsia="仿宋"/>
          <w:b w:val="0"/>
          <w:bCs/>
          <w:color w:val="000000"/>
          <w:sz w:val="32"/>
          <w:szCs w:val="32"/>
        </w:rPr>
        <w:t>支出决算为</w:t>
      </w:r>
      <w:r>
        <w:rPr>
          <w:rFonts w:hint="eastAsia" w:ascii="仿宋_GB2312" w:hAnsi="仿宋" w:eastAsia="仿宋_GB2312"/>
          <w:color w:val="000000"/>
          <w:sz w:val="32"/>
          <w:szCs w:val="32"/>
          <w:lang w:val="en-US" w:eastAsia="zh-CN"/>
        </w:rPr>
        <w:t>361.24</w:t>
      </w:r>
      <w:r>
        <w:rPr>
          <w:rStyle w:val="25"/>
          <w:rFonts w:hint="eastAsia" w:ascii="仿宋" w:hAnsi="仿宋" w:eastAsia="仿宋"/>
          <w:b w:val="0"/>
          <w:bCs/>
          <w:color w:val="000000"/>
          <w:sz w:val="32"/>
          <w:szCs w:val="32"/>
        </w:rPr>
        <w:t>万元，完成预算100</w:t>
      </w:r>
      <w:r>
        <w:rPr>
          <w:rStyle w:val="25"/>
          <w:rFonts w:ascii="仿宋" w:hAnsi="仿宋" w:eastAsia="仿宋"/>
          <w:b w:val="0"/>
          <w:bCs/>
          <w:color w:val="000000"/>
          <w:sz w:val="32"/>
          <w:szCs w:val="32"/>
        </w:rPr>
        <w:t>%</w:t>
      </w:r>
      <w:r>
        <w:rPr>
          <w:rStyle w:val="25"/>
          <w:rFonts w:hint="eastAsia" w:ascii="仿宋" w:hAnsi="仿宋" w:eastAsia="仿宋"/>
          <w:b w:val="0"/>
          <w:bCs/>
          <w:color w:val="000000"/>
          <w:sz w:val="32"/>
          <w:szCs w:val="32"/>
        </w:rPr>
        <w:t>。</w:t>
      </w:r>
    </w:p>
    <w:p>
      <w:pPr>
        <w:spacing w:line="600" w:lineRule="exact"/>
        <w:ind w:firstLine="643" w:firstLineChars="200"/>
        <w:rPr>
          <w:rFonts w:ascii="仿宋" w:hAnsi="仿宋" w:eastAsia="仿宋"/>
          <w:b/>
          <w:color w:val="000000"/>
          <w:sz w:val="32"/>
          <w:szCs w:val="32"/>
        </w:rPr>
      </w:pPr>
      <w:r>
        <w:rPr>
          <w:rStyle w:val="25"/>
          <w:rFonts w:hint="eastAsia" w:ascii="仿宋" w:hAnsi="仿宋" w:eastAsia="仿宋"/>
          <w:bCs/>
          <w:color w:val="000000"/>
          <w:sz w:val="32"/>
          <w:szCs w:val="32"/>
        </w:rPr>
        <w:t>2</w:t>
      </w:r>
      <w:r>
        <w:rPr>
          <w:rStyle w:val="25"/>
          <w:rFonts w:ascii="仿宋" w:hAnsi="仿宋" w:eastAsia="仿宋"/>
          <w:bCs/>
          <w:color w:val="000000"/>
          <w:sz w:val="32"/>
          <w:szCs w:val="32"/>
        </w:rPr>
        <w:t>.</w:t>
      </w:r>
      <w:r>
        <w:rPr>
          <w:rFonts w:hint="eastAsia" w:ascii="仿宋" w:hAnsi="仿宋" w:eastAsia="仿宋"/>
          <w:b/>
          <w:bCs/>
          <w:color w:val="000000" w:themeColor="text1"/>
          <w:sz w:val="32"/>
          <w:szCs w:val="32"/>
          <w14:textFill>
            <w14:solidFill>
              <w14:schemeClr w14:val="tx1"/>
            </w14:solidFill>
          </w14:textFill>
        </w:rPr>
        <w:t>卫生健康</w:t>
      </w:r>
      <w:r>
        <w:rPr>
          <w:rStyle w:val="25"/>
          <w:rFonts w:hint="eastAsia" w:ascii="仿宋" w:hAnsi="仿宋" w:eastAsia="仿宋"/>
          <w:bCs/>
          <w:color w:val="000000"/>
          <w:sz w:val="32"/>
          <w:szCs w:val="32"/>
        </w:rPr>
        <w:t>2101101、2101102、2101301、2101504</w:t>
      </w:r>
      <w:r>
        <w:rPr>
          <w:rStyle w:val="25"/>
          <w:rFonts w:ascii="仿宋" w:hAnsi="仿宋" w:eastAsia="仿宋"/>
          <w:bCs/>
          <w:color w:val="000000"/>
          <w:sz w:val="32"/>
          <w:szCs w:val="32"/>
        </w:rPr>
        <w:t>:</w:t>
      </w:r>
      <w:r>
        <w:rPr>
          <w:rStyle w:val="25"/>
          <w:rFonts w:hint="eastAsia" w:ascii="仿宋" w:hAnsi="仿宋" w:eastAsia="仿宋"/>
          <w:b w:val="0"/>
          <w:bCs/>
          <w:color w:val="000000"/>
          <w:sz w:val="32"/>
          <w:szCs w:val="32"/>
        </w:rPr>
        <w:t>支出决算为</w:t>
      </w:r>
      <w:r>
        <w:rPr>
          <w:rFonts w:hint="eastAsia" w:ascii="仿宋_GB2312" w:hAnsi="仿宋" w:eastAsia="仿宋_GB2312"/>
          <w:color w:val="000000"/>
          <w:sz w:val="32"/>
          <w:szCs w:val="32"/>
          <w:lang w:val="en-US" w:eastAsia="zh-CN"/>
        </w:rPr>
        <w:t>194.46</w:t>
      </w:r>
      <w:r>
        <w:rPr>
          <w:rFonts w:hint="eastAsia" w:ascii="仿宋" w:hAnsi="仿宋" w:eastAsia="仿宋"/>
          <w:color w:val="000000" w:themeColor="text1"/>
          <w:sz w:val="32"/>
          <w:szCs w:val="32"/>
          <w14:textFill>
            <w14:solidFill>
              <w14:schemeClr w14:val="tx1"/>
            </w14:solidFill>
          </w14:textFill>
        </w:rPr>
        <w:t>万元</w:t>
      </w:r>
      <w:r>
        <w:rPr>
          <w:rStyle w:val="25"/>
          <w:rFonts w:hint="eastAsia" w:ascii="仿宋" w:hAnsi="仿宋" w:eastAsia="仿宋"/>
          <w:b w:val="0"/>
          <w:bCs/>
          <w:color w:val="000000"/>
          <w:sz w:val="32"/>
          <w:szCs w:val="32"/>
        </w:rPr>
        <w:t>，完成预算100</w:t>
      </w:r>
      <w:r>
        <w:rPr>
          <w:rStyle w:val="25"/>
          <w:rFonts w:ascii="仿宋" w:hAnsi="仿宋" w:eastAsia="仿宋"/>
          <w:b w:val="0"/>
          <w:bCs/>
          <w:color w:val="000000"/>
          <w:sz w:val="32"/>
          <w:szCs w:val="32"/>
        </w:rPr>
        <w:t>%</w:t>
      </w:r>
      <w:r>
        <w:rPr>
          <w:rStyle w:val="25"/>
          <w:rFonts w:hint="eastAsia" w:ascii="仿宋" w:hAnsi="仿宋" w:eastAsia="仿宋"/>
          <w:b w:val="0"/>
          <w:bCs/>
          <w:color w:val="000000"/>
          <w:sz w:val="32"/>
          <w:szCs w:val="32"/>
        </w:rPr>
        <w:t>。</w:t>
      </w:r>
    </w:p>
    <w:p>
      <w:pPr>
        <w:spacing w:line="600" w:lineRule="exact"/>
        <w:ind w:firstLine="640" w:firstLineChars="200"/>
        <w:rPr>
          <w:rFonts w:ascii="仿宋" w:hAnsi="仿宋" w:eastAsia="仿宋"/>
          <w:b/>
          <w:color w:val="000000"/>
          <w:sz w:val="32"/>
          <w:szCs w:val="32"/>
        </w:rPr>
      </w:pPr>
      <w:r>
        <w:rPr>
          <w:rFonts w:hint="eastAsia" w:ascii="仿宋" w:hAnsi="仿宋" w:eastAsia="仿宋"/>
          <w:color w:val="000000"/>
          <w:sz w:val="32"/>
          <w:szCs w:val="32"/>
        </w:rPr>
        <w:t>3．</w:t>
      </w:r>
      <w:r>
        <w:rPr>
          <w:rFonts w:hint="eastAsia" w:ascii="仿宋" w:hAnsi="仿宋" w:eastAsia="仿宋"/>
          <w:b/>
          <w:bCs/>
          <w:color w:val="000000" w:themeColor="text1"/>
          <w:sz w:val="32"/>
          <w:szCs w:val="32"/>
          <w14:textFill>
            <w14:solidFill>
              <w14:schemeClr w14:val="tx1"/>
            </w14:solidFill>
          </w14:textFill>
        </w:rPr>
        <w:t xml:space="preserve"> 住房保障支出2210201</w:t>
      </w:r>
      <w:r>
        <w:rPr>
          <w:rFonts w:hint="eastAsia" w:ascii="仿宋" w:hAnsi="仿宋" w:eastAsia="仿宋"/>
          <w:b/>
          <w:color w:val="000000" w:themeColor="text1"/>
          <w:sz w:val="32"/>
          <w:szCs w:val="32"/>
          <w14:textFill>
            <w14:solidFill>
              <w14:schemeClr w14:val="tx1"/>
            </w14:solidFill>
          </w14:textFill>
        </w:rPr>
        <w:t>：</w:t>
      </w:r>
      <w:r>
        <w:rPr>
          <w:rStyle w:val="25"/>
          <w:rFonts w:hint="eastAsia" w:ascii="仿宋" w:hAnsi="仿宋" w:eastAsia="仿宋"/>
          <w:b w:val="0"/>
          <w:bCs/>
          <w:color w:val="000000"/>
          <w:sz w:val="32"/>
          <w:szCs w:val="32"/>
        </w:rPr>
        <w:t>支出决算为</w:t>
      </w:r>
      <w:r>
        <w:rPr>
          <w:rFonts w:hint="eastAsia" w:ascii="仿宋_GB2312" w:hAnsi="仿宋" w:eastAsia="仿宋_GB2312"/>
          <w:color w:val="000000"/>
          <w:sz w:val="32"/>
          <w:szCs w:val="32"/>
          <w:lang w:val="en-US" w:eastAsia="zh-CN"/>
        </w:rPr>
        <w:t>30.78</w:t>
      </w:r>
      <w:r>
        <w:rPr>
          <w:rFonts w:hint="eastAsia" w:ascii="仿宋" w:hAnsi="仿宋" w:eastAsia="仿宋"/>
          <w:color w:val="000000" w:themeColor="text1"/>
          <w:sz w:val="32"/>
          <w:szCs w:val="32"/>
          <w14:textFill>
            <w14:solidFill>
              <w14:schemeClr w14:val="tx1"/>
            </w14:solidFill>
          </w14:textFill>
        </w:rPr>
        <w:t>万元</w:t>
      </w:r>
      <w:r>
        <w:rPr>
          <w:rStyle w:val="25"/>
          <w:rFonts w:hint="eastAsia" w:ascii="仿宋" w:hAnsi="仿宋" w:eastAsia="仿宋"/>
          <w:b w:val="0"/>
          <w:bCs/>
          <w:color w:val="000000"/>
          <w:sz w:val="32"/>
          <w:szCs w:val="32"/>
        </w:rPr>
        <w:t>，完成预算100</w:t>
      </w:r>
      <w:r>
        <w:rPr>
          <w:rStyle w:val="25"/>
          <w:rFonts w:ascii="仿宋" w:hAnsi="仿宋" w:eastAsia="仿宋"/>
          <w:b w:val="0"/>
          <w:bCs/>
          <w:color w:val="000000"/>
          <w:sz w:val="32"/>
          <w:szCs w:val="32"/>
        </w:rPr>
        <w:t>%</w:t>
      </w:r>
      <w:r>
        <w:rPr>
          <w:rStyle w:val="25"/>
          <w:rFonts w:hint="eastAsia" w:ascii="仿宋" w:hAnsi="仿宋" w:eastAsia="仿宋"/>
          <w:b w:val="0"/>
          <w:bCs/>
          <w:color w:val="000000"/>
          <w:sz w:val="32"/>
          <w:szCs w:val="32"/>
        </w:rPr>
        <w:t>。</w:t>
      </w:r>
    </w:p>
    <w:p>
      <w:pPr>
        <w:pageBreakBefore w:val="0"/>
        <w:widowControl w:val="0"/>
        <w:tabs>
          <w:tab w:val="right" w:pos="8306"/>
        </w:tabs>
        <w:kinsoku/>
        <w:wordWrap/>
        <w:overflowPunct/>
        <w:topLinePunct w:val="0"/>
        <w:bidi w:val="0"/>
        <w:spacing w:line="560" w:lineRule="exact"/>
        <w:ind w:firstLine="640"/>
        <w:textAlignment w:val="auto"/>
        <w:outlineLvl w:val="1"/>
        <w:rPr>
          <w:rStyle w:val="29"/>
        </w:rPr>
      </w:pPr>
      <w:bookmarkStart w:id="93" w:name="_Toc15396608"/>
      <w:bookmarkStart w:id="94" w:name="_Toc79163618"/>
      <w:bookmarkStart w:id="95" w:name="_Toc79163868"/>
      <w:bookmarkStart w:id="96" w:name="_Toc15377214"/>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29"/>
          <w:rFonts w:hint="eastAsia" w:ascii="黑体" w:hAnsi="黑体" w:eastAsia="黑体"/>
          <w:b w:val="0"/>
        </w:rPr>
        <w:t>般公共预算财政拨款基本支出决算情况说明</w:t>
      </w:r>
      <w:bookmarkEnd w:id="93"/>
      <w:bookmarkEnd w:id="94"/>
      <w:bookmarkEnd w:id="95"/>
      <w:bookmarkEnd w:id="96"/>
      <w:r>
        <w:rPr>
          <w:rStyle w:val="29"/>
          <w:rFonts w:ascii="黑体" w:hAnsi="黑体" w:eastAsia="黑体"/>
          <w:b w:val="0"/>
        </w:rPr>
        <w:tab/>
      </w:r>
    </w:p>
    <w:p>
      <w:pPr>
        <w:pageBreakBefore w:val="0"/>
        <w:widowControl w:val="0"/>
        <w:kinsoku/>
        <w:wordWrap/>
        <w:overflowPunct/>
        <w:topLinePunct w:val="0"/>
        <w:bidi w:val="0"/>
        <w:spacing w:line="560" w:lineRule="exact"/>
        <w:ind w:firstLine="645"/>
        <w:textAlignment w:val="auto"/>
        <w:rPr>
          <w:rFonts w:ascii="仿宋" w:hAnsi="仿宋" w:eastAsia="仿宋"/>
          <w:color w:val="000000"/>
          <w:sz w:val="32"/>
          <w:szCs w:val="32"/>
        </w:rPr>
      </w:pPr>
      <w:r>
        <w:rPr>
          <w:rFonts w:ascii="仿宋" w:hAnsi="仿宋" w:eastAsia="仿宋"/>
          <w:color w:val="000000"/>
          <w:sz w:val="32"/>
          <w:szCs w:val="32"/>
        </w:rPr>
        <w:t>202</w:t>
      </w:r>
      <w:r>
        <w:rPr>
          <w:rFonts w:hint="eastAsia" w:ascii="仿宋" w:hAnsi="仿宋" w:eastAsia="仿宋"/>
          <w:color w:val="000000"/>
          <w:sz w:val="32"/>
          <w:szCs w:val="32"/>
        </w:rPr>
        <w:t>1年一般公共预算财政拨款基本支出</w:t>
      </w:r>
      <w:r>
        <w:rPr>
          <w:rFonts w:hint="eastAsia" w:ascii="仿宋" w:hAnsi="仿宋" w:eastAsia="仿宋"/>
          <w:color w:val="000000"/>
          <w:sz w:val="32"/>
          <w:szCs w:val="32"/>
          <w:lang w:val="en-US" w:eastAsia="zh-CN"/>
        </w:rPr>
        <w:t>421.56</w:t>
      </w:r>
      <w:r>
        <w:rPr>
          <w:rFonts w:hint="eastAsia" w:ascii="仿宋" w:hAnsi="仿宋" w:eastAsia="仿宋"/>
          <w:color w:val="000000"/>
          <w:sz w:val="32"/>
          <w:szCs w:val="32"/>
        </w:rPr>
        <w:t>万元，其中：</w:t>
      </w:r>
    </w:p>
    <w:p>
      <w:pPr>
        <w:pageBreakBefore w:val="0"/>
        <w:widowControl w:val="0"/>
        <w:kinsoku/>
        <w:wordWrap/>
        <w:overflowPunct/>
        <w:topLinePunct w:val="0"/>
        <w:bidi w:val="0"/>
        <w:spacing w:line="560" w:lineRule="exact"/>
        <w:ind w:firstLine="645"/>
        <w:textAlignment w:val="auto"/>
        <w:rPr>
          <w:rFonts w:hint="eastAsia" w:ascii="仿宋" w:hAnsi="仿宋" w:eastAsia="仿宋"/>
          <w:color w:val="000000"/>
          <w:sz w:val="32"/>
          <w:szCs w:val="32"/>
          <w:lang w:eastAsia="zh-CN"/>
        </w:rPr>
      </w:pPr>
      <w:r>
        <w:rPr>
          <w:rFonts w:hint="eastAsia" w:ascii="仿宋" w:hAnsi="仿宋" w:eastAsia="仿宋"/>
          <w:color w:val="000000"/>
          <w:sz w:val="32"/>
          <w:szCs w:val="32"/>
        </w:rPr>
        <w:t>人员经费</w:t>
      </w:r>
      <w:r>
        <w:rPr>
          <w:rFonts w:hint="eastAsia" w:ascii="仿宋" w:hAnsi="仿宋" w:eastAsia="仿宋"/>
          <w:color w:val="000000"/>
          <w:sz w:val="32"/>
          <w:szCs w:val="32"/>
          <w:lang w:val="en-US" w:eastAsia="zh-CN"/>
        </w:rPr>
        <w:t>392.26</w:t>
      </w:r>
      <w:r>
        <w:rPr>
          <w:rFonts w:hint="eastAsia" w:ascii="仿宋" w:hAnsi="仿宋" w:eastAsia="仿宋"/>
          <w:color w:val="000000"/>
          <w:sz w:val="32"/>
          <w:szCs w:val="32"/>
        </w:rPr>
        <w:t>万元，主要包括：</w:t>
      </w:r>
      <w:r>
        <w:rPr>
          <w:rFonts w:hint="eastAsia" w:ascii="仿宋_GB2312" w:hAnsi="仿宋" w:eastAsia="仿宋_GB2312"/>
          <w:sz w:val="32"/>
          <w:szCs w:val="32"/>
        </w:rPr>
        <w:t>基本工资、津贴补贴、奖金、、机关事业单位基本养老保险缴费、职业年金缴费、职工</w:t>
      </w:r>
      <w:r>
        <w:rPr>
          <w:rFonts w:ascii="仿宋_GB2312" w:hAnsi="仿宋" w:eastAsia="仿宋_GB2312"/>
          <w:sz w:val="32"/>
          <w:szCs w:val="32"/>
        </w:rPr>
        <w:t>基本医疗保险</w:t>
      </w:r>
      <w:r>
        <w:rPr>
          <w:rFonts w:hint="eastAsia" w:ascii="仿宋_GB2312" w:hAnsi="仿宋" w:eastAsia="仿宋_GB2312"/>
          <w:sz w:val="32"/>
          <w:szCs w:val="32"/>
        </w:rPr>
        <w:t>缴费</w:t>
      </w:r>
      <w:r>
        <w:rPr>
          <w:rFonts w:ascii="仿宋_GB2312" w:hAnsi="仿宋" w:eastAsia="仿宋_GB2312"/>
          <w:sz w:val="32"/>
          <w:szCs w:val="32"/>
        </w:rPr>
        <w:t>、</w:t>
      </w:r>
      <w:r>
        <w:rPr>
          <w:rFonts w:hint="eastAsia" w:ascii="仿宋_GB2312" w:hAnsi="仿宋" w:eastAsia="仿宋_GB2312"/>
          <w:sz w:val="32"/>
          <w:szCs w:val="32"/>
        </w:rPr>
        <w:t>其他社会保障缴费、生活补助、医疗费补助、奖励金、住房公积金。</w:t>
      </w:r>
    </w:p>
    <w:p>
      <w:pPr>
        <w:pageBreakBefore w:val="0"/>
        <w:widowControl w:val="0"/>
        <w:kinsoku/>
        <w:wordWrap/>
        <w:overflowPunct/>
        <w:topLinePunct w:val="0"/>
        <w:bidi w:val="0"/>
        <w:spacing w:line="560" w:lineRule="exact"/>
        <w:ind w:firstLine="645"/>
        <w:textAlignment w:val="auto"/>
        <w:rPr>
          <w:rFonts w:ascii="仿宋" w:hAnsi="仿宋" w:eastAsia="仿宋"/>
          <w:b/>
          <w:color w:val="FF0000"/>
          <w:sz w:val="32"/>
          <w:szCs w:val="32"/>
        </w:rPr>
      </w:pPr>
      <w:r>
        <w:rPr>
          <w:rFonts w:hint="eastAsia" w:ascii="仿宋" w:hAnsi="仿宋" w:eastAsia="仿宋"/>
          <w:color w:val="000000"/>
          <w:sz w:val="32"/>
          <w:szCs w:val="32"/>
        </w:rPr>
        <w:t>日常公用经费</w:t>
      </w:r>
      <w:r>
        <w:rPr>
          <w:rFonts w:hint="eastAsia" w:ascii="仿宋" w:hAnsi="仿宋" w:eastAsia="仿宋"/>
          <w:color w:val="000000"/>
          <w:sz w:val="32"/>
          <w:szCs w:val="32"/>
          <w:lang w:val="en-US" w:eastAsia="zh-CN"/>
        </w:rPr>
        <w:t>29.3</w:t>
      </w:r>
      <w:r>
        <w:rPr>
          <w:rFonts w:hint="eastAsia" w:ascii="仿宋" w:hAnsi="仿宋" w:eastAsia="仿宋"/>
          <w:color w:val="000000"/>
          <w:sz w:val="32"/>
          <w:szCs w:val="32"/>
        </w:rPr>
        <w:t>万元，主要包括：</w:t>
      </w:r>
      <w:r>
        <w:rPr>
          <w:rFonts w:hint="eastAsia" w:ascii="仿宋_GB2312" w:hAnsi="仿宋" w:eastAsia="仿宋_GB2312"/>
          <w:color w:val="000000"/>
          <w:sz w:val="32"/>
          <w:szCs w:val="32"/>
        </w:rPr>
        <w:t>办公费、印刷费、手续费、水费、电费、邮电费、取暖费、物业管理费、差旅费、维修（护）费、劳务费、其他交通费。</w:t>
      </w:r>
    </w:p>
    <w:p>
      <w:pPr>
        <w:pageBreakBefore w:val="0"/>
        <w:widowControl w:val="0"/>
        <w:kinsoku/>
        <w:wordWrap/>
        <w:overflowPunct/>
        <w:topLinePunct w:val="0"/>
        <w:bidi w:val="0"/>
        <w:spacing w:line="560" w:lineRule="exact"/>
        <w:ind w:firstLine="640"/>
        <w:textAlignment w:val="auto"/>
        <w:outlineLvl w:val="1"/>
        <w:rPr>
          <w:rStyle w:val="29"/>
          <w:rFonts w:ascii="黑体" w:hAnsi="黑体" w:eastAsia="黑体"/>
          <w:b w:val="0"/>
        </w:rPr>
      </w:pPr>
      <w:bookmarkStart w:id="97" w:name="_Toc79163869"/>
      <w:bookmarkStart w:id="98" w:name="_Toc79163619"/>
      <w:bookmarkStart w:id="99" w:name="_Toc15396609"/>
      <w:bookmarkStart w:id="100" w:name="_Toc15377215"/>
      <w:r>
        <w:rPr>
          <w:rFonts w:hint="eastAsia" w:ascii="黑体" w:eastAsia="黑体"/>
          <w:color w:val="000000"/>
          <w:sz w:val="32"/>
          <w:szCs w:val="32"/>
        </w:rPr>
        <w:t>七、</w:t>
      </w:r>
      <w:r>
        <w:rPr>
          <w:rStyle w:val="29"/>
          <w:rFonts w:hint="eastAsia" w:ascii="黑体" w:hAnsi="黑体" w:eastAsia="黑体"/>
        </w:rPr>
        <w:t>“</w:t>
      </w:r>
      <w:r>
        <w:rPr>
          <w:rStyle w:val="29"/>
          <w:rFonts w:hint="eastAsia" w:ascii="黑体" w:hAnsi="黑体" w:eastAsia="黑体"/>
          <w:b w:val="0"/>
        </w:rPr>
        <w:t>三公”经费财政拨款支出决算情况说明</w:t>
      </w:r>
      <w:bookmarkEnd w:id="97"/>
      <w:bookmarkEnd w:id="98"/>
      <w:bookmarkEnd w:id="99"/>
      <w:bookmarkEnd w:id="100"/>
    </w:p>
    <w:p>
      <w:pPr>
        <w:spacing w:line="600" w:lineRule="exact"/>
        <w:ind w:firstLine="640"/>
        <w:outlineLvl w:val="2"/>
        <w:rPr>
          <w:rFonts w:ascii="仿宋" w:hAnsi="仿宋" w:eastAsia="仿宋"/>
          <w:b/>
          <w:color w:val="000000"/>
          <w:sz w:val="32"/>
          <w:szCs w:val="32"/>
        </w:rPr>
      </w:pPr>
      <w:bookmarkStart w:id="101" w:name="_Toc11248"/>
      <w:bookmarkStart w:id="102" w:name="_Toc24238"/>
      <w:bookmarkStart w:id="103" w:name="_Toc6551"/>
      <w:bookmarkStart w:id="104" w:name="_Toc16176"/>
      <w:bookmarkStart w:id="105" w:name="_Toc15377216"/>
      <w:bookmarkStart w:id="106" w:name="_Toc3199"/>
      <w:bookmarkStart w:id="107" w:name="_Toc31039"/>
      <w:bookmarkStart w:id="108" w:name="_Toc79163622"/>
      <w:bookmarkStart w:id="109" w:name="_Toc15377218"/>
      <w:bookmarkStart w:id="110" w:name="_Toc79163872"/>
      <w:bookmarkStart w:id="111" w:name="_Toc15396610"/>
      <w:r>
        <w:rPr>
          <w:rFonts w:hint="eastAsia" w:ascii="仿宋" w:hAnsi="仿宋" w:eastAsia="仿宋"/>
          <w:b/>
          <w:color w:val="000000"/>
          <w:sz w:val="32"/>
          <w:szCs w:val="32"/>
        </w:rPr>
        <w:t>（一）“三公”经费财政拨款支出决算总体情况说明</w:t>
      </w:r>
      <w:bookmarkEnd w:id="101"/>
      <w:bookmarkEnd w:id="102"/>
      <w:bookmarkEnd w:id="103"/>
      <w:bookmarkEnd w:id="104"/>
      <w:bookmarkEnd w:id="105"/>
      <w:bookmarkEnd w:id="106"/>
      <w:bookmarkEnd w:id="107"/>
    </w:p>
    <w:p>
      <w:pPr>
        <w:spacing w:line="600" w:lineRule="exact"/>
        <w:ind w:firstLine="640"/>
        <w:rPr>
          <w:rFonts w:ascii="仿宋" w:hAnsi="仿宋" w:eastAsia="仿宋"/>
          <w:b/>
          <w:color w:val="FF0000"/>
          <w:sz w:val="32"/>
          <w:szCs w:val="32"/>
        </w:rPr>
      </w:pPr>
      <w:r>
        <w:rPr>
          <w:rFonts w:hint="eastAsia" w:ascii="仿宋" w:hAnsi="仿宋" w:eastAsia="仿宋"/>
          <w:color w:val="000000"/>
          <w:sz w:val="32"/>
          <w:szCs w:val="32"/>
          <w:lang w:val="en-US" w:eastAsia="zh-CN"/>
        </w:rPr>
        <w:t>2021</w:t>
      </w:r>
      <w:r>
        <w:rPr>
          <w:rFonts w:hint="eastAsia" w:ascii="仿宋" w:hAnsi="仿宋" w:eastAsia="仿宋"/>
          <w:color w:val="000000"/>
          <w:sz w:val="32"/>
          <w:szCs w:val="32"/>
        </w:rPr>
        <w:t>年“三公”经费财政拨款支出决算为</w:t>
      </w:r>
      <w:r>
        <w:rPr>
          <w:rFonts w:hint="eastAsia" w:ascii="仿宋" w:hAnsi="仿宋" w:eastAsia="仿宋"/>
          <w:color w:val="000000"/>
          <w:sz w:val="32"/>
          <w:szCs w:val="32"/>
          <w:lang w:val="en-US" w:eastAsia="zh-CN"/>
        </w:rPr>
        <w:t>3.84</w:t>
      </w:r>
      <w:r>
        <w:rPr>
          <w:rFonts w:hint="eastAsia" w:ascii="仿宋" w:hAnsi="仿宋" w:eastAsia="仿宋"/>
          <w:color w:val="000000"/>
          <w:sz w:val="32"/>
          <w:szCs w:val="32"/>
        </w:rPr>
        <w:t>万元，完成预算100</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640"/>
        <w:outlineLvl w:val="2"/>
        <w:rPr>
          <w:rFonts w:ascii="仿宋" w:hAnsi="仿宋" w:eastAsia="仿宋"/>
          <w:b/>
          <w:color w:val="000000"/>
          <w:sz w:val="32"/>
          <w:szCs w:val="32"/>
        </w:rPr>
      </w:pPr>
      <w:bookmarkStart w:id="112" w:name="_Toc8395"/>
      <w:bookmarkStart w:id="113" w:name="_Toc472"/>
      <w:bookmarkStart w:id="114" w:name="_Toc1456"/>
      <w:bookmarkStart w:id="115" w:name="_Toc7861"/>
      <w:bookmarkStart w:id="116" w:name="_Toc664"/>
      <w:bookmarkStart w:id="117" w:name="_Toc23142"/>
      <w:bookmarkStart w:id="118" w:name="_Toc15377217"/>
      <w:r>
        <w:rPr>
          <w:rFonts w:hint="eastAsia" w:ascii="仿宋" w:hAnsi="仿宋" w:eastAsia="仿宋"/>
          <w:b/>
          <w:color w:val="000000"/>
          <w:sz w:val="32"/>
          <w:szCs w:val="32"/>
        </w:rPr>
        <w:t>（二）“三公”经费财政拨款支出决算具体情况说明</w:t>
      </w:r>
      <w:bookmarkEnd w:id="112"/>
      <w:bookmarkEnd w:id="113"/>
      <w:bookmarkEnd w:id="114"/>
      <w:bookmarkEnd w:id="115"/>
      <w:bookmarkEnd w:id="116"/>
      <w:bookmarkEnd w:id="117"/>
      <w:bookmarkEnd w:id="118"/>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lang w:val="en-US" w:eastAsia="zh-CN"/>
        </w:rPr>
        <w:t>2021</w:t>
      </w:r>
      <w:r>
        <w:rPr>
          <w:rFonts w:hint="eastAsia" w:ascii="仿宋" w:hAnsi="仿宋" w:eastAsia="仿宋"/>
          <w:color w:val="000000"/>
          <w:sz w:val="32"/>
          <w:szCs w:val="32"/>
        </w:rPr>
        <w:t>年“三公”经费财政拨款支出决算中，因公出国（境）费支出决算0万元，占0</w:t>
      </w:r>
      <w:r>
        <w:rPr>
          <w:rFonts w:ascii="仿宋" w:hAnsi="仿宋" w:eastAsia="仿宋"/>
          <w:color w:val="000000"/>
          <w:sz w:val="32"/>
          <w:szCs w:val="32"/>
        </w:rPr>
        <w:t>%</w:t>
      </w:r>
      <w:r>
        <w:rPr>
          <w:rFonts w:hint="eastAsia" w:ascii="仿宋" w:hAnsi="仿宋" w:eastAsia="仿宋"/>
          <w:color w:val="000000"/>
          <w:sz w:val="32"/>
          <w:szCs w:val="32"/>
        </w:rPr>
        <w:t>；公务用车购置及运行维护费支出决算</w:t>
      </w:r>
      <w:r>
        <w:rPr>
          <w:rFonts w:hint="eastAsia" w:ascii="仿宋" w:hAnsi="仿宋" w:eastAsia="仿宋"/>
          <w:color w:val="000000"/>
          <w:sz w:val="32"/>
          <w:szCs w:val="32"/>
          <w:lang w:val="en-US" w:eastAsia="zh-CN"/>
        </w:rPr>
        <w:t>3.36</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88</w:t>
      </w:r>
      <w:r>
        <w:rPr>
          <w:rFonts w:ascii="仿宋" w:hAnsi="仿宋" w:eastAsia="仿宋"/>
          <w:color w:val="000000"/>
          <w:sz w:val="32"/>
          <w:szCs w:val="32"/>
        </w:rPr>
        <w:t>%</w:t>
      </w:r>
      <w:r>
        <w:rPr>
          <w:rFonts w:hint="eastAsia" w:ascii="仿宋" w:hAnsi="仿宋" w:eastAsia="仿宋"/>
          <w:color w:val="000000"/>
          <w:sz w:val="32"/>
          <w:szCs w:val="32"/>
        </w:rPr>
        <w:t>；公务接待费支出决算</w:t>
      </w:r>
      <w:r>
        <w:rPr>
          <w:rFonts w:hint="eastAsia" w:ascii="仿宋" w:hAnsi="仿宋" w:eastAsia="仿宋"/>
          <w:color w:val="000000"/>
          <w:sz w:val="32"/>
          <w:szCs w:val="32"/>
          <w:lang w:val="en-US" w:eastAsia="zh-CN"/>
        </w:rPr>
        <w:t>0.48</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12</w:t>
      </w:r>
      <w:r>
        <w:rPr>
          <w:rFonts w:ascii="仿宋" w:hAnsi="仿宋" w:eastAsia="仿宋"/>
          <w:color w:val="000000"/>
          <w:sz w:val="32"/>
          <w:szCs w:val="32"/>
        </w:rPr>
        <w:t>%</w:t>
      </w:r>
      <w:r>
        <w:rPr>
          <w:rFonts w:hint="eastAsia" w:ascii="仿宋" w:hAnsi="仿宋" w:eastAsia="仿宋"/>
          <w:color w:val="000000"/>
          <w:sz w:val="32"/>
          <w:szCs w:val="32"/>
        </w:rPr>
        <w:t>。具体情况如下：</w:t>
      </w:r>
    </w:p>
    <w:p>
      <w:pPr>
        <w:spacing w:line="600" w:lineRule="exact"/>
        <w:ind w:firstLine="640"/>
        <w:rPr>
          <w:rFonts w:hint="eastAsia" w:ascii="仿宋" w:hAnsi="仿宋" w:eastAsia="仿宋"/>
          <w:color w:val="000000"/>
          <w:sz w:val="32"/>
          <w:szCs w:val="32"/>
          <w:lang w:eastAsia="zh-CN"/>
        </w:rPr>
      </w:pPr>
      <w:r>
        <w:rPr>
          <w:rFonts w:hint="eastAsia" w:ascii="仿宋" w:hAnsi="仿宋" w:eastAsia="仿宋"/>
          <w:color w:val="000000"/>
          <w:sz w:val="32"/>
          <w:szCs w:val="32"/>
        </w:rPr>
        <w:t>（图7：“三公”经费财政拨款支出结构）</w:t>
      </w:r>
    </w:p>
    <w:p>
      <w:pPr>
        <w:spacing w:line="600" w:lineRule="exact"/>
        <w:ind w:firstLine="640"/>
        <w:rPr>
          <w:rFonts w:ascii="仿宋_GB2312" w:eastAsia="仿宋_GB2312"/>
          <w:b/>
          <w:color w:val="000000"/>
          <w:sz w:val="32"/>
          <w:szCs w:val="32"/>
        </w:rPr>
      </w:pPr>
      <w:r>
        <w:rPr>
          <w:rFonts w:hint="eastAsia" w:ascii="仿宋" w:hAnsi="仿宋" w:eastAsia="仿宋"/>
          <w:color w:val="000000"/>
          <w:sz w:val="32"/>
          <w:szCs w:val="32"/>
          <w:lang w:eastAsia="zh-CN"/>
        </w:rPr>
        <w:drawing>
          <wp:anchor distT="0" distB="0" distL="114300" distR="114300" simplePos="0" relativeHeight="251664384" behindDoc="1" locked="0" layoutInCell="1" allowOverlap="1">
            <wp:simplePos x="0" y="0"/>
            <wp:positionH relativeFrom="column">
              <wp:posOffset>255905</wp:posOffset>
            </wp:positionH>
            <wp:positionV relativeFrom="paragraph">
              <wp:posOffset>3175</wp:posOffset>
            </wp:positionV>
            <wp:extent cx="4998720" cy="2659380"/>
            <wp:effectExtent l="5080" t="4445" r="6350" b="22225"/>
            <wp:wrapTight wrapText="bothSides">
              <wp:wrapPolygon>
                <wp:start x="-22" y="-36"/>
                <wp:lineTo x="-22" y="21471"/>
                <wp:lineTo x="21545" y="21471"/>
                <wp:lineTo x="21545" y="-36"/>
                <wp:lineTo x="-22" y="-36"/>
              </wp:wrapPolygon>
            </wp:wrapTight>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ascii="仿宋" w:hAnsi="仿宋" w:eastAsia="仿宋"/>
          <w:color w:val="000000"/>
          <w:sz w:val="32"/>
          <w:szCs w:val="32"/>
          <w:lang w:val="en-US" w:eastAsia="zh-CN"/>
        </w:rPr>
        <w:t xml:space="preserve"> </w:t>
      </w:r>
      <w:r>
        <w:rPr>
          <w:rFonts w:ascii="仿宋_GB2312" w:eastAsia="仿宋_GB2312"/>
          <w:b/>
          <w:color w:val="000000"/>
          <w:sz w:val="32"/>
          <w:szCs w:val="32"/>
        </w:rPr>
        <w:t>1.</w:t>
      </w:r>
      <w:r>
        <w:rPr>
          <w:rFonts w:hint="eastAsia" w:ascii="仿宋_GB2312" w:eastAsia="仿宋_GB2312"/>
          <w:b/>
          <w:color w:val="000000"/>
          <w:sz w:val="32"/>
          <w:szCs w:val="32"/>
        </w:rPr>
        <w:t>因公出国（境）经费支出</w:t>
      </w:r>
      <w:r>
        <w:rPr>
          <w:rFonts w:hint="eastAsia" w:ascii="仿宋_GB2312" w:eastAsia="仿宋_GB2312"/>
          <w:color w:val="000000"/>
          <w:sz w:val="32"/>
          <w:szCs w:val="32"/>
        </w:rPr>
        <w:t>0万元，</w:t>
      </w:r>
      <w:r>
        <w:rPr>
          <w:rStyle w:val="25"/>
          <w:rFonts w:hint="eastAsia" w:ascii="仿宋" w:hAnsi="仿宋" w:eastAsia="仿宋"/>
          <w:b w:val="0"/>
          <w:bCs/>
          <w:color w:val="000000"/>
          <w:sz w:val="32"/>
          <w:szCs w:val="32"/>
        </w:rPr>
        <w:t>完成预算0</w:t>
      </w:r>
      <w:r>
        <w:rPr>
          <w:rStyle w:val="25"/>
          <w:rFonts w:ascii="仿宋" w:hAnsi="仿宋" w:eastAsia="仿宋"/>
          <w:b w:val="0"/>
          <w:bCs/>
          <w:color w:val="000000"/>
          <w:sz w:val="32"/>
          <w:szCs w:val="32"/>
        </w:rPr>
        <w:t>%</w:t>
      </w:r>
      <w:r>
        <w:rPr>
          <w:rStyle w:val="25"/>
          <w:rFonts w:hint="eastAsia" w:ascii="仿宋" w:hAnsi="仿宋" w:eastAsia="仿宋"/>
          <w:b w:val="0"/>
          <w:bCs/>
          <w:color w:val="000000"/>
          <w:sz w:val="32"/>
          <w:szCs w:val="32"/>
        </w:rPr>
        <w:t>。</w:t>
      </w:r>
      <w:r>
        <w:rPr>
          <w:rFonts w:hint="eastAsia" w:ascii="仿宋_GB2312" w:eastAsia="仿宋_GB2312"/>
          <w:color w:val="000000"/>
          <w:sz w:val="32"/>
          <w:szCs w:val="32"/>
        </w:rPr>
        <w:t>全年安排因公出国（境）团组0次，出国（境）0人。因公出国（境）支出决算比</w:t>
      </w:r>
      <w:r>
        <w:rPr>
          <w:rFonts w:hint="eastAsia" w:ascii="仿宋_GB2312" w:eastAsia="仿宋_GB2312"/>
          <w:color w:val="000000"/>
          <w:sz w:val="32"/>
          <w:szCs w:val="32"/>
          <w:lang w:val="en-US" w:eastAsia="zh-CN"/>
        </w:rPr>
        <w:t>2020</w:t>
      </w:r>
      <w:r>
        <w:rPr>
          <w:rFonts w:hint="eastAsia" w:ascii="仿宋_GB2312" w:eastAsia="仿宋_GB2312"/>
          <w:color w:val="000000"/>
          <w:sz w:val="32"/>
          <w:szCs w:val="32"/>
        </w:rPr>
        <w:t>年增加</w:t>
      </w:r>
      <w:r>
        <w:rPr>
          <w:rFonts w:ascii="仿宋_GB2312" w:eastAsia="仿宋_GB2312"/>
          <w:color w:val="000000"/>
          <w:sz w:val="32"/>
          <w:szCs w:val="32"/>
        </w:rPr>
        <w:t>/</w:t>
      </w:r>
      <w:r>
        <w:rPr>
          <w:rFonts w:hint="eastAsia" w:ascii="仿宋_GB2312" w:eastAsia="仿宋_GB2312"/>
          <w:color w:val="000000"/>
          <w:sz w:val="32"/>
          <w:szCs w:val="32"/>
        </w:rPr>
        <w:t>减少0万元，增长</w:t>
      </w:r>
      <w:r>
        <w:rPr>
          <w:rFonts w:ascii="仿宋_GB2312" w:eastAsia="仿宋_GB2312"/>
          <w:color w:val="000000"/>
          <w:sz w:val="32"/>
          <w:szCs w:val="32"/>
        </w:rPr>
        <w:t>/</w:t>
      </w:r>
      <w:r>
        <w:rPr>
          <w:rFonts w:hint="eastAsia" w:ascii="仿宋_GB2312" w:eastAsia="仿宋_GB2312"/>
          <w:color w:val="000000"/>
          <w:sz w:val="32"/>
          <w:szCs w:val="32"/>
        </w:rPr>
        <w:t>下降0</w:t>
      </w:r>
      <w:r>
        <w:rPr>
          <w:rFonts w:ascii="仿宋_GB2312" w:eastAsia="仿宋_GB2312"/>
          <w:color w:val="000000"/>
          <w:sz w:val="32"/>
          <w:szCs w:val="32"/>
        </w:rPr>
        <w:t>%</w:t>
      </w:r>
      <w:r>
        <w:rPr>
          <w:rFonts w:hint="eastAsia" w:ascii="仿宋_GB2312" w:eastAsia="仿宋_GB2312"/>
          <w:color w:val="000000"/>
          <w:sz w:val="32"/>
          <w:szCs w:val="32"/>
        </w:rPr>
        <w:t>。</w:t>
      </w:r>
    </w:p>
    <w:p>
      <w:pPr>
        <w:spacing w:line="600" w:lineRule="exact"/>
        <w:ind w:firstLine="640"/>
        <w:rPr>
          <w:rFonts w:ascii="仿宋_GB2312" w:eastAsia="仿宋_GB2312"/>
          <w:color w:val="000000"/>
          <w:sz w:val="32"/>
          <w:szCs w:val="32"/>
        </w:rPr>
      </w:pPr>
      <w:r>
        <w:rPr>
          <w:rFonts w:hint="eastAsia" w:ascii="仿宋_GB2312" w:eastAsia="仿宋_GB2312"/>
          <w:color w:val="000000"/>
          <w:sz w:val="32"/>
          <w:szCs w:val="32"/>
        </w:rPr>
        <w:t>开支内容包括：无。</w:t>
      </w:r>
    </w:p>
    <w:p>
      <w:pPr>
        <w:spacing w:line="600" w:lineRule="exact"/>
        <w:ind w:firstLine="640"/>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_GB2312" w:eastAsia="仿宋_GB2312"/>
          <w:color w:val="000000"/>
          <w:sz w:val="32"/>
          <w:szCs w:val="32"/>
          <w:lang w:val="en-US" w:eastAsia="zh-CN"/>
        </w:rPr>
        <w:t>3.36</w:t>
      </w:r>
      <w:r>
        <w:rPr>
          <w:rFonts w:hint="eastAsia" w:ascii="仿宋_GB2312" w:eastAsia="仿宋_GB2312"/>
          <w:color w:val="000000"/>
          <w:sz w:val="32"/>
          <w:szCs w:val="32"/>
        </w:rPr>
        <w:t>万元,</w:t>
      </w:r>
      <w:r>
        <w:rPr>
          <w:rStyle w:val="25"/>
          <w:rFonts w:hint="eastAsia" w:ascii="仿宋" w:hAnsi="仿宋" w:eastAsia="仿宋"/>
          <w:b w:val="0"/>
          <w:bCs/>
          <w:color w:val="000000"/>
          <w:sz w:val="32"/>
          <w:szCs w:val="32"/>
        </w:rPr>
        <w:t>完成预算100</w:t>
      </w:r>
      <w:r>
        <w:rPr>
          <w:rStyle w:val="25"/>
          <w:rFonts w:ascii="仿宋" w:hAnsi="仿宋" w:eastAsia="仿宋"/>
          <w:b w:val="0"/>
          <w:bCs/>
          <w:color w:val="000000"/>
          <w:sz w:val="32"/>
          <w:szCs w:val="32"/>
        </w:rPr>
        <w:t>%</w:t>
      </w:r>
      <w:r>
        <w:rPr>
          <w:rStyle w:val="25"/>
          <w:rFonts w:hint="eastAsia" w:ascii="仿宋" w:hAnsi="仿宋" w:eastAsia="仿宋"/>
          <w:b w:val="0"/>
          <w:bCs/>
          <w:color w:val="000000"/>
          <w:sz w:val="32"/>
          <w:szCs w:val="32"/>
        </w:rPr>
        <w:t>。</w:t>
      </w:r>
      <w:r>
        <w:rPr>
          <w:rFonts w:hint="eastAsia" w:ascii="仿宋_GB2312" w:eastAsia="仿宋_GB2312"/>
          <w:color w:val="000000"/>
          <w:sz w:val="32"/>
          <w:szCs w:val="32"/>
        </w:rPr>
        <w:t>公务用车购置及运行维护费支出决算比</w:t>
      </w:r>
      <w:r>
        <w:rPr>
          <w:rFonts w:hint="eastAsia" w:ascii="仿宋_GB2312" w:eastAsia="仿宋_GB2312"/>
          <w:color w:val="000000"/>
          <w:sz w:val="32"/>
          <w:szCs w:val="32"/>
          <w:lang w:val="en-US" w:eastAsia="zh-CN"/>
        </w:rPr>
        <w:t>2020</w:t>
      </w:r>
      <w:r>
        <w:rPr>
          <w:rFonts w:hint="eastAsia" w:ascii="仿宋_GB2312" w:eastAsia="仿宋_GB2312"/>
          <w:color w:val="000000"/>
          <w:sz w:val="32"/>
          <w:szCs w:val="32"/>
        </w:rPr>
        <w:t>年减少</w:t>
      </w:r>
      <w:r>
        <w:rPr>
          <w:rFonts w:hint="eastAsia" w:ascii="仿宋_GB2312" w:eastAsia="仿宋_GB2312"/>
          <w:color w:val="000000"/>
          <w:sz w:val="32"/>
          <w:szCs w:val="32"/>
          <w:lang w:val="en-US" w:eastAsia="zh-CN"/>
        </w:rPr>
        <w:t>0.44</w:t>
      </w:r>
      <w:r>
        <w:rPr>
          <w:rFonts w:hint="eastAsia" w:ascii="仿宋_GB2312" w:eastAsia="仿宋_GB2312"/>
          <w:color w:val="000000"/>
          <w:sz w:val="32"/>
          <w:szCs w:val="32"/>
        </w:rPr>
        <w:t>万元，下降</w:t>
      </w:r>
      <w:r>
        <w:rPr>
          <w:rFonts w:hint="eastAsia" w:ascii="仿宋_GB2312" w:eastAsia="仿宋_GB2312"/>
          <w:color w:val="000000"/>
          <w:sz w:val="32"/>
          <w:szCs w:val="32"/>
          <w:lang w:val="en-US" w:eastAsia="zh-CN"/>
        </w:rPr>
        <w:t>11.57</w:t>
      </w:r>
      <w:r>
        <w:rPr>
          <w:rFonts w:ascii="仿宋_GB2312" w:eastAsia="仿宋_GB2312"/>
          <w:color w:val="000000"/>
          <w:sz w:val="32"/>
          <w:szCs w:val="32"/>
        </w:rPr>
        <w:t>%</w:t>
      </w:r>
      <w:r>
        <w:rPr>
          <w:rFonts w:hint="eastAsia" w:ascii="仿宋_GB2312" w:eastAsia="仿宋_GB2312"/>
          <w:color w:val="000000"/>
          <w:sz w:val="32"/>
          <w:szCs w:val="32"/>
        </w:rPr>
        <w:t>。主要原因是厉行节约，严格执行预算。</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其中：</w:t>
      </w:r>
      <w:r>
        <w:rPr>
          <w:rFonts w:hint="eastAsia" w:ascii="仿宋_GB2312" w:eastAsia="仿宋_GB2312"/>
          <w:b/>
          <w:color w:val="000000"/>
          <w:sz w:val="32"/>
          <w:szCs w:val="32"/>
        </w:rPr>
        <w:t>公务用车购置支出</w:t>
      </w:r>
      <w:r>
        <w:rPr>
          <w:rFonts w:hint="eastAsia" w:ascii="仿宋_GB2312" w:eastAsia="仿宋_GB2312"/>
          <w:color w:val="000000"/>
          <w:sz w:val="32"/>
          <w:szCs w:val="32"/>
        </w:rPr>
        <w:t>0万元。全年按规定更新购置公务用车0辆，金额0</w:t>
      </w:r>
      <w:r>
        <w:rPr>
          <w:rFonts w:ascii="仿宋_GB2312" w:eastAsia="仿宋_GB2312"/>
          <w:color w:val="000000"/>
          <w:sz w:val="32"/>
          <w:szCs w:val="32"/>
        </w:rPr>
        <w:t>元。</w:t>
      </w:r>
      <w:r>
        <w:rPr>
          <w:rFonts w:hint="eastAsia" w:ascii="仿宋_GB2312" w:eastAsia="仿宋_GB2312"/>
          <w:color w:val="000000"/>
          <w:sz w:val="32"/>
          <w:szCs w:val="32"/>
        </w:rPr>
        <w:t>截至</w:t>
      </w:r>
      <w:r>
        <w:rPr>
          <w:rFonts w:hint="eastAsia" w:ascii="仿宋_GB2312" w:eastAsia="仿宋_GB2312"/>
          <w:color w:val="000000"/>
          <w:sz w:val="32"/>
          <w:szCs w:val="32"/>
          <w:lang w:val="en-US" w:eastAsia="zh-CN"/>
        </w:rPr>
        <w:t>2021</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月底，单位共有公务用车</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辆，其中：主要领导干部用车0辆、机要通信用车3辆、应急保障用车0辆、 执法执勤用车0辆。</w:t>
      </w:r>
    </w:p>
    <w:p>
      <w:pPr>
        <w:spacing w:line="600" w:lineRule="exact"/>
        <w:ind w:firstLine="640"/>
        <w:rPr>
          <w:rFonts w:ascii="仿宋_GB2312" w:eastAsia="仿宋_GB2312"/>
          <w:color w:val="000000"/>
          <w:sz w:val="32"/>
          <w:szCs w:val="32"/>
        </w:rPr>
      </w:pPr>
      <w:r>
        <w:rPr>
          <w:rFonts w:hint="eastAsia" w:ascii="仿宋_GB2312" w:eastAsia="仿宋_GB2312"/>
          <w:b/>
          <w:color w:val="000000"/>
          <w:sz w:val="32"/>
          <w:szCs w:val="32"/>
        </w:rPr>
        <w:t>公务用车运行维护费支出</w:t>
      </w:r>
      <w:r>
        <w:rPr>
          <w:rFonts w:hint="eastAsia" w:ascii="仿宋_GB2312" w:eastAsia="仿宋_GB2312"/>
          <w:color w:val="000000"/>
          <w:sz w:val="32"/>
          <w:szCs w:val="32"/>
          <w:lang w:val="en-US" w:eastAsia="zh-CN"/>
        </w:rPr>
        <w:t>3.36</w:t>
      </w:r>
      <w:r>
        <w:rPr>
          <w:rFonts w:hint="eastAsia" w:ascii="仿宋_GB2312" w:eastAsia="仿宋_GB2312"/>
          <w:color w:val="000000"/>
          <w:sz w:val="32"/>
          <w:szCs w:val="32"/>
        </w:rPr>
        <w:t>万元。主要用于开展日常工作等所需的公务用车燃料费、维修费、过路过桥费、保险费等支出。</w:t>
      </w:r>
    </w:p>
    <w:p>
      <w:pPr>
        <w:spacing w:line="600" w:lineRule="exact"/>
        <w:ind w:firstLine="643" w:firstLineChars="200"/>
        <w:rPr>
          <w:rFonts w:ascii="仿宋_GB2312" w:eastAsia="仿宋_GB2312"/>
          <w:color w:val="000000"/>
          <w:sz w:val="32"/>
          <w:szCs w:val="32"/>
        </w:rPr>
      </w:pPr>
      <w:r>
        <w:rPr>
          <w:rFonts w:hint="eastAsia" w:ascii="仿宋_GB2312" w:eastAsia="仿宋_GB2312"/>
          <w:b/>
          <w:color w:val="000000"/>
          <w:sz w:val="32"/>
          <w:szCs w:val="32"/>
        </w:rPr>
        <w:t>3.公务接待费支出</w:t>
      </w:r>
      <w:r>
        <w:rPr>
          <w:rFonts w:hint="eastAsia" w:ascii="仿宋_GB2312" w:eastAsia="仿宋_GB2312"/>
          <w:color w:val="000000"/>
          <w:sz w:val="32"/>
          <w:szCs w:val="32"/>
          <w:lang w:val="en-US" w:eastAsia="zh-CN"/>
        </w:rPr>
        <w:t>0.48</w:t>
      </w:r>
      <w:r>
        <w:rPr>
          <w:rFonts w:hint="eastAsia" w:ascii="仿宋_GB2312" w:eastAsia="仿宋_GB2312"/>
          <w:color w:val="000000"/>
          <w:sz w:val="32"/>
          <w:szCs w:val="32"/>
        </w:rPr>
        <w:t>万元，</w:t>
      </w:r>
      <w:r>
        <w:rPr>
          <w:rStyle w:val="25"/>
          <w:rFonts w:hint="eastAsia" w:ascii="仿宋" w:hAnsi="仿宋" w:eastAsia="仿宋"/>
          <w:b w:val="0"/>
          <w:bCs/>
          <w:color w:val="000000"/>
          <w:sz w:val="32"/>
          <w:szCs w:val="32"/>
        </w:rPr>
        <w:t>完成预算100</w:t>
      </w:r>
      <w:r>
        <w:rPr>
          <w:rStyle w:val="25"/>
          <w:rFonts w:ascii="仿宋" w:hAnsi="仿宋" w:eastAsia="仿宋"/>
          <w:b w:val="0"/>
          <w:bCs/>
          <w:color w:val="000000"/>
          <w:sz w:val="32"/>
          <w:szCs w:val="32"/>
        </w:rPr>
        <w:t>%</w:t>
      </w:r>
      <w:r>
        <w:rPr>
          <w:rStyle w:val="25"/>
          <w:rFonts w:hint="eastAsia" w:ascii="仿宋" w:hAnsi="仿宋" w:eastAsia="仿宋"/>
          <w:b w:val="0"/>
          <w:bCs/>
          <w:color w:val="000000"/>
          <w:sz w:val="32"/>
          <w:szCs w:val="32"/>
        </w:rPr>
        <w:t>。</w:t>
      </w:r>
      <w:r>
        <w:rPr>
          <w:rFonts w:hint="eastAsia" w:ascii="仿宋_GB2312" w:eastAsia="仿宋_GB2312"/>
          <w:color w:val="000000"/>
          <w:sz w:val="32"/>
          <w:szCs w:val="32"/>
        </w:rPr>
        <w:t>公务接待费支出决算比</w:t>
      </w:r>
      <w:r>
        <w:rPr>
          <w:rFonts w:hint="eastAsia" w:ascii="仿宋_GB2312" w:eastAsia="仿宋_GB2312"/>
          <w:color w:val="000000"/>
          <w:sz w:val="32"/>
          <w:szCs w:val="32"/>
          <w:lang w:val="en-US" w:eastAsia="zh-CN"/>
        </w:rPr>
        <w:t>2020</w:t>
      </w:r>
      <w:r>
        <w:rPr>
          <w:rFonts w:hint="eastAsia" w:ascii="仿宋_GB2312" w:eastAsia="仿宋_GB2312"/>
          <w:color w:val="000000"/>
          <w:sz w:val="32"/>
          <w:szCs w:val="32"/>
        </w:rPr>
        <w:t>年</w:t>
      </w:r>
      <w:r>
        <w:rPr>
          <w:rFonts w:hint="eastAsia" w:ascii="仿宋_GB2312" w:eastAsia="仿宋_GB2312"/>
          <w:color w:val="000000"/>
          <w:sz w:val="32"/>
          <w:szCs w:val="32"/>
          <w:lang w:eastAsia="zh-CN"/>
        </w:rPr>
        <w:t>增加</w:t>
      </w:r>
      <w:r>
        <w:rPr>
          <w:rFonts w:hint="eastAsia" w:ascii="仿宋_GB2312" w:eastAsia="仿宋_GB2312"/>
          <w:color w:val="000000"/>
          <w:sz w:val="32"/>
          <w:szCs w:val="32"/>
          <w:lang w:val="en-US" w:eastAsia="zh-CN"/>
        </w:rPr>
        <w:t>0.32</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增长</w:t>
      </w:r>
      <w:r>
        <w:rPr>
          <w:rFonts w:hint="eastAsia" w:ascii="仿宋_GB2312" w:eastAsia="仿宋_GB2312"/>
          <w:color w:val="000000"/>
          <w:sz w:val="32"/>
          <w:szCs w:val="32"/>
          <w:lang w:val="en-US" w:eastAsia="zh-CN"/>
        </w:rPr>
        <w:t>202.9</w:t>
      </w:r>
      <w:r>
        <w:rPr>
          <w:rFonts w:ascii="仿宋_GB2312" w:eastAsia="仿宋_GB2312"/>
          <w:color w:val="000000"/>
          <w:sz w:val="32"/>
          <w:szCs w:val="32"/>
        </w:rPr>
        <w:t>%</w:t>
      </w:r>
      <w:r>
        <w:rPr>
          <w:rFonts w:hint="eastAsia" w:ascii="仿宋_GB2312" w:eastAsia="仿宋_GB2312"/>
          <w:color w:val="000000"/>
          <w:sz w:val="32"/>
          <w:szCs w:val="32"/>
        </w:rPr>
        <w:t>。主要原因是</w:t>
      </w:r>
      <w:r>
        <w:rPr>
          <w:rFonts w:hint="eastAsia" w:ascii="仿宋_GB2312" w:eastAsia="仿宋_GB2312"/>
          <w:color w:val="000000"/>
          <w:sz w:val="32"/>
          <w:szCs w:val="32"/>
          <w:lang w:eastAsia="zh-CN"/>
        </w:rPr>
        <w:t>医保业务工作量增加，业务交流次数增加</w:t>
      </w:r>
      <w:r>
        <w:rPr>
          <w:rFonts w:hint="eastAsia" w:ascii="仿宋_GB2312" w:eastAsia="仿宋_GB2312"/>
          <w:color w:val="000000"/>
          <w:sz w:val="32"/>
          <w:szCs w:val="32"/>
        </w:rPr>
        <w:t>。</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其中：</w:t>
      </w:r>
      <w:r>
        <w:rPr>
          <w:rFonts w:hint="eastAsia" w:ascii="仿宋" w:hAnsi="仿宋" w:eastAsia="仿宋"/>
          <w:b/>
          <w:color w:val="000000"/>
          <w:sz w:val="32"/>
          <w:szCs w:val="32"/>
        </w:rPr>
        <w:t>国内公务接待支出</w:t>
      </w:r>
      <w:r>
        <w:rPr>
          <w:rFonts w:hint="eastAsia" w:ascii="仿宋" w:hAnsi="仿宋" w:eastAsia="仿宋"/>
          <w:color w:val="000000"/>
          <w:sz w:val="32"/>
          <w:szCs w:val="32"/>
          <w:lang w:val="en-US" w:eastAsia="zh-CN"/>
        </w:rPr>
        <w:t>0.48</w:t>
      </w:r>
      <w:r>
        <w:rPr>
          <w:rFonts w:hint="eastAsia" w:ascii="仿宋_GB2312" w:eastAsia="仿宋_GB2312"/>
          <w:color w:val="000000"/>
          <w:sz w:val="32"/>
          <w:szCs w:val="32"/>
        </w:rPr>
        <w:t>万元，主要用于执行公务、开展业务活动开支用餐费等。国内公务接待</w:t>
      </w:r>
      <w:r>
        <w:rPr>
          <w:rFonts w:hint="eastAsia" w:ascii="仿宋_GB2312" w:eastAsia="仿宋_GB2312"/>
          <w:color w:val="000000"/>
          <w:sz w:val="32"/>
          <w:szCs w:val="32"/>
          <w:lang w:val="en-US" w:eastAsia="zh-CN"/>
        </w:rPr>
        <w:t>12</w:t>
      </w:r>
      <w:r>
        <w:rPr>
          <w:rFonts w:hint="eastAsia" w:ascii="仿宋_GB2312" w:eastAsia="仿宋_GB2312"/>
          <w:color w:val="000000"/>
          <w:sz w:val="32"/>
          <w:szCs w:val="32"/>
        </w:rPr>
        <w:t>批次，</w:t>
      </w:r>
      <w:r>
        <w:rPr>
          <w:rFonts w:hint="eastAsia" w:ascii="仿宋_GB2312" w:eastAsia="仿宋_GB2312"/>
          <w:color w:val="000000"/>
          <w:sz w:val="32"/>
          <w:szCs w:val="32"/>
          <w:lang w:val="en-US" w:eastAsia="zh-CN"/>
        </w:rPr>
        <w:t>70</w:t>
      </w:r>
      <w:r>
        <w:rPr>
          <w:rFonts w:hint="eastAsia" w:ascii="仿宋_GB2312" w:eastAsia="仿宋_GB2312"/>
          <w:color w:val="000000"/>
          <w:sz w:val="32"/>
          <w:szCs w:val="32"/>
        </w:rPr>
        <w:t>人次（不包括陪同人员），共计支出</w:t>
      </w:r>
      <w:r>
        <w:rPr>
          <w:rFonts w:hint="eastAsia" w:ascii="仿宋_GB2312" w:eastAsia="仿宋_GB2312"/>
          <w:color w:val="000000"/>
          <w:sz w:val="32"/>
          <w:szCs w:val="32"/>
          <w:lang w:val="en-US" w:eastAsia="zh-CN"/>
        </w:rPr>
        <w:t>0.48</w:t>
      </w:r>
      <w:r>
        <w:rPr>
          <w:rFonts w:hint="eastAsia" w:ascii="仿宋_GB2312" w:eastAsia="仿宋_GB2312"/>
          <w:color w:val="000000"/>
          <w:sz w:val="32"/>
          <w:szCs w:val="32"/>
        </w:rPr>
        <w:t>万元。</w:t>
      </w:r>
    </w:p>
    <w:p>
      <w:pPr>
        <w:spacing w:line="600" w:lineRule="exact"/>
        <w:ind w:firstLine="643" w:firstLineChars="200"/>
        <w:rPr>
          <w:rFonts w:ascii="黑体" w:eastAsia="黑体"/>
          <w:color w:val="000000"/>
          <w:sz w:val="32"/>
          <w:szCs w:val="32"/>
        </w:rPr>
      </w:pPr>
      <w:r>
        <w:rPr>
          <w:rFonts w:hint="eastAsia" w:ascii="仿宋" w:hAnsi="仿宋" w:eastAsia="仿宋"/>
          <w:b/>
          <w:color w:val="000000"/>
          <w:sz w:val="32"/>
          <w:szCs w:val="32"/>
        </w:rPr>
        <w:t>外事接待支出</w:t>
      </w:r>
      <w:r>
        <w:rPr>
          <w:rFonts w:hint="eastAsia" w:ascii="仿宋" w:hAnsi="仿宋" w:eastAsia="仿宋"/>
          <w:color w:val="000000"/>
          <w:sz w:val="32"/>
          <w:szCs w:val="32"/>
        </w:rPr>
        <w:t>0</w:t>
      </w:r>
      <w:r>
        <w:rPr>
          <w:rFonts w:hint="eastAsia" w:ascii="仿宋_GB2312" w:eastAsia="仿宋_GB2312"/>
          <w:color w:val="000000"/>
          <w:sz w:val="32"/>
          <w:szCs w:val="32"/>
        </w:rPr>
        <w:t>万元</w:t>
      </w:r>
      <w:r>
        <w:rPr>
          <w:rFonts w:hint="eastAsia" w:ascii="仿宋_GB2312" w:eastAsia="仿宋_GB2312"/>
          <w:color w:val="000000" w:themeColor="text1"/>
          <w:sz w:val="32"/>
          <w:szCs w:val="32"/>
          <w14:textFill>
            <w14:solidFill>
              <w14:schemeClr w14:val="tx1"/>
            </w14:solidFill>
          </w14:textFill>
        </w:rPr>
        <w:t>，外事接待0批次，0人，共计支出0万元。</w:t>
      </w:r>
    </w:p>
    <w:p>
      <w:pPr>
        <w:pageBreakBefore w:val="0"/>
        <w:widowControl w:val="0"/>
        <w:kinsoku/>
        <w:wordWrap/>
        <w:overflowPunct/>
        <w:topLinePunct w:val="0"/>
        <w:bidi w:val="0"/>
        <w:spacing w:line="560" w:lineRule="exact"/>
        <w:ind w:firstLine="640"/>
        <w:textAlignment w:val="auto"/>
        <w:outlineLvl w:val="1"/>
        <w:rPr>
          <w:rStyle w:val="29"/>
          <w:rFonts w:ascii="黑体" w:hAnsi="黑体" w:eastAsia="黑体"/>
        </w:rPr>
      </w:pPr>
      <w:r>
        <w:rPr>
          <w:rFonts w:hint="eastAsia" w:ascii="黑体" w:eastAsia="黑体"/>
          <w:color w:val="000000"/>
          <w:sz w:val="32"/>
          <w:szCs w:val="32"/>
        </w:rPr>
        <w:t>八、</w:t>
      </w:r>
      <w:r>
        <w:rPr>
          <w:rStyle w:val="29"/>
          <w:rFonts w:hint="eastAsia" w:ascii="黑体" w:hAnsi="黑体" w:eastAsia="黑体"/>
          <w:b w:val="0"/>
        </w:rPr>
        <w:t>政府性基金预算支出决算情况说明</w:t>
      </w:r>
      <w:bookmarkEnd w:id="108"/>
      <w:bookmarkEnd w:id="109"/>
      <w:bookmarkEnd w:id="110"/>
      <w:bookmarkEnd w:id="111"/>
    </w:p>
    <w:p>
      <w:pPr>
        <w:pageBreakBefore w:val="0"/>
        <w:widowControl w:val="0"/>
        <w:kinsoku/>
        <w:wordWrap/>
        <w:overflowPunct/>
        <w:topLinePunct w:val="0"/>
        <w:bidi w:val="0"/>
        <w:spacing w:line="560" w:lineRule="exact"/>
        <w:ind w:firstLine="640"/>
        <w:textAlignment w:val="auto"/>
        <w:rPr>
          <w:rFonts w:ascii="仿宋_GB2312" w:eastAsia="仿宋_GB2312"/>
          <w:color w:val="000000"/>
          <w:sz w:val="32"/>
          <w:szCs w:val="32"/>
        </w:rPr>
      </w:pPr>
      <w:r>
        <w:rPr>
          <w:rFonts w:ascii="仿宋_GB2312" w:eastAsia="仿宋_GB2312"/>
          <w:color w:val="000000"/>
          <w:sz w:val="32"/>
          <w:szCs w:val="32"/>
        </w:rPr>
        <w:t>202</w:t>
      </w:r>
      <w:r>
        <w:rPr>
          <w:rFonts w:hint="eastAsia" w:ascii="仿宋_GB2312" w:eastAsia="仿宋_GB2312"/>
          <w:color w:val="000000"/>
          <w:sz w:val="32"/>
          <w:szCs w:val="32"/>
        </w:rPr>
        <w:t>1年政府性基金预算拨款支出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pageBreakBefore w:val="0"/>
        <w:widowControl w:val="0"/>
        <w:numPr>
          <w:ilvl w:val="0"/>
          <w:numId w:val="4"/>
        </w:numPr>
        <w:kinsoku/>
        <w:wordWrap/>
        <w:overflowPunct/>
        <w:topLinePunct w:val="0"/>
        <w:bidi w:val="0"/>
        <w:spacing w:line="560" w:lineRule="exact"/>
        <w:ind w:firstLine="640"/>
        <w:textAlignment w:val="auto"/>
        <w:outlineLvl w:val="1"/>
        <w:rPr>
          <w:rStyle w:val="29"/>
          <w:rFonts w:ascii="黑体" w:hAnsi="黑体" w:eastAsia="黑体"/>
          <w:b w:val="0"/>
        </w:rPr>
      </w:pPr>
      <w:bookmarkStart w:id="119" w:name="_Toc79163623"/>
      <w:bookmarkStart w:id="120" w:name="_Toc15396611"/>
      <w:bookmarkStart w:id="121" w:name="_Toc79163873"/>
      <w:bookmarkStart w:id="122" w:name="_Toc15377219"/>
      <w:r>
        <w:rPr>
          <w:rStyle w:val="29"/>
          <w:rFonts w:hint="eastAsia" w:ascii="黑体" w:hAnsi="黑体" w:eastAsia="黑体"/>
          <w:b w:val="0"/>
        </w:rPr>
        <w:t>国有资本经营预算支出决算情况说明</w:t>
      </w:r>
      <w:bookmarkEnd w:id="119"/>
      <w:bookmarkEnd w:id="120"/>
      <w:bookmarkEnd w:id="121"/>
      <w:bookmarkEnd w:id="122"/>
    </w:p>
    <w:p>
      <w:pPr>
        <w:pageBreakBefore w:val="0"/>
        <w:widowControl w:val="0"/>
        <w:kinsoku/>
        <w:wordWrap/>
        <w:overflowPunct/>
        <w:topLinePunct w:val="0"/>
        <w:bidi w:val="0"/>
        <w:spacing w:line="560" w:lineRule="exact"/>
        <w:ind w:firstLine="640"/>
        <w:textAlignment w:val="auto"/>
        <w:rPr>
          <w:rFonts w:ascii="方正小标宋简体" w:hAnsi="方正小标宋简体" w:eastAsia="方正小标宋简体" w:cs="方正小标宋简体"/>
          <w:sz w:val="44"/>
          <w:szCs w:val="44"/>
        </w:rPr>
      </w:pPr>
      <w:r>
        <w:rPr>
          <w:rFonts w:ascii="仿宋_GB2312" w:eastAsia="仿宋_GB2312"/>
          <w:color w:val="000000"/>
          <w:sz w:val="32"/>
          <w:szCs w:val="32"/>
        </w:rPr>
        <w:t>202</w:t>
      </w:r>
      <w:r>
        <w:rPr>
          <w:rFonts w:hint="eastAsia" w:ascii="仿宋_GB2312" w:eastAsia="仿宋_GB2312"/>
          <w:color w:val="000000"/>
          <w:sz w:val="32"/>
          <w:szCs w:val="32"/>
        </w:rPr>
        <w:t>1年国有资本经营预算拨款支出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pageBreakBefore w:val="0"/>
        <w:widowControl w:val="0"/>
        <w:kinsoku/>
        <w:wordWrap/>
        <w:overflowPunct/>
        <w:topLinePunct w:val="0"/>
        <w:bidi w:val="0"/>
        <w:spacing w:line="560" w:lineRule="exact"/>
        <w:ind w:firstLine="800" w:firstLineChars="250"/>
        <w:textAlignment w:val="auto"/>
        <w:outlineLvl w:val="1"/>
        <w:rPr>
          <w:rStyle w:val="29"/>
          <w:rFonts w:ascii="黑体" w:hAnsi="黑体" w:eastAsia="黑体"/>
        </w:rPr>
      </w:pPr>
      <w:bookmarkStart w:id="123" w:name="_Toc15396612"/>
      <w:bookmarkStart w:id="124" w:name="_Toc15377221"/>
      <w:bookmarkStart w:id="125" w:name="_Toc79163874"/>
      <w:bookmarkStart w:id="126" w:name="_Toc79163624"/>
      <w:r>
        <w:rPr>
          <w:rFonts w:hint="eastAsia" w:ascii="黑体" w:hAnsi="黑体" w:eastAsia="黑体"/>
          <w:color w:val="000000"/>
          <w:sz w:val="32"/>
          <w:szCs w:val="32"/>
        </w:rPr>
        <w:t>十</w:t>
      </w:r>
      <w:r>
        <w:rPr>
          <w:rStyle w:val="29"/>
          <w:rFonts w:hint="eastAsia" w:ascii="黑体" w:hAnsi="黑体" w:eastAsia="黑体"/>
        </w:rPr>
        <w:t>、</w:t>
      </w:r>
      <w:r>
        <w:rPr>
          <w:rStyle w:val="29"/>
          <w:rFonts w:hint="eastAsia" w:ascii="黑体" w:hAnsi="黑体" w:eastAsia="黑体"/>
          <w:b w:val="0"/>
        </w:rPr>
        <w:t>其他重要事项的情况说明</w:t>
      </w:r>
      <w:bookmarkEnd w:id="123"/>
      <w:bookmarkEnd w:id="124"/>
      <w:bookmarkEnd w:id="125"/>
      <w:bookmarkEnd w:id="126"/>
    </w:p>
    <w:p>
      <w:pPr>
        <w:pageBreakBefore w:val="0"/>
        <w:widowControl w:val="0"/>
        <w:kinsoku/>
        <w:wordWrap/>
        <w:overflowPunct/>
        <w:topLinePunct w:val="0"/>
        <w:bidi w:val="0"/>
        <w:spacing w:line="560" w:lineRule="exact"/>
        <w:ind w:firstLine="643" w:firstLineChars="200"/>
        <w:textAlignment w:val="auto"/>
        <w:outlineLvl w:val="2"/>
        <w:rPr>
          <w:rFonts w:ascii="仿宋" w:hAnsi="仿宋" w:eastAsia="仿宋"/>
          <w:color w:val="000000"/>
          <w:sz w:val="32"/>
          <w:szCs w:val="32"/>
        </w:rPr>
      </w:pPr>
      <w:bookmarkStart w:id="127" w:name="_Toc15377222"/>
      <w:bookmarkStart w:id="128" w:name="_Toc79163875"/>
      <w:bookmarkStart w:id="129" w:name="_Toc79163625"/>
      <w:r>
        <w:rPr>
          <w:rFonts w:hint="eastAsia" w:ascii="仿宋" w:hAnsi="仿宋" w:eastAsia="仿宋"/>
          <w:b/>
          <w:color w:val="000000"/>
          <w:sz w:val="32"/>
          <w:szCs w:val="32"/>
        </w:rPr>
        <w:t>（一）机关运行经费支出情况</w:t>
      </w:r>
      <w:bookmarkEnd w:id="127"/>
      <w:bookmarkEnd w:id="128"/>
      <w:bookmarkEnd w:id="129"/>
    </w:p>
    <w:p>
      <w:pPr>
        <w:pageBreakBefore w:val="0"/>
        <w:widowControl w:val="0"/>
        <w:kinsoku/>
        <w:wordWrap/>
        <w:overflowPunct/>
        <w:topLinePunct w:val="0"/>
        <w:bidi w:val="0"/>
        <w:spacing w:line="560" w:lineRule="exact"/>
        <w:ind w:firstLine="640" w:firstLineChars="200"/>
        <w:textAlignment w:val="auto"/>
        <w:rPr>
          <w:rFonts w:hint="default" w:ascii="仿宋_GB2312" w:eastAsia="仿宋_GB2312"/>
          <w:color w:val="000000"/>
          <w:sz w:val="32"/>
          <w:szCs w:val="32"/>
          <w:lang w:val="en-US" w:eastAsia="zh-CN"/>
        </w:rPr>
      </w:pPr>
      <w:r>
        <w:rPr>
          <w:rFonts w:ascii="仿宋_GB2312" w:eastAsia="仿宋_GB2312"/>
          <w:color w:val="000000"/>
          <w:sz w:val="32"/>
          <w:szCs w:val="32"/>
        </w:rPr>
        <w:t>202</w:t>
      </w:r>
      <w:r>
        <w:rPr>
          <w:rFonts w:hint="eastAsia" w:ascii="仿宋_GB2312" w:eastAsia="仿宋_GB2312"/>
          <w:color w:val="000000"/>
          <w:sz w:val="32"/>
          <w:szCs w:val="32"/>
        </w:rPr>
        <w:t>1年，</w:t>
      </w:r>
      <w:r>
        <w:rPr>
          <w:rFonts w:hint="eastAsia" w:ascii="仿宋_GB2312" w:eastAsia="仿宋_GB2312"/>
          <w:color w:val="000000"/>
          <w:sz w:val="32"/>
          <w:szCs w:val="32"/>
          <w:lang w:val="en-US" w:eastAsia="zh-CN"/>
        </w:rPr>
        <w:t>理县县医疗保障局</w:t>
      </w:r>
      <w:r>
        <w:rPr>
          <w:rFonts w:hint="eastAsia" w:ascii="仿宋_GB2312" w:eastAsia="仿宋_GB2312"/>
          <w:color w:val="000000"/>
          <w:sz w:val="32"/>
          <w:szCs w:val="32"/>
        </w:rPr>
        <w:t>机关运行经费支出</w:t>
      </w:r>
      <w:r>
        <w:rPr>
          <w:rFonts w:hint="eastAsia" w:ascii="仿宋_GB2312" w:eastAsia="仿宋_GB2312"/>
          <w:color w:val="000000"/>
          <w:sz w:val="32"/>
          <w:szCs w:val="32"/>
          <w:lang w:val="en-US" w:eastAsia="zh-CN"/>
        </w:rPr>
        <w:t>29.3</w:t>
      </w:r>
      <w:r>
        <w:rPr>
          <w:rFonts w:hint="eastAsia" w:ascii="仿宋_GB2312" w:eastAsia="仿宋_GB2312"/>
          <w:color w:val="000000"/>
          <w:sz w:val="32"/>
          <w:szCs w:val="32"/>
        </w:rPr>
        <w:t>万元，比</w:t>
      </w:r>
      <w:r>
        <w:rPr>
          <w:rFonts w:ascii="仿宋_GB2312" w:eastAsia="仿宋_GB2312"/>
          <w:color w:val="000000"/>
          <w:sz w:val="32"/>
          <w:szCs w:val="32"/>
        </w:rPr>
        <w:t>20</w:t>
      </w:r>
      <w:r>
        <w:rPr>
          <w:rFonts w:hint="eastAsia" w:ascii="仿宋_GB2312" w:eastAsia="仿宋_GB2312"/>
          <w:color w:val="000000"/>
          <w:sz w:val="32"/>
          <w:szCs w:val="32"/>
        </w:rPr>
        <w:t>20年增加</w:t>
      </w:r>
      <w:r>
        <w:rPr>
          <w:rFonts w:hint="eastAsia" w:ascii="仿宋_GB2312" w:eastAsia="仿宋_GB2312"/>
          <w:color w:val="000000"/>
          <w:sz w:val="32"/>
          <w:szCs w:val="32"/>
          <w:lang w:val="en-US" w:eastAsia="zh-CN"/>
        </w:rPr>
        <w:t>0.94</w:t>
      </w:r>
      <w:r>
        <w:rPr>
          <w:rFonts w:hint="eastAsia" w:ascii="仿宋_GB2312" w:eastAsia="仿宋_GB2312"/>
          <w:color w:val="000000"/>
          <w:sz w:val="32"/>
          <w:szCs w:val="32"/>
        </w:rPr>
        <w:t>万元，增长</w:t>
      </w:r>
      <w:r>
        <w:rPr>
          <w:rFonts w:hint="eastAsia" w:ascii="仿宋_GB2312" w:eastAsia="仿宋_GB2312"/>
          <w:color w:val="000000"/>
          <w:sz w:val="32"/>
          <w:szCs w:val="32"/>
          <w:lang w:val="en-US" w:eastAsia="zh-CN"/>
        </w:rPr>
        <w:t>3.3</w:t>
      </w:r>
      <w:r>
        <w:rPr>
          <w:rFonts w:ascii="仿宋_GB2312" w:eastAsia="仿宋_GB2312"/>
          <w:color w:val="000000"/>
          <w:sz w:val="32"/>
          <w:szCs w:val="32"/>
        </w:rPr>
        <w:t>%</w:t>
      </w:r>
      <w:r>
        <w:rPr>
          <w:rFonts w:hint="eastAsia" w:ascii="仿宋_GB2312" w:eastAsia="仿宋_GB2312"/>
          <w:color w:val="000000"/>
          <w:sz w:val="32"/>
          <w:szCs w:val="32"/>
          <w:lang w:eastAsia="zh-CN"/>
        </w:rPr>
        <w:t>，</w:t>
      </w:r>
      <w:r>
        <w:rPr>
          <w:rFonts w:hint="eastAsia" w:ascii="仿宋_GB2312" w:eastAsia="仿宋_GB2312"/>
          <w:color w:val="000000"/>
          <w:sz w:val="32"/>
          <w:szCs w:val="32"/>
        </w:rPr>
        <w:t>主要原因是</w:t>
      </w:r>
      <w:r>
        <w:rPr>
          <w:rFonts w:hint="eastAsia" w:ascii="仿宋_GB2312" w:eastAsia="仿宋_GB2312"/>
          <w:color w:val="000000"/>
          <w:sz w:val="32"/>
          <w:szCs w:val="32"/>
          <w:lang w:val="en-US" w:eastAsia="zh-CN"/>
        </w:rPr>
        <w:t>公务出差增多。</w:t>
      </w:r>
    </w:p>
    <w:p>
      <w:pPr>
        <w:pageBreakBefore w:val="0"/>
        <w:widowControl w:val="0"/>
        <w:kinsoku/>
        <w:wordWrap/>
        <w:overflowPunct/>
        <w:topLinePunct w:val="0"/>
        <w:autoSpaceDE w:val="0"/>
        <w:autoSpaceDN w:val="0"/>
        <w:bidi w:val="0"/>
        <w:adjustRightInd w:val="0"/>
        <w:spacing w:line="560" w:lineRule="exact"/>
        <w:ind w:firstLine="643" w:firstLineChars="200"/>
        <w:jc w:val="left"/>
        <w:textAlignment w:val="auto"/>
        <w:outlineLvl w:val="2"/>
        <w:rPr>
          <w:rFonts w:ascii="仿宋" w:hAnsi="仿宋" w:eastAsia="仿宋"/>
          <w:b/>
          <w:color w:val="000000"/>
          <w:sz w:val="32"/>
          <w:szCs w:val="32"/>
        </w:rPr>
      </w:pPr>
      <w:bookmarkStart w:id="130" w:name="_Toc15377223"/>
      <w:bookmarkStart w:id="131" w:name="_Toc79163876"/>
      <w:bookmarkStart w:id="132" w:name="_Toc79163626"/>
      <w:r>
        <w:rPr>
          <w:rFonts w:hint="eastAsia" w:ascii="仿宋" w:hAnsi="仿宋" w:eastAsia="仿宋"/>
          <w:b/>
          <w:color w:val="000000"/>
          <w:sz w:val="32"/>
          <w:szCs w:val="32"/>
        </w:rPr>
        <w:t>（二）政府采购支出情况</w:t>
      </w:r>
      <w:bookmarkEnd w:id="130"/>
      <w:bookmarkEnd w:id="131"/>
      <w:bookmarkEnd w:id="132"/>
    </w:p>
    <w:p>
      <w:pPr>
        <w:pageBreakBefore w:val="0"/>
        <w:widowControl w:val="0"/>
        <w:kinsoku/>
        <w:wordWrap/>
        <w:overflowPunct/>
        <w:topLinePunct w:val="0"/>
        <w:bidi w:val="0"/>
        <w:spacing w:line="560" w:lineRule="exact"/>
        <w:ind w:firstLine="640" w:firstLineChars="200"/>
        <w:textAlignment w:val="auto"/>
        <w:rPr>
          <w:rFonts w:ascii="仿宋_GB2312" w:eastAsia="仿宋_GB2312"/>
          <w:color w:val="000000"/>
          <w:sz w:val="32"/>
          <w:szCs w:val="32"/>
        </w:rPr>
      </w:pPr>
      <w:r>
        <w:rPr>
          <w:rFonts w:ascii="仿宋_GB2312" w:eastAsia="仿宋_GB2312"/>
          <w:color w:val="000000"/>
          <w:sz w:val="32"/>
          <w:szCs w:val="32"/>
        </w:rPr>
        <w:t>202</w:t>
      </w:r>
      <w:r>
        <w:rPr>
          <w:rFonts w:hint="eastAsia" w:ascii="仿宋_GB2312" w:eastAsia="仿宋_GB2312"/>
          <w:color w:val="000000"/>
          <w:sz w:val="32"/>
          <w:szCs w:val="32"/>
        </w:rPr>
        <w:t>1年，</w:t>
      </w:r>
      <w:r>
        <w:rPr>
          <w:rFonts w:hint="eastAsia" w:ascii="仿宋_GB2312" w:eastAsia="仿宋_GB2312"/>
          <w:color w:val="000000"/>
          <w:sz w:val="32"/>
          <w:szCs w:val="32"/>
          <w:lang w:val="en-US" w:eastAsia="zh-CN"/>
        </w:rPr>
        <w:t>理县医疗保障局</w:t>
      </w:r>
      <w:r>
        <w:rPr>
          <w:rFonts w:hint="eastAsia" w:ascii="仿宋_GB2312" w:eastAsia="仿宋_GB2312"/>
          <w:color w:val="000000"/>
          <w:sz w:val="32"/>
          <w:szCs w:val="32"/>
        </w:rPr>
        <w:t>政府采购支出总额</w:t>
      </w:r>
      <w:r>
        <w:rPr>
          <w:rFonts w:hint="eastAsia" w:ascii="仿宋_GB2312" w:eastAsia="仿宋_GB2312"/>
          <w:color w:val="000000"/>
          <w:sz w:val="32"/>
          <w:szCs w:val="32"/>
          <w:lang w:val="en-US" w:eastAsia="zh-CN"/>
        </w:rPr>
        <w:t>31.06</w:t>
      </w:r>
      <w:r>
        <w:rPr>
          <w:rFonts w:hint="eastAsia" w:ascii="仿宋_GB2312" w:eastAsia="仿宋_GB2312"/>
          <w:color w:val="000000"/>
          <w:sz w:val="32"/>
          <w:szCs w:val="32"/>
        </w:rPr>
        <w:t>万元，其中：政府采购货物支出</w:t>
      </w:r>
      <w:r>
        <w:rPr>
          <w:rFonts w:hint="eastAsia" w:ascii="仿宋_GB2312" w:eastAsia="仿宋_GB2312"/>
          <w:color w:val="000000"/>
          <w:sz w:val="32"/>
          <w:szCs w:val="32"/>
          <w:lang w:val="en-US" w:eastAsia="zh-CN"/>
        </w:rPr>
        <w:t>31.06</w:t>
      </w:r>
      <w:r>
        <w:rPr>
          <w:rFonts w:hint="eastAsia" w:ascii="仿宋_GB2312" w:eastAsia="仿宋_GB2312"/>
          <w:color w:val="000000"/>
          <w:sz w:val="32"/>
          <w:szCs w:val="32"/>
        </w:rPr>
        <w:t>万元、政府采购工程支出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万元、政府采购服务支出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万元。主要用于</w:t>
      </w:r>
      <w:r>
        <w:rPr>
          <w:rFonts w:hint="eastAsia" w:ascii="仿宋_GB2312" w:eastAsia="仿宋_GB2312"/>
          <w:color w:val="000000"/>
          <w:sz w:val="32"/>
          <w:szCs w:val="32"/>
          <w:lang w:eastAsia="zh-CN"/>
        </w:rPr>
        <w:t>购买办公设备</w:t>
      </w:r>
      <w:r>
        <w:rPr>
          <w:rFonts w:hint="eastAsia" w:ascii="仿宋_GB2312" w:eastAsia="仿宋_GB2312"/>
          <w:color w:val="000000"/>
          <w:sz w:val="32"/>
          <w:szCs w:val="32"/>
        </w:rPr>
        <w:t>。授予中小企业合同金额</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万元，占政府采购支出总额的</w:t>
      </w:r>
      <w:r>
        <w:rPr>
          <w:rFonts w:hint="eastAsia" w:ascii="仿宋_GB2312" w:eastAsia="仿宋_GB2312"/>
          <w:color w:val="000000"/>
          <w:sz w:val="32"/>
          <w:szCs w:val="32"/>
          <w:lang w:val="en-US" w:eastAsia="zh-CN"/>
        </w:rPr>
        <w:t>0</w:t>
      </w:r>
      <w:r>
        <w:rPr>
          <w:rFonts w:ascii="仿宋_GB2312" w:eastAsia="仿宋_GB2312"/>
          <w:color w:val="000000"/>
          <w:sz w:val="32"/>
          <w:szCs w:val="32"/>
        </w:rPr>
        <w:t>%</w:t>
      </w:r>
      <w:r>
        <w:rPr>
          <w:rFonts w:hint="eastAsia" w:ascii="仿宋_GB2312" w:eastAsia="仿宋_GB2312"/>
          <w:color w:val="000000"/>
          <w:sz w:val="32"/>
          <w:szCs w:val="32"/>
        </w:rPr>
        <w:t>，其中：授予小微企业合同金额</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万元，占政府采购支出总额的</w:t>
      </w:r>
      <w:r>
        <w:rPr>
          <w:rFonts w:hint="eastAsia" w:ascii="仿宋_GB2312" w:eastAsia="仿宋_GB2312"/>
          <w:color w:val="000000"/>
          <w:sz w:val="32"/>
          <w:szCs w:val="32"/>
          <w:lang w:val="en-US" w:eastAsia="zh-CN"/>
        </w:rPr>
        <w:t>0</w:t>
      </w:r>
      <w:r>
        <w:rPr>
          <w:rFonts w:ascii="仿宋_GB2312" w:eastAsia="仿宋_GB2312"/>
          <w:color w:val="000000"/>
          <w:sz w:val="32"/>
          <w:szCs w:val="32"/>
        </w:rPr>
        <w:t>%</w:t>
      </w:r>
      <w:r>
        <w:rPr>
          <w:rFonts w:hint="eastAsia" w:ascii="仿宋_GB2312" w:eastAsia="仿宋_GB2312"/>
          <w:color w:val="000000"/>
          <w:sz w:val="32"/>
          <w:szCs w:val="32"/>
        </w:rPr>
        <w:t>。</w:t>
      </w:r>
    </w:p>
    <w:p>
      <w:pPr>
        <w:pageBreakBefore w:val="0"/>
        <w:widowControl w:val="0"/>
        <w:kinsoku/>
        <w:wordWrap/>
        <w:overflowPunct/>
        <w:topLinePunct w:val="0"/>
        <w:autoSpaceDE w:val="0"/>
        <w:autoSpaceDN w:val="0"/>
        <w:bidi w:val="0"/>
        <w:adjustRightInd w:val="0"/>
        <w:spacing w:line="560" w:lineRule="exact"/>
        <w:ind w:firstLine="643" w:firstLineChars="200"/>
        <w:jc w:val="left"/>
        <w:textAlignment w:val="auto"/>
        <w:outlineLvl w:val="2"/>
        <w:rPr>
          <w:rFonts w:ascii="仿宋" w:hAnsi="仿宋" w:eastAsia="仿宋"/>
          <w:b/>
          <w:color w:val="000000"/>
          <w:sz w:val="32"/>
          <w:szCs w:val="32"/>
        </w:rPr>
      </w:pPr>
      <w:bookmarkStart w:id="133" w:name="_Toc79163627"/>
      <w:bookmarkStart w:id="134" w:name="_Toc15377224"/>
      <w:bookmarkStart w:id="135" w:name="_Toc79163877"/>
      <w:r>
        <w:rPr>
          <w:rFonts w:hint="eastAsia" w:ascii="仿宋" w:hAnsi="仿宋" w:eastAsia="仿宋"/>
          <w:b/>
          <w:color w:val="000000"/>
          <w:sz w:val="32"/>
          <w:szCs w:val="32"/>
        </w:rPr>
        <w:t>（三）国有资产占有使用情况</w:t>
      </w:r>
      <w:bookmarkEnd w:id="133"/>
      <w:bookmarkEnd w:id="134"/>
      <w:bookmarkEnd w:id="135"/>
    </w:p>
    <w:p>
      <w:pPr>
        <w:spacing w:line="580" w:lineRule="exact"/>
        <w:ind w:firstLine="640" w:firstLineChars="200"/>
        <w:rPr>
          <w:rFonts w:hint="eastAsia" w:ascii="仿宋" w:hAnsi="仿宋" w:eastAsia="仿宋"/>
          <w:b/>
          <w:color w:val="FF0000"/>
          <w:sz w:val="32"/>
          <w:szCs w:val="32"/>
        </w:rPr>
      </w:pPr>
      <w:bookmarkStart w:id="136" w:name="_Toc79163878"/>
      <w:bookmarkStart w:id="137" w:name="_Toc79163628"/>
      <w:r>
        <w:rPr>
          <w:rFonts w:hint="eastAsia" w:ascii="仿宋_GB2312" w:eastAsia="仿宋_GB2312"/>
          <w:color w:val="000000"/>
          <w:sz w:val="32"/>
          <w:szCs w:val="32"/>
        </w:rPr>
        <w:t>截至</w:t>
      </w:r>
      <w:r>
        <w:rPr>
          <w:rFonts w:hint="eastAsia" w:ascii="仿宋_GB2312" w:eastAsia="仿宋_GB2312"/>
          <w:color w:val="000000"/>
          <w:sz w:val="32"/>
          <w:szCs w:val="32"/>
          <w:lang w:val="en-US" w:eastAsia="zh-CN"/>
        </w:rPr>
        <w:t>2021</w:t>
      </w:r>
      <w:r>
        <w:rPr>
          <w:rFonts w:hint="eastAsia" w:ascii="仿宋_GB2312" w:eastAsia="仿宋_GB2312"/>
          <w:color w:val="000000"/>
          <w:sz w:val="32"/>
          <w:szCs w:val="32"/>
        </w:rPr>
        <w:t>年</w:t>
      </w:r>
      <w:r>
        <w:rPr>
          <w:rFonts w:ascii="仿宋_GB2312" w:eastAsia="仿宋_GB2312"/>
          <w:color w:val="000000"/>
          <w:sz w:val="32"/>
          <w:szCs w:val="32"/>
        </w:rPr>
        <w:t>12</w:t>
      </w:r>
      <w:r>
        <w:rPr>
          <w:rFonts w:hint="eastAsia" w:ascii="仿宋_GB2312" w:eastAsia="仿宋_GB2312"/>
          <w:color w:val="000000"/>
          <w:sz w:val="32"/>
          <w:szCs w:val="32"/>
        </w:rPr>
        <w:t>月</w:t>
      </w:r>
      <w:r>
        <w:rPr>
          <w:rFonts w:ascii="仿宋_GB2312" w:eastAsia="仿宋_GB2312"/>
          <w:color w:val="000000"/>
          <w:sz w:val="32"/>
          <w:szCs w:val="32"/>
        </w:rPr>
        <w:t>31</w:t>
      </w:r>
      <w:r>
        <w:rPr>
          <w:rFonts w:hint="eastAsia" w:ascii="仿宋_GB2312" w:eastAsia="仿宋_GB2312"/>
          <w:color w:val="000000"/>
          <w:sz w:val="32"/>
          <w:szCs w:val="32"/>
        </w:rPr>
        <w:t>日，理县医疗保障局共有车辆</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辆，其中：主要领导干部用车0辆、机要通信用车</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辆、应急保障用车0辆、其他用车0辆，</w:t>
      </w:r>
      <w:r>
        <w:rPr>
          <w:rFonts w:hint="eastAsia" w:ascii="仿宋_GB2312" w:eastAsia="仿宋_GB2312"/>
          <w:color w:val="000000" w:themeColor="text1"/>
          <w:sz w:val="32"/>
          <w:szCs w:val="32"/>
          <w14:textFill>
            <w14:solidFill>
              <w14:schemeClr w14:val="tx1"/>
            </w14:solidFill>
          </w14:textFill>
        </w:rPr>
        <w:t>主要是用于单位开展日常业务工作，单价</w:t>
      </w:r>
      <w:r>
        <w:rPr>
          <w:rFonts w:ascii="仿宋_GB2312" w:eastAsia="仿宋_GB2312"/>
          <w:color w:val="000000" w:themeColor="text1"/>
          <w:sz w:val="32"/>
          <w:szCs w:val="32"/>
          <w14:textFill>
            <w14:solidFill>
              <w14:schemeClr w14:val="tx1"/>
            </w14:solidFill>
          </w14:textFill>
        </w:rPr>
        <w:t>50</w:t>
      </w:r>
      <w:r>
        <w:rPr>
          <w:rFonts w:hint="eastAsia" w:ascii="仿宋_GB2312" w:eastAsia="仿宋_GB2312"/>
          <w:color w:val="000000" w:themeColor="text1"/>
          <w:sz w:val="32"/>
          <w:szCs w:val="32"/>
          <w14:textFill>
            <w14:solidFill>
              <w14:schemeClr w14:val="tx1"/>
            </w14:solidFill>
          </w14:textFill>
        </w:rPr>
        <w:t>万元以上通用设备0台（套），单价</w:t>
      </w:r>
      <w:r>
        <w:rPr>
          <w:rFonts w:ascii="仿宋_GB2312" w:eastAsia="仿宋_GB2312"/>
          <w:color w:val="000000" w:themeColor="text1"/>
          <w:sz w:val="32"/>
          <w:szCs w:val="32"/>
          <w14:textFill>
            <w14:solidFill>
              <w14:schemeClr w14:val="tx1"/>
            </w14:solidFill>
          </w14:textFill>
        </w:rPr>
        <w:t>100</w:t>
      </w:r>
      <w:r>
        <w:rPr>
          <w:rFonts w:hint="eastAsia" w:ascii="仿宋_GB2312" w:eastAsia="仿宋_GB2312"/>
          <w:color w:val="000000"/>
          <w:sz w:val="32"/>
          <w:szCs w:val="32"/>
        </w:rPr>
        <w:t>万元以上专用设备0台（套）。</w:t>
      </w:r>
    </w:p>
    <w:p>
      <w:pPr>
        <w:pageBreakBefore w:val="0"/>
        <w:widowControl w:val="0"/>
        <w:kinsoku/>
        <w:wordWrap/>
        <w:overflowPunct/>
        <w:topLinePunct w:val="0"/>
        <w:autoSpaceDE w:val="0"/>
        <w:autoSpaceDN w:val="0"/>
        <w:bidi w:val="0"/>
        <w:adjustRightInd w:val="0"/>
        <w:spacing w:line="560" w:lineRule="exact"/>
        <w:ind w:firstLine="643" w:firstLineChars="200"/>
        <w:jc w:val="left"/>
        <w:textAlignment w:val="auto"/>
        <w:outlineLvl w:val="2"/>
        <w:rPr>
          <w:rFonts w:ascii="仿宋" w:hAnsi="仿宋" w:eastAsia="仿宋"/>
          <w:b/>
          <w:color w:val="000000"/>
          <w:sz w:val="32"/>
          <w:szCs w:val="32"/>
        </w:rPr>
      </w:pPr>
      <w:r>
        <w:rPr>
          <w:rFonts w:hint="eastAsia" w:ascii="仿宋" w:hAnsi="仿宋" w:eastAsia="仿宋"/>
          <w:b/>
          <w:color w:val="000000"/>
          <w:sz w:val="32"/>
          <w:szCs w:val="32"/>
        </w:rPr>
        <w:t>（四）预算绩效管理情况。</w:t>
      </w:r>
      <w:bookmarkEnd w:id="136"/>
      <w:bookmarkEnd w:id="137"/>
    </w:p>
    <w:p>
      <w:pPr>
        <w:pageBreakBefore w:val="0"/>
        <w:widowControl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根据预算绩效管理要求，本单位在年初预算编制阶段，组织对</w:t>
      </w:r>
      <w:r>
        <w:rPr>
          <w:rFonts w:hint="eastAsia" w:ascii="仿宋_GB2312" w:hAnsi="仿宋_GB2312" w:eastAsia="仿宋_GB2312" w:cs="仿宋_GB2312"/>
          <w:sz w:val="32"/>
          <w:szCs w:val="32"/>
          <w:lang w:val="en-US" w:eastAsia="zh-CN"/>
        </w:rPr>
        <w:t>2021年医疗服务与保障能力提升中央专项补助资金</w:t>
      </w:r>
      <w:r>
        <w:rPr>
          <w:rFonts w:hint="eastAsia" w:ascii="仿宋_GB2312" w:hAnsi="仿宋_GB2312" w:eastAsia="仿宋_GB2312" w:cs="仿宋_GB2312"/>
          <w:sz w:val="32"/>
          <w:szCs w:val="32"/>
        </w:rPr>
        <w:t>项目开展了预算事前绩效评估，对</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个项目开展绩效监控，年终执行完毕后，对</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个项目开展了绩效目标完成情况自评。</w:t>
      </w:r>
    </w:p>
    <w:p>
      <w:pPr>
        <w:pageBreakBefore w:val="0"/>
        <w:widowControl w:val="0"/>
        <w:kinsoku/>
        <w:wordWrap/>
        <w:overflowPunct/>
        <w:topLinePunct w:val="0"/>
        <w:bidi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本部门按要求对</w:t>
      </w:r>
      <w:r>
        <w:rPr>
          <w:rFonts w:ascii="仿宋_GB2312" w:hAnsi="仿宋_GB2312" w:eastAsia="仿宋_GB2312" w:cs="仿宋_GB2312"/>
          <w:sz w:val="32"/>
          <w:szCs w:val="32"/>
        </w:rPr>
        <w:t>202</w:t>
      </w:r>
      <w:r>
        <w:rPr>
          <w:rFonts w:hint="eastAsia" w:ascii="仿宋_GB2312" w:hAnsi="仿宋_GB2312" w:eastAsia="仿宋_GB2312" w:cs="仿宋_GB2312"/>
          <w:sz w:val="32"/>
          <w:szCs w:val="32"/>
        </w:rPr>
        <w:t>1年部门整体支出开展绩效自评，从评价情况来看</w:t>
      </w:r>
      <w:r>
        <w:rPr>
          <w:rFonts w:hint="eastAsia" w:ascii="仿宋_GB2312" w:hAnsi="仿宋_GB2312" w:eastAsia="仿宋_GB2312" w:cs="仿宋_GB2312"/>
          <w:sz w:val="32"/>
          <w:szCs w:val="32"/>
          <w:lang w:val="en-US" w:eastAsia="zh-CN"/>
        </w:rPr>
        <w:t>我局部门整体支出绩效自查自评结果良好，全年基本支出保障了部门的正常运行和工作的正常开展</w:t>
      </w:r>
      <w:r>
        <w:rPr>
          <w:rFonts w:hint="eastAsia" w:ascii="仿宋_GB2312" w:hAnsi="仿宋_GB2312" w:eastAsia="仿宋_GB2312" w:cs="仿宋_GB2312"/>
          <w:sz w:val="32"/>
          <w:szCs w:val="32"/>
        </w:rPr>
        <w:t>。本部门还自行组织了</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个项目支出绩效评价，从评价情况来看</w:t>
      </w:r>
      <w:r>
        <w:rPr>
          <w:rFonts w:hint="eastAsia" w:ascii="仿宋_GB2312" w:hAnsi="仿宋_GB2312" w:eastAsia="仿宋_GB2312" w:cs="仿宋_GB2312"/>
          <w:sz w:val="32"/>
          <w:szCs w:val="32"/>
          <w:lang w:val="en-US" w:eastAsia="zh-CN"/>
        </w:rPr>
        <w:t>项目支出保障了工作的开展，绩效目标得到较好实现，绩效管理水平得到提高，绩效目标体系得到不断丰富和实现</w:t>
      </w:r>
      <w:r>
        <w:rPr>
          <w:rFonts w:hint="eastAsia" w:ascii="仿宋_GB2312" w:hAnsi="仿宋_GB2312" w:eastAsia="仿宋_GB2312" w:cs="仿宋_GB2312"/>
          <w:sz w:val="32"/>
          <w:szCs w:val="32"/>
        </w:rPr>
        <w:t>。</w:t>
      </w:r>
    </w:p>
    <w:p>
      <w:pPr>
        <w:pageBreakBefore w:val="0"/>
        <w:widowControl w:val="0"/>
        <w:kinsoku/>
        <w:wordWrap/>
        <w:overflowPunct/>
        <w:topLinePunct w:val="0"/>
        <w:bidi w:val="0"/>
        <w:spacing w:line="560" w:lineRule="exact"/>
        <w:ind w:firstLine="640" w:firstLineChars="200"/>
        <w:textAlignment w:val="auto"/>
        <w:rPr>
          <w:rFonts w:hint="eastAsia" w:ascii="楷体_GB2312" w:hAnsi="楷体_GB2312" w:eastAsia="楷体_GB2312" w:cs="楷体_GB2312"/>
          <w:sz w:val="32"/>
          <w:szCs w:val="32"/>
          <w:lang w:eastAsia="zh-CN"/>
        </w:rPr>
      </w:pPr>
      <w:r>
        <w:rPr>
          <w:rFonts w:ascii="楷体_GB2312" w:hAnsi="楷体_GB2312" w:eastAsia="楷体_GB2312" w:cs="楷体_GB2312"/>
          <w:sz w:val="32"/>
          <w:szCs w:val="32"/>
        </w:rPr>
        <w:t>1.</w:t>
      </w:r>
      <w:r>
        <w:rPr>
          <w:rFonts w:hint="eastAsia" w:ascii="楷体_GB2312" w:hAnsi="楷体_GB2312" w:eastAsia="楷体_GB2312" w:cs="楷体_GB2312"/>
          <w:sz w:val="32"/>
          <w:szCs w:val="32"/>
        </w:rPr>
        <w:t>项目绩效目标完成情况。</w:t>
      </w:r>
    </w:p>
    <w:p>
      <w:pPr>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本部门在2021年度部门决算中反映“</w:t>
      </w:r>
      <w:r>
        <w:rPr>
          <w:rFonts w:hint="eastAsia" w:ascii="仿宋_GB2312" w:hAnsi="仿宋_GB2312" w:eastAsia="仿宋_GB2312" w:cs="仿宋_GB2312"/>
          <w:sz w:val="32"/>
          <w:szCs w:val="32"/>
          <w:lang w:val="en-US" w:eastAsia="zh-CN"/>
        </w:rPr>
        <w:t>2021年医疗服务与保障能力提升中央专项补助资金</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个项目绩效目标实际完成情况。</w:t>
      </w:r>
    </w:p>
    <w:p>
      <w:pPr>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2021年医疗服务与保障能力提升中央专项补助资金</w:t>
      </w:r>
      <w:r>
        <w:rPr>
          <w:rFonts w:hint="eastAsia" w:ascii="仿宋_GB2312" w:hAnsi="仿宋_GB2312" w:eastAsia="仿宋_GB2312" w:cs="仿宋_GB2312"/>
          <w:sz w:val="32"/>
          <w:szCs w:val="32"/>
        </w:rPr>
        <w:t>项目绩效目标完成情况综述。项目全年预算数</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。通过项目实施，</w:t>
      </w:r>
      <w:r>
        <w:rPr>
          <w:rFonts w:hint="eastAsia" w:ascii="仿宋_GB2312" w:hAnsi="仿宋_GB2312" w:eastAsia="仿宋_GB2312" w:cs="仿宋_GB2312"/>
          <w:sz w:val="32"/>
          <w:szCs w:val="32"/>
          <w:lang w:val="en-US" w:eastAsia="zh-CN"/>
        </w:rPr>
        <w:t>充分调动、发挥医务人员积极性、主动性，对提高医疗服务质量和效率，保障医疗安全，建立优质高效的医疗卫生服务体系，维护社会和谐稳定具有十分重要的意义。</w:t>
      </w:r>
      <w:r>
        <w:rPr>
          <w:rFonts w:hint="eastAsia" w:ascii="仿宋_GB2312" w:hAnsi="仿宋_GB2312" w:eastAsia="仿宋_GB2312" w:cs="仿宋_GB2312"/>
          <w:sz w:val="32"/>
          <w:szCs w:val="32"/>
        </w:rPr>
        <w:t>发现的主要问题：</w:t>
      </w:r>
      <w:r>
        <w:rPr>
          <w:rFonts w:hint="eastAsia" w:ascii="仿宋_GB2312" w:hAnsi="仿宋_GB2312" w:eastAsia="仿宋_GB2312" w:cs="仿宋_GB2312"/>
          <w:sz w:val="32"/>
          <w:szCs w:val="32"/>
          <w:lang w:val="en-US" w:eastAsia="zh-CN"/>
        </w:rPr>
        <w:t>无</w:t>
      </w:r>
      <w:r>
        <w:rPr>
          <w:rFonts w:hint="eastAsia" w:ascii="仿宋_GB2312" w:hAnsi="仿宋_GB2312" w:eastAsia="仿宋_GB2312" w:cs="仿宋_GB2312"/>
          <w:sz w:val="32"/>
          <w:szCs w:val="32"/>
        </w:rPr>
        <w:t>。下一步改进措施：</w:t>
      </w:r>
      <w:r>
        <w:rPr>
          <w:rFonts w:hint="eastAsia" w:ascii="仿宋_GB2312" w:hAnsi="仿宋_GB2312" w:eastAsia="仿宋_GB2312" w:cs="仿宋_GB2312"/>
          <w:sz w:val="32"/>
          <w:szCs w:val="32"/>
          <w:lang w:val="en-US" w:eastAsia="zh-CN"/>
        </w:rPr>
        <w:t>无。</w:t>
      </w:r>
    </w:p>
    <w:tbl>
      <w:tblPr>
        <w:tblStyle w:val="23"/>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noWrap w:val="0"/>
            <w:tcMar>
              <w:top w:w="15" w:type="dxa"/>
              <w:left w:w="15" w:type="dxa"/>
              <w:right w:w="15" w:type="dxa"/>
            </w:tcMar>
            <w:vAlign w:val="center"/>
          </w:tcPr>
          <w:p>
            <w:pPr>
              <w:widowControl/>
              <w:jc w:val="center"/>
              <w:textAlignment w:val="center"/>
              <w:rPr>
                <w:rFonts w:hint="eastAsia" w:ascii="宋体" w:hAnsi="宋体" w:eastAsia="宋体" w:cs="宋体"/>
                <w:b/>
                <w:bCs/>
                <w:color w:val="000000"/>
                <w:kern w:val="0"/>
                <w:sz w:val="36"/>
                <w:szCs w:val="36"/>
                <w:lang w:eastAsia="zh-CN"/>
              </w:rPr>
            </w:pPr>
            <w:r>
              <w:rPr>
                <w:rFonts w:hint="eastAsia" w:ascii="宋体" w:hAnsi="宋体" w:cs="宋体"/>
                <w:b/>
                <w:bCs/>
                <w:color w:val="000000"/>
                <w:kern w:val="0"/>
                <w:sz w:val="36"/>
                <w:szCs w:val="36"/>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rPr>
              <w:t>(202</w:t>
            </w:r>
            <w:r>
              <w:rPr>
                <w:rFonts w:hint="eastAsia" w:ascii="宋体" w:hAnsi="宋体" w:cs="宋体"/>
                <w:color w:val="000000"/>
                <w:kern w:val="0"/>
                <w:sz w:val="36"/>
                <w:szCs w:val="36"/>
              </w:rPr>
              <w:t>1年度</w:t>
            </w:r>
            <w:r>
              <w:rPr>
                <w:rFonts w:ascii="宋体" w:hAnsi="宋体" w:cs="宋体"/>
                <w:color w:val="000000"/>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Times New Roman" w:cs="宋体"/>
                <w:color w:val="000000"/>
                <w:sz w:val="24"/>
                <w:lang w:val="en-US" w:eastAsia="zh-CN"/>
              </w:rPr>
              <w:t>2021年医疗服务与保障能力提升中央专项补助资金</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理县医疗保障局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预算执行情况</w:t>
            </w:r>
            <w:r>
              <w:rPr>
                <w:rFonts w:ascii="宋体" w:hAnsi="宋体" w:cs="宋体"/>
                <w:color w:val="000000"/>
                <w:kern w:val="0"/>
                <w:sz w:val="24"/>
              </w:rPr>
              <w:t>(</w:t>
            </w:r>
            <w:r>
              <w:rPr>
                <w:rFonts w:hint="eastAsia" w:ascii="宋体" w:hAnsi="宋体" w:cs="宋体"/>
                <w:color w:val="000000"/>
                <w:kern w:val="0"/>
                <w:sz w:val="24"/>
              </w:rPr>
              <w:t>万元</w:t>
            </w:r>
            <w:r>
              <w:rPr>
                <w:rFonts w:ascii="宋体" w:hAnsi="宋体" w:cs="宋体"/>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8万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执行数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cs="宋体"/>
                <w:i w:val="0"/>
                <w:iCs w:val="0"/>
                <w:color w:val="000000"/>
                <w:kern w:val="2"/>
                <w:sz w:val="22"/>
                <w:szCs w:val="22"/>
                <w:u w:val="none"/>
                <w:lang w:val="en-US" w:eastAsia="zh-CN" w:bidi="ar-SA"/>
              </w:rPr>
              <w:t>8</w:t>
            </w:r>
            <w:r>
              <w:rPr>
                <w:rFonts w:hint="eastAsia" w:ascii="宋体" w:hAnsi="宋体" w:eastAsia="宋体" w:cs="宋体"/>
                <w:i w:val="0"/>
                <w:iCs w:val="0"/>
                <w:color w:val="000000"/>
                <w:kern w:val="2"/>
                <w:sz w:val="22"/>
                <w:szCs w:val="22"/>
                <w:u w:val="none"/>
                <w:lang w:val="en-US" w:eastAsia="zh-CN" w:bidi="ar-SA"/>
              </w:rPr>
              <w:t>万</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8万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8万</w:t>
            </w: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宋体" w:cs="宋体"/>
                <w:color w:val="000000"/>
                <w:sz w:val="24"/>
                <w:lang w:val="en-US" w:eastAsia="zh-CN"/>
              </w:rPr>
            </w:pPr>
            <w:r>
              <w:rPr>
                <w:rFonts w:hint="eastAsia" w:ascii="宋体" w:cs="宋体"/>
                <w:color w:val="000000"/>
                <w:sz w:val="24"/>
                <w:lang w:val="en-US" w:eastAsia="zh-CN"/>
              </w:rPr>
              <w:t>0</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eastAsia="宋体" w:cs="宋体"/>
                <w:color w:val="000000"/>
                <w:sz w:val="24"/>
                <w:lang w:val="en-US" w:eastAsia="zh-CN"/>
              </w:rPr>
            </w:pPr>
            <w:r>
              <w:rPr>
                <w:rFonts w:hint="eastAsia" w:ascii="宋体" w:cs="宋体"/>
                <w:color w:val="000000"/>
                <w:sz w:val="24"/>
                <w:lang w:val="en-US" w:eastAsia="zh-CN"/>
              </w:rPr>
              <w:t>0</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cs="宋体"/>
                <w:color w:val="000000"/>
                <w:sz w:val="24"/>
                <w:lang w:val="en-US"/>
              </w:rPr>
            </w:pPr>
            <w:r>
              <w:rPr>
                <w:rFonts w:hint="eastAsia" w:ascii="宋体" w:hAnsi="Times New Roman" w:cs="宋体"/>
                <w:color w:val="000000"/>
                <w:sz w:val="24"/>
                <w:lang w:val="en-US" w:eastAsia="zh-CN"/>
              </w:rPr>
              <w:t>充分调动、发挥医务人员积极性、主动性，对提高医疗服务质量和效率，保障医疗安全，建立优质高效的医疗卫生服务体系，维护社会和谐稳定。</w:t>
            </w:r>
          </w:p>
        </w:tc>
        <w:tc>
          <w:tcPr>
            <w:tcW w:w="478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Times New Roman" w:cs="宋体"/>
                <w:color w:val="000000"/>
                <w:sz w:val="24"/>
                <w:lang w:val="en-US" w:eastAsia="zh-CN"/>
              </w:rPr>
              <w:t>充分调动、发挥医务人员积极性、主动性，对提高医疗服务质量和效率，保障医疗安全，建立优质高效的医疗卫生服务体系，维护社会和谐稳定。</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宋体" w:cs="宋体"/>
                <w:color w:val="000000"/>
                <w:kern w:val="0"/>
                <w:sz w:val="24"/>
                <w:lang w:eastAsia="zh-CN"/>
              </w:rPr>
            </w:pPr>
            <w:r>
              <w:rPr>
                <w:rFonts w:hint="eastAsia" w:ascii="宋体" w:cs="宋体"/>
                <w:color w:val="000000"/>
                <w:kern w:val="0"/>
                <w:sz w:val="24"/>
                <w:lang w:eastAsia="zh-CN"/>
              </w:rPr>
              <w:t>产出指标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eastAsia="宋体" w:cs="宋体"/>
                <w:color w:val="000000"/>
                <w:sz w:val="24"/>
                <w:lang w:eastAsia="zh-CN"/>
              </w:rPr>
            </w:pPr>
            <w:r>
              <w:rPr>
                <w:rFonts w:hint="eastAsia" w:ascii="宋体" w:hAnsi="宋体" w:eastAsia="宋体" w:cs="宋体"/>
                <w:i w:val="0"/>
                <w:iCs w:val="0"/>
                <w:color w:val="000000"/>
                <w:kern w:val="0"/>
                <w:sz w:val="20"/>
                <w:szCs w:val="20"/>
                <w:u w:val="none"/>
                <w:lang w:val="en-US" w:eastAsia="zh-CN" w:bidi="ar"/>
              </w:rPr>
              <w:t>数量指标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Times New Roman" w:cs="宋体"/>
                <w:color w:val="000000"/>
                <w:kern w:val="0"/>
                <w:sz w:val="24"/>
                <w:lang w:val="en-US" w:eastAsia="zh-CN"/>
              </w:rPr>
            </w:pPr>
            <w:r>
              <w:rPr>
                <w:rFonts w:hint="eastAsia" w:ascii="宋体" w:hAnsi="Times New Roman" w:cs="宋体"/>
                <w:color w:val="000000"/>
                <w:kern w:val="0"/>
                <w:sz w:val="24"/>
                <w:lang w:val="en-US" w:eastAsia="zh-CN"/>
              </w:rPr>
              <w:t>开展全县医保政策宣传活动次数</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Times New Roman" w:cs="宋体"/>
                <w:color w:val="000000"/>
                <w:kern w:val="0"/>
                <w:sz w:val="24"/>
                <w:lang w:val="en-US" w:eastAsia="zh-CN"/>
              </w:rPr>
            </w:pPr>
            <w:r>
              <w:rPr>
                <w:rFonts w:hint="eastAsia" w:ascii="宋体" w:hAnsi="Times New Roman" w:cs="宋体"/>
                <w:color w:val="000000"/>
                <w:kern w:val="0"/>
                <w:sz w:val="24"/>
                <w:lang w:val="en-US" w:eastAsia="zh-CN"/>
              </w:rPr>
              <w:t>≥10</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hAnsi="Times New Roman" w:cs="宋体"/>
                <w:color w:val="000000"/>
                <w:kern w:val="0"/>
                <w:sz w:val="24"/>
                <w:lang w:val="en-US" w:eastAsia="zh-CN"/>
              </w:rPr>
            </w:pPr>
            <w:r>
              <w:rPr>
                <w:rFonts w:hint="eastAsia" w:ascii="宋体" w:hAnsi="Times New Roman" w:cs="宋体"/>
                <w:color w:val="000000"/>
                <w:kern w:val="0"/>
                <w:sz w:val="24"/>
                <w:lang w:val="en-US" w:eastAsia="zh-CN"/>
              </w:rPr>
              <w:t>≥10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效益指标</w:t>
            </w:r>
          </w:p>
          <w:p>
            <w:pPr>
              <w:widowControl/>
              <w:jc w:val="center"/>
              <w:textAlignment w:val="center"/>
              <w:rPr>
                <w:rFonts w:ascii="宋体" w:cs="宋体"/>
                <w:color w:val="000000"/>
                <w:sz w:val="24"/>
              </w:rPr>
            </w:pP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宋体" w:cs="宋体"/>
                <w:color w:val="000000"/>
                <w:sz w:val="24"/>
                <w:lang w:eastAsia="zh-CN"/>
              </w:rPr>
            </w:pPr>
            <w:r>
              <w:rPr>
                <w:rFonts w:hint="eastAsia" w:ascii="宋体" w:cs="宋体"/>
                <w:color w:val="000000"/>
                <w:sz w:val="24"/>
                <w:lang w:eastAsia="zh-CN"/>
              </w:rPr>
              <w:t>经济效益</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宋体" w:cs="宋体"/>
                <w:color w:val="000000"/>
                <w:sz w:val="24"/>
                <w:lang w:eastAsia="zh-CN"/>
              </w:rPr>
            </w:pPr>
            <w:r>
              <w:rPr>
                <w:rFonts w:hint="eastAsia" w:ascii="宋体" w:hAnsi="Times New Roman" w:cs="宋体"/>
                <w:color w:val="000000"/>
                <w:sz w:val="24"/>
                <w:lang w:val="en-US" w:eastAsia="zh-CN"/>
              </w:rPr>
              <w:t>落实各级各类医疗机构功能定位</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各级医疗机构经济效益提升率提升95%</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各级医疗机构经济效益提升率实际提升95%</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生态效益指标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宋体" w:cs="宋体"/>
                <w:color w:val="000000"/>
                <w:sz w:val="24"/>
                <w:lang w:eastAsia="zh-CN"/>
              </w:rPr>
            </w:pPr>
            <w:r>
              <w:rPr>
                <w:rFonts w:hint="eastAsia" w:ascii="宋体" w:hAnsi="Times New Roman" w:cs="宋体"/>
                <w:color w:val="000000"/>
                <w:sz w:val="24"/>
                <w:lang w:val="en-US" w:eastAsia="zh-CN"/>
              </w:rPr>
              <w:t>加强医疗卫生服务体系和能力建设</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医疗环境卫生提升90%</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医疗</w:t>
            </w:r>
            <w:r>
              <w:rPr>
                <w:rFonts w:hint="eastAsia" w:ascii="宋体" w:cs="宋体"/>
                <w:color w:val="000000"/>
                <w:sz w:val="24"/>
                <w:lang w:eastAsia="zh-CN"/>
              </w:rPr>
              <w:t>环境卫生实际提升</w:t>
            </w:r>
            <w:r>
              <w:rPr>
                <w:rFonts w:hint="eastAsia" w:ascii="宋体" w:cs="宋体"/>
                <w:color w:val="000000"/>
                <w:sz w:val="24"/>
                <w:lang w:val="en-US" w:eastAsia="zh-CN"/>
              </w:rPr>
              <w:t>90%</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eastAsia="宋体" w:cs="宋体"/>
                <w:color w:val="000000"/>
                <w:sz w:val="24"/>
                <w:lang w:eastAsia="zh-CN"/>
              </w:rPr>
            </w:pPr>
            <w:r>
              <w:rPr>
                <w:rFonts w:hint="eastAsia" w:ascii="宋体" w:cs="宋体"/>
                <w:color w:val="000000"/>
                <w:sz w:val="24"/>
                <w:lang w:eastAsia="zh-CN"/>
              </w:rPr>
              <w:t>社会效益</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ascii="宋体" w:cs="宋体"/>
                <w:color w:val="000000"/>
                <w:sz w:val="24"/>
              </w:rPr>
            </w:pPr>
            <w:r>
              <w:rPr>
                <w:rFonts w:hint="eastAsia" w:ascii="宋体" w:hAnsi="宋体" w:eastAsia="宋体" w:cs="宋体"/>
                <w:i w:val="0"/>
                <w:iCs w:val="0"/>
                <w:color w:val="000000"/>
                <w:kern w:val="0"/>
                <w:sz w:val="20"/>
                <w:szCs w:val="20"/>
                <w:u w:val="none"/>
                <w:lang w:val="en-US" w:eastAsia="zh-CN" w:bidi="ar"/>
              </w:rPr>
              <w:t>参保群众政策知晓率</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eastAsia="宋体" w:cs="宋体"/>
                <w:color w:val="000000"/>
                <w:sz w:val="24"/>
                <w:lang w:val="en-US" w:eastAsia="zh-CN"/>
              </w:rPr>
            </w:pPr>
            <w:r>
              <w:rPr>
                <w:rFonts w:hint="eastAsia" w:ascii="宋体" w:hAnsi="宋体" w:eastAsia="宋体" w:cs="宋体"/>
                <w:i w:val="0"/>
                <w:iCs w:val="0"/>
                <w:color w:val="000000"/>
                <w:kern w:val="0"/>
                <w:sz w:val="20"/>
                <w:szCs w:val="20"/>
                <w:u w:val="none"/>
                <w:lang w:val="en-US" w:eastAsia="zh-CN" w:bidi="ar"/>
              </w:rPr>
              <w:t>≥98%</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eastAsia="宋体" w:cs="宋体"/>
                <w:color w:val="000000"/>
                <w:sz w:val="24"/>
                <w:lang w:val="en-US" w:eastAsia="zh-CN"/>
              </w:rPr>
            </w:pPr>
            <w:r>
              <w:rPr>
                <w:rFonts w:hint="eastAsia" w:ascii="宋体" w:hAnsi="宋体" w:eastAsia="宋体" w:cs="宋体"/>
                <w:i w:val="0"/>
                <w:iCs w:val="0"/>
                <w:color w:val="000000"/>
                <w:kern w:val="0"/>
                <w:sz w:val="20"/>
                <w:szCs w:val="20"/>
                <w:u w:val="none"/>
                <w:lang w:val="en-US" w:eastAsia="zh-CN" w:bidi="ar"/>
              </w:rPr>
              <w:t>≥98%</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服务对象满意度指标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ascii="宋体" w:cs="宋体"/>
                <w:color w:val="000000"/>
                <w:sz w:val="24"/>
              </w:rPr>
            </w:pPr>
            <w:r>
              <w:rPr>
                <w:rFonts w:hint="eastAsia" w:ascii="宋体" w:hAnsi="宋体" w:eastAsia="宋体" w:cs="宋体"/>
                <w:i w:val="0"/>
                <w:iCs w:val="0"/>
                <w:color w:val="000000"/>
                <w:kern w:val="0"/>
                <w:sz w:val="20"/>
                <w:szCs w:val="20"/>
                <w:u w:val="none"/>
                <w:lang w:val="en-US" w:eastAsia="zh-CN" w:bidi="ar"/>
              </w:rPr>
              <w:t>参保人员对医保服务的满意度</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eastAsia="宋体" w:cs="宋体"/>
                <w:color w:val="000000"/>
                <w:sz w:val="24"/>
                <w:lang w:val="en-US" w:eastAsia="zh-CN"/>
              </w:rPr>
            </w:pPr>
            <w:r>
              <w:rPr>
                <w:rFonts w:hint="eastAsia" w:ascii="宋体" w:hAnsi="宋体" w:eastAsia="宋体" w:cs="宋体"/>
                <w:i w:val="0"/>
                <w:iCs w:val="0"/>
                <w:color w:val="000000"/>
                <w:kern w:val="0"/>
                <w:sz w:val="20"/>
                <w:szCs w:val="20"/>
                <w:u w:val="none"/>
                <w:lang w:val="en-US" w:eastAsia="zh-CN" w:bidi="ar"/>
              </w:rPr>
              <w:t>≥98%</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ascii="宋体" w:cs="宋体"/>
                <w:color w:val="000000"/>
                <w:sz w:val="24"/>
              </w:rPr>
            </w:pPr>
            <w:r>
              <w:rPr>
                <w:rFonts w:hint="eastAsia" w:ascii="宋体" w:hAnsi="宋体" w:eastAsia="宋体" w:cs="宋体"/>
                <w:i w:val="0"/>
                <w:iCs w:val="0"/>
                <w:color w:val="000000"/>
                <w:kern w:val="0"/>
                <w:sz w:val="20"/>
                <w:szCs w:val="20"/>
                <w:u w:val="none"/>
                <w:lang w:val="en-US" w:eastAsia="zh-CN" w:bidi="ar"/>
              </w:rPr>
              <w:t>≥98%</w:t>
            </w:r>
          </w:p>
        </w:tc>
      </w:tr>
      <w:tr>
        <w:tblPrEx>
          <w:tblCellMar>
            <w:top w:w="0" w:type="dxa"/>
            <w:left w:w="0" w:type="dxa"/>
            <w:bottom w:w="0" w:type="dxa"/>
            <w:right w:w="0" w:type="dxa"/>
          </w:tblCellMar>
        </w:tblPrEx>
        <w:trPr>
          <w:trHeight w:val="1297" w:hRule="atLeast"/>
          <w:jc w:val="center"/>
        </w:trPr>
        <w:tc>
          <w:tcPr>
            <w:tcW w:w="390" w:type="dxa"/>
            <w:tcBorders>
              <w:left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p>
        </w:tc>
        <w:tc>
          <w:tcPr>
            <w:tcW w:w="1367"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4"/>
              </w:rPr>
            </w:pPr>
          </w:p>
        </w:tc>
        <w:tc>
          <w:tcPr>
            <w:tcW w:w="10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服务对象满意度指标</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医疗机构</w:t>
            </w:r>
            <w:r>
              <w:rPr>
                <w:rFonts w:hint="eastAsia" w:ascii="宋体" w:cs="宋体"/>
                <w:color w:val="000000"/>
                <w:sz w:val="24"/>
              </w:rPr>
              <w:t>满意度</w:t>
            </w:r>
          </w:p>
        </w:tc>
        <w:tc>
          <w:tcPr>
            <w:tcW w:w="23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default" w:ascii="宋体" w:eastAsia="宋体" w:cs="宋体"/>
                <w:color w:val="000000"/>
                <w:sz w:val="24"/>
                <w:lang w:val="en-US" w:eastAsia="zh-CN"/>
              </w:rPr>
            </w:pPr>
            <w:r>
              <w:rPr>
                <w:rFonts w:hint="eastAsia" w:ascii="宋体" w:cs="宋体"/>
                <w:color w:val="000000"/>
                <w:sz w:val="24"/>
                <w:lang w:val="en-US" w:eastAsia="zh-CN"/>
              </w:rPr>
              <w:t>医疗机构</w:t>
            </w:r>
            <w:r>
              <w:rPr>
                <w:rFonts w:hint="eastAsia" w:ascii="宋体" w:cs="宋体"/>
                <w:color w:val="000000"/>
                <w:sz w:val="24"/>
              </w:rPr>
              <w:t>满意度≥</w:t>
            </w:r>
            <w:r>
              <w:rPr>
                <w:rFonts w:hint="eastAsia" w:ascii="宋体" w:cs="宋体"/>
                <w:color w:val="000000"/>
                <w:sz w:val="24"/>
                <w:lang w:val="en-US" w:eastAsia="zh-CN"/>
              </w:rPr>
              <w:t>90%</w:t>
            </w:r>
          </w:p>
        </w:tc>
        <w:tc>
          <w:tcPr>
            <w:tcW w:w="23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lang w:val="en-US" w:eastAsia="zh-CN"/>
              </w:rPr>
              <w:t>医疗机构</w:t>
            </w:r>
            <w:r>
              <w:rPr>
                <w:rFonts w:hint="eastAsia" w:ascii="宋体" w:cs="宋体"/>
                <w:color w:val="000000"/>
                <w:sz w:val="24"/>
              </w:rPr>
              <w:t>满意度</w:t>
            </w:r>
            <w:r>
              <w:rPr>
                <w:rFonts w:hint="eastAsia" w:ascii="宋体" w:cs="宋体"/>
                <w:color w:val="000000"/>
                <w:sz w:val="24"/>
                <w:lang w:eastAsia="zh-CN"/>
              </w:rPr>
              <w:t>实际</w:t>
            </w:r>
            <w:r>
              <w:rPr>
                <w:rFonts w:hint="eastAsia" w:ascii="宋体" w:cs="宋体"/>
                <w:color w:val="000000"/>
                <w:sz w:val="24"/>
              </w:rPr>
              <w:t>≥</w:t>
            </w:r>
            <w:r>
              <w:rPr>
                <w:rFonts w:hint="eastAsia" w:ascii="宋体" w:cs="宋体"/>
                <w:color w:val="000000"/>
                <w:sz w:val="24"/>
                <w:lang w:val="en-US" w:eastAsia="zh-CN"/>
              </w:rPr>
              <w:t>90%</w:t>
            </w:r>
          </w:p>
        </w:tc>
      </w:tr>
    </w:tbl>
    <w:p/>
    <w:p>
      <w:pPr>
        <w:spacing w:line="580" w:lineRule="exact"/>
        <w:ind w:left="630"/>
        <w:rPr>
          <w:rFonts w:ascii="仿宋_GB2312" w:hAnsi="仿宋_GB2312" w:eastAsia="仿宋_GB2312" w:cs="仿宋_GB2312"/>
          <w:sz w:val="32"/>
          <w:szCs w:val="32"/>
        </w:rPr>
      </w:pPr>
      <w:r>
        <w:rPr>
          <w:rFonts w:ascii="楷体_GB2312" w:hAnsi="楷体_GB2312" w:eastAsia="楷体_GB2312" w:cs="楷体_GB2312"/>
          <w:sz w:val="32"/>
          <w:szCs w:val="32"/>
        </w:rPr>
        <w:t>2.</w:t>
      </w:r>
      <w:r>
        <w:rPr>
          <w:rFonts w:hint="eastAsia" w:ascii="楷体_GB2312" w:hAnsi="楷体_GB2312" w:eastAsia="楷体_GB2312" w:cs="楷体_GB2312"/>
          <w:sz w:val="32"/>
          <w:szCs w:val="32"/>
        </w:rPr>
        <w:t>部门绩效评价结果。</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本部门按要求对</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年部门整体支出绩效评价情况开展自评，《</w:t>
      </w:r>
      <w:r>
        <w:rPr>
          <w:rFonts w:hint="eastAsia" w:ascii="仿宋_GB2312" w:eastAsia="仿宋_GB2312"/>
          <w:color w:val="000000"/>
          <w:sz w:val="32"/>
          <w:szCs w:val="32"/>
          <w:lang w:eastAsia="zh-CN"/>
        </w:rPr>
        <w:t>理县</w:t>
      </w:r>
      <w:r>
        <w:rPr>
          <w:rFonts w:hint="eastAsia" w:ascii="仿宋_GB2312" w:eastAsia="仿宋_GB2312"/>
          <w:color w:val="000000"/>
          <w:sz w:val="32"/>
          <w:szCs w:val="32"/>
        </w:rPr>
        <w:t>县医疗保障局</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年部门整体支出绩效评价报告》见附件（附件1）。</w:t>
      </w:r>
    </w:p>
    <w:p>
      <w:pPr>
        <w:spacing w:line="580" w:lineRule="exact"/>
        <w:ind w:firstLine="640" w:firstLineChars="200"/>
        <w:rPr>
          <w:rFonts w:ascii="仿宋_GB2312" w:eastAsia="仿宋_GB2312"/>
          <w:b/>
          <w:color w:val="000000"/>
          <w:sz w:val="32"/>
          <w:szCs w:val="32"/>
        </w:rPr>
      </w:pPr>
      <w:r>
        <w:rPr>
          <w:rFonts w:hint="eastAsia" w:ascii="仿宋_GB2312" w:hAnsi="仿宋_GB2312" w:eastAsia="仿宋_GB2312" w:cs="仿宋_GB2312"/>
          <w:sz w:val="32"/>
          <w:szCs w:val="32"/>
        </w:rPr>
        <w:t>本部门自行组织对</w:t>
      </w:r>
      <w:r>
        <w:rPr>
          <w:rFonts w:hint="eastAsia" w:ascii="仿宋_GB2312" w:hAnsi="仿宋_GB2312" w:eastAsia="仿宋_GB2312" w:cs="仿宋_GB2312"/>
          <w:sz w:val="32"/>
          <w:szCs w:val="32"/>
          <w:lang w:val="en-US" w:eastAsia="zh-CN"/>
        </w:rPr>
        <w:t>2021年医疗服务与保障能力提升中央专项补助资金</w:t>
      </w:r>
      <w:r>
        <w:rPr>
          <w:rFonts w:hint="eastAsia" w:ascii="仿宋_GB2312" w:hAnsi="仿宋_GB2312" w:eastAsia="仿宋_GB2312" w:cs="仿宋_GB2312"/>
          <w:sz w:val="32"/>
          <w:szCs w:val="32"/>
        </w:rPr>
        <w:t>项目开展了绩效评价，《</w:t>
      </w:r>
      <w:r>
        <w:rPr>
          <w:rFonts w:hint="eastAsia" w:ascii="仿宋_GB2312" w:hAnsi="仿宋_GB2312" w:eastAsia="仿宋_GB2312" w:cs="仿宋_GB2312"/>
          <w:sz w:val="32"/>
          <w:szCs w:val="32"/>
          <w:lang w:val="en-US" w:eastAsia="zh-CN"/>
        </w:rPr>
        <w:t>2021年医疗服务与保障能力提升中央专项补助资金项目绩效自评报告</w:t>
      </w:r>
      <w:r>
        <w:rPr>
          <w:rFonts w:hint="eastAsia" w:ascii="仿宋_GB2312" w:hAnsi="仿宋_GB2312" w:eastAsia="仿宋_GB2312" w:cs="仿宋_GB2312"/>
          <w:sz w:val="32"/>
          <w:szCs w:val="32"/>
        </w:rPr>
        <w:t>》见附件（附件</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w:t>
      </w:r>
    </w:p>
    <w:p>
      <w:pPr>
        <w:widowControl/>
        <w:jc w:val="left"/>
        <w:rPr>
          <w:rFonts w:ascii="仿宋_GB2312" w:eastAsia="仿宋_GB2312"/>
          <w:b/>
          <w:color w:val="000000"/>
          <w:sz w:val="32"/>
          <w:szCs w:val="32"/>
        </w:rPr>
      </w:pPr>
      <w:r>
        <w:rPr>
          <w:rFonts w:ascii="仿宋_GB2312" w:eastAsia="仿宋_GB2312"/>
          <w:b/>
          <w:color w:val="000000"/>
          <w:sz w:val="32"/>
          <w:szCs w:val="32"/>
        </w:rPr>
        <w:br w:type="page"/>
      </w:r>
    </w:p>
    <w:p>
      <w:pPr>
        <w:numPr>
          <w:ilvl w:val="0"/>
          <w:numId w:val="5"/>
        </w:numPr>
        <w:spacing w:line="600" w:lineRule="exact"/>
        <w:ind w:firstLine="660" w:firstLineChars="150"/>
        <w:jc w:val="center"/>
        <w:outlineLvl w:val="0"/>
        <w:rPr>
          <w:rStyle w:val="28"/>
          <w:rFonts w:ascii="黑体" w:hAnsi="黑体" w:eastAsia="黑体"/>
          <w:b w:val="0"/>
        </w:rPr>
      </w:pPr>
      <w:bookmarkStart w:id="138" w:name="_Toc79163629"/>
      <w:bookmarkStart w:id="139" w:name="_Toc15377225"/>
      <w:bookmarkStart w:id="140" w:name="_Toc79163879"/>
      <w:bookmarkStart w:id="141" w:name="_Toc15396613"/>
      <w:r>
        <w:rPr>
          <w:rFonts w:hint="eastAsia" w:ascii="黑体" w:hAnsi="黑体" w:eastAsia="黑体"/>
          <w:color w:val="000000"/>
          <w:sz w:val="44"/>
          <w:szCs w:val="44"/>
        </w:rPr>
        <w:t>名</w:t>
      </w:r>
      <w:r>
        <w:rPr>
          <w:rStyle w:val="28"/>
          <w:rFonts w:hint="eastAsia" w:ascii="黑体" w:hAnsi="黑体" w:eastAsia="黑体"/>
          <w:b w:val="0"/>
        </w:rPr>
        <w:t>词解释</w:t>
      </w:r>
      <w:bookmarkEnd w:id="138"/>
      <w:bookmarkEnd w:id="139"/>
      <w:bookmarkEnd w:id="140"/>
      <w:bookmarkEnd w:id="141"/>
    </w:p>
    <w:p>
      <w:pPr>
        <w:spacing w:line="600" w:lineRule="exact"/>
        <w:jc w:val="left"/>
        <w:rPr>
          <w:rFonts w:ascii="宋体"/>
          <w:b/>
          <w:color w:val="000000"/>
          <w:sz w:val="44"/>
          <w:szCs w:val="44"/>
        </w:rPr>
      </w:pPr>
    </w:p>
    <w:p>
      <w:pPr>
        <w:pStyle w:val="37"/>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37"/>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事业收入：指事业单位开展专业业务活动及辅助活动取得的收入。（二级预算单位事业收入情况）等。</w:t>
      </w:r>
    </w:p>
    <w:p>
      <w:pPr>
        <w:pStyle w:val="37"/>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经营收入：指事业单位在专业业务活动及其辅助活动之外开展非独立核算经营活动取得的收入。（二级预算单位经营收入情况）等。</w:t>
      </w:r>
    </w:p>
    <w:p>
      <w:pPr>
        <w:pStyle w:val="37"/>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其他收入：指单位取得的除上述收入以外的各项收入。主要是（收入类型）等。</w:t>
      </w:r>
      <w:r>
        <w:rPr>
          <w:rFonts w:ascii="仿宋_GB2312" w:eastAsia="仿宋_GB2312"/>
          <w:sz w:val="32"/>
          <w:szCs w:val="32"/>
        </w:rPr>
        <w:t xml:space="preserve"> </w:t>
      </w:r>
    </w:p>
    <w:p>
      <w:pPr>
        <w:pStyle w:val="37"/>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使用非财政拨款结余：指事业单位使用以前年度积累的非财政拨款结余弥补当年收支差额的金额。</w:t>
      </w:r>
      <w:r>
        <w:rPr>
          <w:rFonts w:ascii="仿宋_GB2312" w:eastAsia="仿宋_GB2312"/>
          <w:sz w:val="32"/>
          <w:szCs w:val="32"/>
        </w:rPr>
        <w:t xml:space="preserve"> </w:t>
      </w:r>
    </w:p>
    <w:p>
      <w:pPr>
        <w:pStyle w:val="37"/>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pStyle w:val="37"/>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结余分配：指事业单位按照会计制度规定缴纳的所得税、提取的专用结余以及转入非财政拨款结余的金额等。</w:t>
      </w:r>
    </w:p>
    <w:p>
      <w:pPr>
        <w:pStyle w:val="37"/>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ind w:firstLine="640" w:firstLineChars="200"/>
        <w:rPr>
          <w:rFonts w:ascii="仿宋_GB2312" w:eastAsia="仿宋_GB2312"/>
          <w:color w:val="000000"/>
          <w:sz w:val="32"/>
          <w:szCs w:val="32"/>
        </w:rPr>
      </w:pPr>
      <w:r>
        <w:rPr>
          <w:rFonts w:ascii="仿宋_GB2312" w:eastAsia="仿宋_GB2312"/>
          <w:color w:val="000000"/>
          <w:sz w:val="32"/>
          <w:szCs w:val="32"/>
        </w:rPr>
        <w:t>9.</w:t>
      </w:r>
      <w:r>
        <w:rPr>
          <w:rFonts w:hint="eastAsia" w:ascii="仿宋_GB2312" w:eastAsia="仿宋_GB2312"/>
          <w:color w:val="000000"/>
          <w:sz w:val="32"/>
          <w:szCs w:val="32"/>
        </w:rPr>
        <w:t>一般公共服务（类）…（款）…（项）：指……。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10.</w:t>
      </w:r>
      <w:r>
        <w:rPr>
          <w:rFonts w:hint="eastAsia" w:ascii="仿宋_GB2312" w:eastAsia="仿宋_GB2312"/>
          <w:color w:val="000000"/>
          <w:sz w:val="32"/>
          <w:szCs w:val="32"/>
        </w:rPr>
        <w:t>外交（类）…（款）…（项）：指……。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11.</w:t>
      </w:r>
      <w:r>
        <w:rPr>
          <w:rFonts w:hint="eastAsia" w:ascii="仿宋_GB2312" w:eastAsia="仿宋_GB2312"/>
          <w:color w:val="000000"/>
          <w:sz w:val="32"/>
          <w:szCs w:val="32"/>
        </w:rPr>
        <w:t>公共安全（类）…（款）…（项）：指……。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12.</w:t>
      </w:r>
      <w:r>
        <w:rPr>
          <w:rFonts w:hint="eastAsia" w:ascii="仿宋_GB2312" w:eastAsia="仿宋_GB2312"/>
          <w:color w:val="000000"/>
          <w:sz w:val="32"/>
          <w:szCs w:val="32"/>
        </w:rPr>
        <w:t>教育（类）…（款）…（项）：指……。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13.</w:t>
      </w:r>
      <w:r>
        <w:rPr>
          <w:rFonts w:hint="eastAsia" w:ascii="仿宋_GB2312" w:eastAsia="仿宋_GB2312"/>
          <w:color w:val="000000"/>
          <w:sz w:val="32"/>
          <w:szCs w:val="32"/>
        </w:rPr>
        <w:t>科学技术（类）…（款）…（项）：指……。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14.</w:t>
      </w:r>
      <w:r>
        <w:rPr>
          <w:rFonts w:hint="eastAsia" w:ascii="仿宋_GB2312" w:eastAsia="仿宋_GB2312"/>
          <w:color w:val="000000"/>
          <w:sz w:val="32"/>
          <w:szCs w:val="32"/>
        </w:rPr>
        <w:t>文化体育与传媒（类）…（款）…（项）：指……。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15.</w:t>
      </w:r>
      <w:r>
        <w:rPr>
          <w:rFonts w:hint="eastAsia" w:ascii="仿宋_GB2312" w:eastAsia="仿宋_GB2312"/>
          <w:color w:val="000000"/>
          <w:sz w:val="32"/>
          <w:szCs w:val="32"/>
        </w:rPr>
        <w:t>社会保障和就业（类）…（款）…（项）：指……。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16.</w:t>
      </w:r>
      <w:r>
        <w:rPr>
          <w:rFonts w:hint="eastAsia" w:ascii="仿宋_GB2312" w:eastAsia="仿宋_GB2312"/>
          <w:color w:val="000000"/>
          <w:sz w:val="32"/>
          <w:szCs w:val="32"/>
        </w:rPr>
        <w:t>医疗卫生与计划生育（类）…（款）…（项）：指……。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17.</w:t>
      </w:r>
      <w:r>
        <w:rPr>
          <w:rFonts w:hint="eastAsia" w:ascii="仿宋_GB2312" w:eastAsia="仿宋_GB2312"/>
          <w:color w:val="000000"/>
          <w:sz w:val="32"/>
          <w:szCs w:val="32"/>
        </w:rPr>
        <w:t>节能环保（类）…（款）…（项）：指……。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18.</w:t>
      </w:r>
      <w:r>
        <w:rPr>
          <w:rFonts w:hint="eastAsia" w:ascii="仿宋_GB2312" w:eastAsia="仿宋_GB2312"/>
          <w:color w:val="000000"/>
          <w:sz w:val="32"/>
          <w:szCs w:val="32"/>
        </w:rPr>
        <w:t>城乡社区（类）…（款）…（项）：指……。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19.</w:t>
      </w:r>
      <w:r>
        <w:rPr>
          <w:rFonts w:hint="eastAsia" w:ascii="仿宋_GB2312" w:eastAsia="仿宋_GB2312"/>
          <w:color w:val="000000"/>
          <w:sz w:val="32"/>
          <w:szCs w:val="32"/>
        </w:rPr>
        <w:t>农林水（类）…（款）…（项）：指……。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20.</w:t>
      </w:r>
      <w:r>
        <w:rPr>
          <w:rFonts w:hint="eastAsia" w:ascii="仿宋_GB2312" w:eastAsia="仿宋_GB2312"/>
          <w:color w:val="000000"/>
          <w:sz w:val="32"/>
          <w:szCs w:val="32"/>
        </w:rPr>
        <w:t>交通运输（类）…（款）…（项）：指……。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21.</w:t>
      </w:r>
      <w:r>
        <w:rPr>
          <w:rFonts w:hint="eastAsia" w:ascii="仿宋_GB2312" w:eastAsia="仿宋_GB2312"/>
          <w:color w:val="000000"/>
          <w:sz w:val="32"/>
          <w:szCs w:val="32"/>
        </w:rPr>
        <w:t>资源勘探信息等（类）…（款）…（项）：指……。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22.</w:t>
      </w:r>
      <w:r>
        <w:rPr>
          <w:rFonts w:hint="eastAsia" w:ascii="仿宋_GB2312" w:eastAsia="仿宋_GB2312"/>
          <w:color w:val="000000"/>
          <w:sz w:val="32"/>
          <w:szCs w:val="32"/>
        </w:rPr>
        <w:t>商业服务业（类）…（款）…（项）：指……。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23.</w:t>
      </w:r>
      <w:r>
        <w:rPr>
          <w:rFonts w:hint="eastAsia" w:ascii="仿宋_GB2312" w:eastAsia="仿宋_GB2312"/>
          <w:color w:val="000000"/>
          <w:sz w:val="32"/>
          <w:szCs w:val="32"/>
        </w:rPr>
        <w:t>金融（类）…（款）…（项）：指……。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24.</w:t>
      </w:r>
      <w:r>
        <w:rPr>
          <w:rFonts w:hint="eastAsia" w:ascii="仿宋_GB2312" w:eastAsia="仿宋_GB2312"/>
          <w:color w:val="000000"/>
          <w:sz w:val="32"/>
          <w:szCs w:val="32"/>
        </w:rPr>
        <w:t>国土海洋气象等（类）…（款）…（项）：指……。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25.</w:t>
      </w:r>
      <w:r>
        <w:rPr>
          <w:rFonts w:hint="eastAsia" w:ascii="仿宋_GB2312" w:eastAsia="仿宋_GB2312"/>
          <w:color w:val="000000"/>
          <w:sz w:val="32"/>
          <w:szCs w:val="32"/>
        </w:rPr>
        <w:t>住房保障（类）…（款）…（项）：指……。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26.</w:t>
      </w:r>
      <w:r>
        <w:rPr>
          <w:rFonts w:hint="eastAsia" w:ascii="仿宋_GB2312" w:eastAsia="仿宋_GB2312"/>
          <w:color w:val="000000"/>
          <w:sz w:val="32"/>
          <w:szCs w:val="32"/>
        </w:rPr>
        <w:t>粮油物资储备（类）…（款）…（项）：指……。</w:t>
      </w:r>
    </w:p>
    <w:p>
      <w:pPr>
        <w:spacing w:line="600" w:lineRule="exact"/>
        <w:ind w:firstLine="640"/>
        <w:rPr>
          <w:rFonts w:ascii="仿宋" w:hAnsi="仿宋" w:eastAsia="仿宋"/>
          <w:b/>
          <w:color w:val="000000"/>
          <w:sz w:val="32"/>
          <w:szCs w:val="32"/>
        </w:rPr>
      </w:pPr>
      <w:r>
        <w:rPr>
          <w:rFonts w:hint="eastAsia" w:ascii="仿宋" w:hAnsi="仿宋" w:eastAsia="仿宋"/>
          <w:b/>
          <w:color w:val="000000"/>
          <w:sz w:val="32"/>
          <w:szCs w:val="32"/>
        </w:rPr>
        <w:t>（解释本部门决算报表中全部功能分类科目至项级，请参照《</w:t>
      </w:r>
      <w:r>
        <w:rPr>
          <w:rFonts w:ascii="仿宋" w:hAnsi="仿宋" w:eastAsia="仿宋"/>
          <w:b/>
          <w:color w:val="000000"/>
          <w:sz w:val="32"/>
          <w:szCs w:val="32"/>
        </w:rPr>
        <w:t>202</w:t>
      </w:r>
      <w:r>
        <w:rPr>
          <w:rFonts w:hint="eastAsia" w:ascii="仿宋" w:hAnsi="仿宋" w:eastAsia="仿宋"/>
          <w:b/>
          <w:color w:val="000000"/>
          <w:sz w:val="32"/>
          <w:szCs w:val="32"/>
        </w:rPr>
        <w:t>1年政府收支分类科目》增减内容。）</w:t>
      </w:r>
    </w:p>
    <w:p>
      <w:pPr>
        <w:ind w:firstLine="640" w:firstLineChars="200"/>
        <w:rPr>
          <w:rFonts w:ascii="仿宋_GB2312" w:eastAsia="仿宋_GB2312"/>
          <w:color w:val="000000"/>
          <w:sz w:val="32"/>
          <w:szCs w:val="32"/>
        </w:rPr>
      </w:pPr>
      <w:r>
        <w:rPr>
          <w:rFonts w:ascii="仿宋_GB2312" w:eastAsia="仿宋_GB2312"/>
          <w:color w:val="000000"/>
          <w:sz w:val="32"/>
          <w:szCs w:val="32"/>
        </w:rPr>
        <w:t>27.</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ascii="仿宋_GB2312" w:eastAsia="仿宋_GB2312"/>
          <w:color w:val="000000"/>
          <w:sz w:val="32"/>
          <w:szCs w:val="32"/>
        </w:rPr>
        <w:t>28.</w:t>
      </w:r>
      <w:r>
        <w:rPr>
          <w:rFonts w:hint="eastAsia" w:ascii="仿宋_GB2312" w:eastAsia="仿宋_GB2312"/>
          <w:color w:val="000000"/>
          <w:sz w:val="32"/>
          <w:szCs w:val="32"/>
        </w:rPr>
        <w:t>项目支出：指在基本支出之外为完成特定行政任务和事业发展目标所发生的支出。</w:t>
      </w:r>
      <w:r>
        <w:rPr>
          <w:rFonts w:ascii="仿宋_GB2312" w:eastAsia="仿宋_GB2312"/>
          <w:color w:val="000000"/>
          <w:sz w:val="32"/>
          <w:szCs w:val="32"/>
        </w:rPr>
        <w:t xml:space="preserve"> </w:t>
      </w:r>
    </w:p>
    <w:p>
      <w:pPr>
        <w:ind w:firstLine="640" w:firstLineChars="200"/>
        <w:rPr>
          <w:rFonts w:ascii="仿宋_GB2312" w:eastAsia="仿宋_GB2312"/>
          <w:color w:val="000000"/>
          <w:sz w:val="32"/>
          <w:szCs w:val="32"/>
        </w:rPr>
      </w:pPr>
      <w:r>
        <w:rPr>
          <w:rFonts w:ascii="仿宋_GB2312" w:eastAsia="仿宋_GB2312"/>
          <w:color w:val="000000"/>
          <w:sz w:val="32"/>
          <w:szCs w:val="32"/>
        </w:rPr>
        <w:t>29.</w:t>
      </w:r>
      <w:r>
        <w:rPr>
          <w:rFonts w:hint="eastAsia" w:ascii="仿宋_GB2312" w:eastAsia="仿宋_GB2312"/>
          <w:color w:val="000000"/>
          <w:sz w:val="32"/>
          <w:szCs w:val="32"/>
        </w:rPr>
        <w:t>经营支出：指事业单位在专业业务活动及其辅助活动之外开展非独立核算经营活动发生的支出。</w:t>
      </w:r>
    </w:p>
    <w:p>
      <w:pPr>
        <w:pStyle w:val="37"/>
        <w:spacing w:line="560" w:lineRule="exact"/>
        <w:ind w:firstLine="640" w:firstLineChars="200"/>
        <w:rPr>
          <w:rFonts w:ascii="仿宋_GB2312" w:eastAsia="仿宋_GB2312"/>
          <w:sz w:val="32"/>
          <w:szCs w:val="32"/>
        </w:rPr>
      </w:pPr>
      <w:r>
        <w:rPr>
          <w:rFonts w:ascii="仿宋_GB2312" w:eastAsia="仿宋_GB2312"/>
          <w:sz w:val="32"/>
          <w:szCs w:val="32"/>
        </w:rPr>
        <w:t>30.</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7"/>
        <w:spacing w:line="560" w:lineRule="exact"/>
        <w:ind w:firstLine="640" w:firstLineChars="200"/>
        <w:rPr>
          <w:rFonts w:ascii="仿宋_GB2312" w:eastAsia="仿宋_GB2312"/>
          <w:sz w:val="32"/>
          <w:szCs w:val="32"/>
        </w:rPr>
      </w:pPr>
      <w:r>
        <w:rPr>
          <w:rFonts w:ascii="仿宋_GB2312" w:eastAsia="仿宋_GB2312"/>
          <w:sz w:val="32"/>
          <w:szCs w:val="32"/>
        </w:rPr>
        <w:t>31.</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37"/>
        <w:spacing w:line="560" w:lineRule="exact"/>
        <w:ind w:firstLine="640" w:firstLineChars="200"/>
        <w:rPr>
          <w:rFonts w:ascii="仿宋_GB2312" w:eastAsia="仿宋_GB2312"/>
          <w:sz w:val="32"/>
          <w:szCs w:val="32"/>
        </w:rPr>
      </w:pPr>
      <w:r>
        <w:rPr>
          <w:rFonts w:ascii="仿宋_GB2312" w:eastAsia="仿宋_GB2312"/>
          <w:sz w:val="32"/>
          <w:szCs w:val="32"/>
        </w:rPr>
        <w:t>32.</w:t>
      </w:r>
      <w:r>
        <w:rPr>
          <w:rFonts w:hint="eastAsia" w:ascii="仿宋_GB2312" w:eastAsia="仿宋_GB2312"/>
          <w:sz w:val="32"/>
          <w:szCs w:val="32"/>
        </w:rPr>
        <w:t>……。</w:t>
      </w:r>
    </w:p>
    <w:p>
      <w:pPr>
        <w:pStyle w:val="37"/>
        <w:spacing w:line="560" w:lineRule="exact"/>
        <w:ind w:firstLine="640" w:firstLineChars="200"/>
        <w:rPr>
          <w:rFonts w:ascii="仿宋_GB2312" w:eastAsia="仿宋_GB2312" w:cs="黑体"/>
          <w:sz w:val="32"/>
          <w:szCs w:val="32"/>
        </w:rPr>
      </w:pPr>
    </w:p>
    <w:p>
      <w:pPr>
        <w:ind w:firstLine="643" w:firstLineChars="200"/>
        <w:rPr>
          <w:rFonts w:ascii="仿宋" w:hAnsi="仿宋" w:eastAsia="仿宋"/>
          <w:b/>
          <w:color w:val="000000"/>
          <w:sz w:val="32"/>
          <w:szCs w:val="32"/>
        </w:rPr>
      </w:pPr>
      <w:r>
        <w:rPr>
          <w:rFonts w:hint="eastAsia" w:ascii="仿宋" w:hAnsi="仿宋" w:eastAsia="仿宋"/>
          <w:b/>
          <w:color w:val="000000"/>
          <w:sz w:val="32"/>
          <w:szCs w:val="32"/>
        </w:rPr>
        <w:t>（名词解释部分请根据各部门实际列支情况罗列，并根据本部门职责职能增减名词解释内容。）</w:t>
      </w:r>
    </w:p>
    <w:p>
      <w:pPr>
        <w:spacing w:line="600" w:lineRule="exact"/>
        <w:jc w:val="center"/>
        <w:outlineLvl w:val="0"/>
        <w:rPr>
          <w:rStyle w:val="28"/>
          <w:rFonts w:ascii="黑体" w:hAnsi="黑体" w:eastAsia="黑体"/>
          <w:b w:val="0"/>
        </w:rPr>
      </w:pPr>
      <w:bookmarkStart w:id="142" w:name="_Toc15377226"/>
      <w:r>
        <w:rPr>
          <w:rFonts w:ascii="宋体"/>
          <w:b/>
          <w:color w:val="000000"/>
          <w:sz w:val="44"/>
          <w:szCs w:val="44"/>
        </w:rPr>
        <w:br w:type="page"/>
      </w:r>
      <w:bookmarkStart w:id="143" w:name="_Toc79163880"/>
      <w:bookmarkStart w:id="144" w:name="_Toc79163630"/>
      <w:bookmarkStart w:id="145" w:name="_Toc15396614"/>
      <w:r>
        <w:rPr>
          <w:rFonts w:hint="eastAsia" w:ascii="黑体" w:hAnsi="黑体" w:eastAsia="黑体"/>
          <w:color w:val="000000"/>
          <w:sz w:val="44"/>
          <w:szCs w:val="44"/>
        </w:rPr>
        <w:t>第</w:t>
      </w:r>
      <w:r>
        <w:rPr>
          <w:rStyle w:val="28"/>
          <w:rFonts w:hint="eastAsia" w:ascii="黑体" w:hAnsi="黑体" w:eastAsia="黑体"/>
          <w:b w:val="0"/>
        </w:rPr>
        <w:t>四部分</w:t>
      </w:r>
      <w:r>
        <w:rPr>
          <w:rStyle w:val="28"/>
          <w:rFonts w:ascii="黑体" w:hAnsi="黑体" w:eastAsia="黑体"/>
          <w:b w:val="0"/>
        </w:rPr>
        <w:t xml:space="preserve"> </w:t>
      </w:r>
      <w:r>
        <w:rPr>
          <w:rStyle w:val="28"/>
          <w:rFonts w:hint="eastAsia" w:ascii="黑体" w:hAnsi="黑体" w:eastAsia="黑体"/>
          <w:b w:val="0"/>
        </w:rPr>
        <w:t>附件</w:t>
      </w:r>
      <w:bookmarkEnd w:id="143"/>
      <w:bookmarkEnd w:id="144"/>
      <w:bookmarkEnd w:id="145"/>
    </w:p>
    <w:p>
      <w:pPr>
        <w:spacing w:line="600" w:lineRule="exact"/>
        <w:jc w:val="left"/>
        <w:outlineLvl w:val="0"/>
        <w:rPr>
          <w:rFonts w:ascii="方正小标宋简体" w:hAnsi="方正小标宋简体" w:eastAsia="方正小标宋简体" w:cs="方正小标宋简体"/>
          <w:sz w:val="32"/>
          <w:szCs w:val="32"/>
        </w:rPr>
      </w:pPr>
      <w:bookmarkStart w:id="146" w:name="_Toc79163631"/>
      <w:bookmarkStart w:id="147" w:name="_Toc79163881"/>
      <w:r>
        <w:rPr>
          <w:rFonts w:hint="eastAsia" w:ascii="黑体" w:hAnsi="黑体" w:eastAsia="黑体" w:cs="黑体"/>
          <w:sz w:val="32"/>
          <w:szCs w:val="32"/>
        </w:rPr>
        <w:t>附件</w:t>
      </w:r>
      <w:r>
        <w:rPr>
          <w:rFonts w:ascii="黑体" w:hAnsi="黑体" w:eastAsia="黑体" w:cs="黑体"/>
          <w:sz w:val="32"/>
          <w:szCs w:val="32"/>
        </w:rPr>
        <w:t>1</w:t>
      </w:r>
      <w:bookmarkEnd w:id="146"/>
      <w:bookmarkEnd w:id="147"/>
    </w:p>
    <w:p>
      <w:pPr>
        <w:spacing w:line="580" w:lineRule="exact"/>
        <w:jc w:val="center"/>
        <w:rPr>
          <w:rFonts w:ascii="方正小标宋简体" w:hAnsi="方正小标宋简体" w:eastAsia="方正小标宋简体" w:cs="方正小标宋简体"/>
          <w:sz w:val="44"/>
          <w:szCs w:val="44"/>
        </w:rPr>
      </w:pP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jc w:val="center"/>
        <w:textAlignment w:val="auto"/>
        <w:rPr>
          <w:rFonts w:hint="eastAsia" w:ascii="宋体" w:hAnsi="宋体" w:cs="宋体"/>
          <w:i w:val="0"/>
          <w:caps w:val="0"/>
          <w:color w:val="000000"/>
          <w:spacing w:val="0"/>
          <w:sz w:val="44"/>
          <w:szCs w:val="44"/>
          <w:lang w:eastAsia="zh-CN"/>
        </w:rPr>
      </w:pPr>
      <w:r>
        <w:rPr>
          <w:rFonts w:hint="eastAsia" w:ascii="宋体" w:hAnsi="宋体" w:eastAsia="宋体" w:cs="宋体"/>
          <w:i w:val="0"/>
          <w:caps w:val="0"/>
          <w:color w:val="000000"/>
          <w:spacing w:val="0"/>
          <w:sz w:val="44"/>
          <w:szCs w:val="44"/>
          <w:lang w:eastAsia="zh-CN"/>
        </w:rPr>
        <w:t>理县</w:t>
      </w:r>
      <w:r>
        <w:rPr>
          <w:rFonts w:hint="eastAsia" w:ascii="宋体" w:hAnsi="宋体" w:cs="宋体"/>
          <w:i w:val="0"/>
          <w:caps w:val="0"/>
          <w:color w:val="000000"/>
          <w:spacing w:val="0"/>
          <w:sz w:val="44"/>
          <w:szCs w:val="44"/>
          <w:lang w:eastAsia="zh-CN"/>
        </w:rPr>
        <w:t>医疗保障局</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jc w:val="center"/>
        <w:textAlignment w:val="auto"/>
        <w:rPr>
          <w:rFonts w:hint="eastAsia" w:ascii="宋体" w:hAnsi="宋体" w:eastAsia="宋体" w:cs="宋体"/>
          <w:sz w:val="32"/>
          <w:szCs w:val="32"/>
        </w:rPr>
      </w:pPr>
      <w:r>
        <w:rPr>
          <w:rFonts w:hint="eastAsia" w:ascii="宋体" w:hAnsi="宋体" w:cs="宋体"/>
          <w:i w:val="0"/>
          <w:caps w:val="0"/>
          <w:color w:val="000000"/>
          <w:spacing w:val="0"/>
          <w:sz w:val="44"/>
          <w:szCs w:val="44"/>
          <w:lang w:eastAsia="zh-CN"/>
        </w:rPr>
        <w:t>关于</w:t>
      </w:r>
      <w:r>
        <w:rPr>
          <w:rFonts w:hint="eastAsia" w:ascii="宋体" w:hAnsi="宋体" w:cs="宋体"/>
          <w:i w:val="0"/>
          <w:caps w:val="0"/>
          <w:color w:val="000000"/>
          <w:spacing w:val="0"/>
          <w:sz w:val="44"/>
          <w:szCs w:val="44"/>
          <w:lang w:val="en-US" w:eastAsia="zh-CN"/>
        </w:rPr>
        <w:t>2021年</w:t>
      </w:r>
      <w:r>
        <w:rPr>
          <w:rFonts w:hint="eastAsia" w:ascii="宋体" w:hAnsi="宋体" w:eastAsia="宋体" w:cs="宋体"/>
          <w:i w:val="0"/>
          <w:caps w:val="0"/>
          <w:color w:val="000000"/>
          <w:spacing w:val="0"/>
          <w:sz w:val="44"/>
          <w:szCs w:val="44"/>
        </w:rPr>
        <w:t>部门</w:t>
      </w:r>
      <w:r>
        <w:rPr>
          <w:rFonts w:hint="eastAsia" w:ascii="宋体" w:hAnsi="宋体" w:cs="宋体"/>
          <w:i w:val="0"/>
          <w:caps w:val="0"/>
          <w:color w:val="000000"/>
          <w:spacing w:val="0"/>
          <w:sz w:val="44"/>
          <w:szCs w:val="44"/>
          <w:lang w:eastAsia="zh-CN"/>
        </w:rPr>
        <w:t>整体</w:t>
      </w:r>
      <w:r>
        <w:rPr>
          <w:rFonts w:hint="eastAsia" w:ascii="宋体" w:hAnsi="宋体" w:eastAsia="宋体" w:cs="宋体"/>
          <w:i w:val="0"/>
          <w:caps w:val="0"/>
          <w:color w:val="000000"/>
          <w:spacing w:val="0"/>
          <w:sz w:val="44"/>
          <w:szCs w:val="44"/>
        </w:rPr>
        <w:t>支出绩效报告</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b w:val="0"/>
          <w:bCs w:val="0"/>
          <w:i w:val="0"/>
          <w:caps w:val="0"/>
          <w:color w:val="000000"/>
          <w:spacing w:val="0"/>
          <w:sz w:val="32"/>
          <w:szCs w:val="32"/>
          <w:lang w:val="en-US" w:eastAsia="zh-CN"/>
        </w:rPr>
      </w:pP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b w:val="0"/>
          <w:bCs w:val="0"/>
          <w:i w:val="0"/>
          <w:caps w:val="0"/>
          <w:color w:val="000000"/>
          <w:spacing w:val="0"/>
          <w:sz w:val="32"/>
          <w:szCs w:val="32"/>
          <w:lang w:val="en-US" w:eastAsia="zh-CN"/>
        </w:rPr>
      </w:pPr>
      <w:r>
        <w:rPr>
          <w:rFonts w:hint="eastAsia" w:ascii="仿宋_GB2312" w:hAnsi="仿宋_GB2312" w:eastAsia="仿宋_GB2312" w:cs="仿宋_GB2312"/>
          <w:b w:val="0"/>
          <w:bCs w:val="0"/>
          <w:i w:val="0"/>
          <w:caps w:val="0"/>
          <w:color w:val="000000"/>
          <w:spacing w:val="0"/>
          <w:sz w:val="32"/>
          <w:szCs w:val="32"/>
          <w:lang w:val="en-US" w:eastAsia="zh-CN"/>
        </w:rPr>
        <w:t>根据理县县财政局《关于开展2021年部门、政策和项目支出绩效评价工作的通知》（理财[2022]147号）文件精神，我单位遵循“全面覆盖、规范实施、确保质量、注重实效”的工作原则，对财政资金整体支出进行了认真评价，现将整体支出绩效情况汇报如下：</w:t>
      </w:r>
    </w:p>
    <w:p>
      <w:pPr>
        <w:pStyle w:val="2"/>
        <w:keepNext w:val="0"/>
        <w:keepLines w:val="0"/>
        <w:pageBreakBefore w:val="0"/>
        <w:kinsoku/>
        <w:overflowPunct/>
        <w:topLinePunct w:val="0"/>
        <w:autoSpaceDE/>
        <w:autoSpaceDN/>
        <w:bidi w:val="0"/>
        <w:spacing w:after="0" w:line="576" w:lineRule="exact"/>
        <w:ind w:left="0" w:leftChars="0" w:firstLine="640"/>
        <w:textAlignment w:val="auto"/>
        <w:outlineLvl w:val="9"/>
        <w:rPr>
          <w:rFonts w:hint="eastAsia" w:ascii="Times New Roman" w:hAnsi="Times New Roman" w:eastAsia="黑体" w:cs="Times New Roman"/>
          <w:color w:val="000000"/>
          <w:sz w:val="32"/>
          <w:szCs w:val="32"/>
          <w:lang w:val="en-US" w:eastAsia="zh-CN"/>
        </w:rPr>
      </w:pPr>
      <w:r>
        <w:rPr>
          <w:rFonts w:hint="eastAsia" w:ascii="Times New Roman" w:hAnsi="Times New Roman" w:eastAsia="黑体" w:cs="Times New Roman"/>
          <w:color w:val="000000"/>
          <w:sz w:val="32"/>
          <w:szCs w:val="32"/>
          <w:lang w:val="en-US" w:eastAsia="zh-CN"/>
        </w:rPr>
        <w:t>一、部门（单位）概况</w:t>
      </w:r>
    </w:p>
    <w:p>
      <w:pPr>
        <w:pStyle w:val="22"/>
        <w:keepNext w:val="0"/>
        <w:keepLines w:val="0"/>
        <w:pageBreakBefore w:val="0"/>
        <w:shd w:val="clear" w:color="auto" w:fill="FFFFFF"/>
        <w:kinsoku/>
        <w:wordWrap w:val="0"/>
        <w:overflowPunct/>
        <w:topLinePunct w:val="0"/>
        <w:autoSpaceDE/>
        <w:autoSpaceDN/>
        <w:bidi w:val="0"/>
        <w:spacing w:before="0" w:beforeAutospacing="0" w:after="0" w:afterAutospacing="0" w:line="576" w:lineRule="exact"/>
        <w:ind w:firstLine="643" w:firstLineChars="200"/>
        <w:jc w:val="both"/>
        <w:textAlignment w:val="auto"/>
        <w:outlineLvl w:val="9"/>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（一）机构组成</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i w:val="0"/>
          <w:caps w:val="0"/>
          <w:color w:val="000000"/>
          <w:spacing w:val="0"/>
          <w:sz w:val="32"/>
          <w:szCs w:val="32"/>
          <w:lang w:val="en-US" w:eastAsia="zh-CN"/>
        </w:rPr>
      </w:pPr>
      <w:r>
        <w:rPr>
          <w:rFonts w:hint="eastAsia" w:ascii="仿宋_GB2312" w:hAnsi="仿宋_GB2312" w:eastAsia="仿宋_GB2312" w:cs="仿宋_GB2312"/>
          <w:i w:val="0"/>
          <w:caps w:val="0"/>
          <w:color w:val="000000"/>
          <w:spacing w:val="0"/>
          <w:sz w:val="32"/>
          <w:szCs w:val="32"/>
          <w:lang w:eastAsia="zh-CN"/>
        </w:rPr>
        <w:t>理县医疗保障局</w:t>
      </w:r>
      <w:r>
        <w:rPr>
          <w:rFonts w:hint="eastAsia" w:ascii="仿宋_GB2312" w:hAnsi="仿宋_GB2312" w:eastAsia="仿宋_GB2312" w:cs="仿宋_GB2312"/>
          <w:i w:val="0"/>
          <w:caps w:val="0"/>
          <w:color w:val="000000"/>
          <w:spacing w:val="0"/>
          <w:sz w:val="32"/>
          <w:szCs w:val="32"/>
        </w:rPr>
        <w:t>属于一级预算单位。内设</w:t>
      </w:r>
      <w:r>
        <w:rPr>
          <w:rFonts w:hint="eastAsia" w:ascii="仿宋_GB2312" w:hAnsi="仿宋_GB2312" w:eastAsia="仿宋_GB2312" w:cs="仿宋_GB2312"/>
          <w:i w:val="0"/>
          <w:caps w:val="0"/>
          <w:color w:val="000000"/>
          <w:spacing w:val="0"/>
          <w:sz w:val="32"/>
          <w:szCs w:val="32"/>
          <w:lang w:val="en-US" w:eastAsia="zh-CN"/>
        </w:rPr>
        <w:t>5</w:t>
      </w:r>
      <w:r>
        <w:rPr>
          <w:rFonts w:hint="eastAsia" w:ascii="仿宋_GB2312" w:hAnsi="仿宋_GB2312" w:eastAsia="仿宋_GB2312" w:cs="仿宋_GB2312"/>
          <w:i w:val="0"/>
          <w:caps w:val="0"/>
          <w:color w:val="000000"/>
          <w:spacing w:val="0"/>
          <w:sz w:val="32"/>
          <w:szCs w:val="32"/>
        </w:rPr>
        <w:t>个</w:t>
      </w:r>
      <w:r>
        <w:rPr>
          <w:rFonts w:hint="eastAsia" w:ascii="仿宋_GB2312" w:hAnsi="仿宋_GB2312" w:eastAsia="仿宋_GB2312" w:cs="仿宋_GB2312"/>
          <w:i w:val="0"/>
          <w:caps w:val="0"/>
          <w:color w:val="000000"/>
          <w:spacing w:val="0"/>
          <w:sz w:val="32"/>
          <w:szCs w:val="32"/>
          <w:lang w:eastAsia="zh-CN"/>
        </w:rPr>
        <w:t>股</w:t>
      </w:r>
      <w:r>
        <w:rPr>
          <w:rFonts w:hint="eastAsia" w:ascii="仿宋_GB2312" w:hAnsi="仿宋_GB2312" w:eastAsia="仿宋_GB2312" w:cs="仿宋_GB2312"/>
          <w:i w:val="0"/>
          <w:caps w:val="0"/>
          <w:color w:val="000000"/>
          <w:spacing w:val="0"/>
          <w:sz w:val="32"/>
          <w:szCs w:val="32"/>
        </w:rPr>
        <w:t>室，即</w:t>
      </w:r>
      <w:r>
        <w:rPr>
          <w:rFonts w:hint="eastAsia" w:ascii="仿宋_GB2312" w:hAnsi="仿宋_GB2312" w:eastAsia="仿宋_GB2312" w:cs="仿宋_GB2312"/>
          <w:i w:val="0"/>
          <w:caps w:val="0"/>
          <w:color w:val="000000"/>
          <w:spacing w:val="0"/>
          <w:sz w:val="32"/>
          <w:szCs w:val="32"/>
          <w:lang w:eastAsia="zh-CN"/>
        </w:rPr>
        <w:t>办公室、财务股、统筹股、稽核股、统筹</w:t>
      </w:r>
      <w:r>
        <w:rPr>
          <w:rFonts w:hint="eastAsia" w:ascii="仿宋_GB2312" w:hAnsi="仿宋_GB2312" w:eastAsia="仿宋_GB2312" w:cs="仿宋_GB2312"/>
          <w:i w:val="0"/>
          <w:caps w:val="0"/>
          <w:color w:val="000000"/>
          <w:spacing w:val="0"/>
          <w:sz w:val="32"/>
          <w:szCs w:val="32"/>
          <w:lang w:val="en-US" w:eastAsia="zh-CN"/>
        </w:rPr>
        <w:t>股。</w:t>
      </w:r>
    </w:p>
    <w:p>
      <w:pPr>
        <w:pStyle w:val="22"/>
        <w:keepNext w:val="0"/>
        <w:keepLines w:val="0"/>
        <w:pageBreakBefore w:val="0"/>
        <w:shd w:val="clear" w:color="auto" w:fill="FFFFFF"/>
        <w:kinsoku/>
        <w:wordWrap w:val="0"/>
        <w:overflowPunct/>
        <w:topLinePunct w:val="0"/>
        <w:autoSpaceDE/>
        <w:autoSpaceDN/>
        <w:bidi w:val="0"/>
        <w:spacing w:before="0" w:beforeAutospacing="0" w:after="0" w:afterAutospacing="0" w:line="576" w:lineRule="exact"/>
        <w:ind w:firstLine="643" w:firstLineChars="200"/>
        <w:jc w:val="both"/>
        <w:textAlignment w:val="auto"/>
        <w:outlineLvl w:val="9"/>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（二）机构职能</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本部门主要职责是：(一)贯彻执行党和国家有关社会保险的路线、方针、政策和法律、法规。（二）负责辖区内参保单位和个人</w:t>
      </w:r>
      <w:r>
        <w:rPr>
          <w:rFonts w:hint="eastAsia" w:ascii="仿宋_GB2312" w:hAnsi="仿宋_GB2312" w:eastAsia="仿宋_GB2312" w:cs="仿宋_GB2312"/>
          <w:i w:val="0"/>
          <w:caps w:val="0"/>
          <w:color w:val="000000"/>
          <w:spacing w:val="0"/>
          <w:sz w:val="32"/>
          <w:szCs w:val="32"/>
          <w:lang w:eastAsia="zh-CN"/>
        </w:rPr>
        <w:t>医疗</w:t>
      </w:r>
      <w:r>
        <w:rPr>
          <w:rFonts w:hint="eastAsia" w:ascii="仿宋_GB2312" w:hAnsi="仿宋_GB2312" w:eastAsia="仿宋_GB2312" w:cs="仿宋_GB2312"/>
          <w:i w:val="0"/>
          <w:caps w:val="0"/>
          <w:color w:val="000000"/>
          <w:spacing w:val="0"/>
          <w:sz w:val="32"/>
          <w:szCs w:val="32"/>
        </w:rPr>
        <w:t>、生育保险基金的征收、管理、审核、拨付工作。（三）承办全县参保单位社会保险登记、变更、注销。职工保险关系转移，灵活就业人员参保、续保工作。（四）指导、督促、协调街镇搞好社会保险和社区建设工作。（五）负责参保单位和个人</w:t>
      </w:r>
      <w:r>
        <w:rPr>
          <w:rFonts w:hint="eastAsia" w:ascii="仿宋_GB2312" w:hAnsi="仿宋_GB2312" w:eastAsia="仿宋_GB2312" w:cs="仿宋_GB2312"/>
          <w:i w:val="0"/>
          <w:caps w:val="0"/>
          <w:color w:val="000000"/>
          <w:spacing w:val="0"/>
          <w:sz w:val="32"/>
          <w:szCs w:val="32"/>
          <w:lang w:eastAsia="zh-CN"/>
        </w:rPr>
        <w:t>医疗</w:t>
      </w:r>
      <w:r>
        <w:rPr>
          <w:rFonts w:hint="eastAsia" w:ascii="仿宋_GB2312" w:hAnsi="仿宋_GB2312" w:eastAsia="仿宋_GB2312" w:cs="仿宋_GB2312"/>
          <w:i w:val="0"/>
          <w:caps w:val="0"/>
          <w:color w:val="000000"/>
          <w:spacing w:val="0"/>
          <w:sz w:val="32"/>
          <w:szCs w:val="32"/>
        </w:rPr>
        <w:t>、生育保险的日常管理工作；负责社会保险数据、信息的处理和管理，参保个人帐户的建立和管理。（六）为参保单位和个人、提供有关</w:t>
      </w:r>
      <w:r>
        <w:rPr>
          <w:rFonts w:hint="eastAsia" w:ascii="仿宋_GB2312" w:hAnsi="仿宋_GB2312" w:eastAsia="仿宋_GB2312" w:cs="仿宋_GB2312"/>
          <w:i w:val="0"/>
          <w:caps w:val="0"/>
          <w:color w:val="000000"/>
          <w:spacing w:val="0"/>
          <w:sz w:val="32"/>
          <w:szCs w:val="32"/>
          <w:lang w:eastAsia="zh-CN"/>
        </w:rPr>
        <w:t>医疗</w:t>
      </w:r>
      <w:r>
        <w:rPr>
          <w:rFonts w:hint="eastAsia" w:ascii="仿宋_GB2312" w:hAnsi="仿宋_GB2312" w:eastAsia="仿宋_GB2312" w:cs="仿宋_GB2312"/>
          <w:i w:val="0"/>
          <w:caps w:val="0"/>
          <w:color w:val="000000"/>
          <w:spacing w:val="0"/>
          <w:sz w:val="32"/>
          <w:szCs w:val="32"/>
        </w:rPr>
        <w:t>、生育保险的政策宣传咨询服务，受理群众来信来访。</w:t>
      </w:r>
    </w:p>
    <w:p>
      <w:pPr>
        <w:pStyle w:val="22"/>
        <w:keepNext w:val="0"/>
        <w:keepLines w:val="0"/>
        <w:pageBreakBefore w:val="0"/>
        <w:shd w:val="clear" w:color="auto" w:fill="FFFFFF"/>
        <w:kinsoku/>
        <w:wordWrap w:val="0"/>
        <w:overflowPunct/>
        <w:topLinePunct w:val="0"/>
        <w:autoSpaceDE/>
        <w:autoSpaceDN/>
        <w:bidi w:val="0"/>
        <w:spacing w:before="0" w:beforeAutospacing="0" w:after="0" w:afterAutospacing="0" w:line="576" w:lineRule="exact"/>
        <w:ind w:firstLine="643" w:firstLineChars="200"/>
        <w:jc w:val="both"/>
        <w:textAlignment w:val="auto"/>
        <w:outlineLvl w:val="9"/>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（三）人员概况</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i w:val="0"/>
          <w:caps w:val="0"/>
          <w:color w:val="000000"/>
          <w:spacing w:val="0"/>
          <w:sz w:val="32"/>
          <w:szCs w:val="32"/>
          <w:lang w:val="en-US" w:eastAsia="zh-CN"/>
        </w:rPr>
      </w:pPr>
      <w:r>
        <w:rPr>
          <w:rFonts w:hint="eastAsia" w:ascii="仿宋_GB2312" w:hAnsi="仿宋_GB2312" w:eastAsia="仿宋_GB2312" w:cs="仿宋_GB2312"/>
          <w:i w:val="0"/>
          <w:caps w:val="0"/>
          <w:color w:val="000000"/>
          <w:spacing w:val="0"/>
          <w:sz w:val="32"/>
          <w:szCs w:val="32"/>
          <w:lang w:eastAsia="zh-CN"/>
        </w:rPr>
        <w:t>理县医疗保障局</w:t>
      </w:r>
      <w:r>
        <w:rPr>
          <w:rFonts w:hint="eastAsia" w:ascii="仿宋_GB2312" w:hAnsi="仿宋_GB2312" w:eastAsia="仿宋_GB2312" w:cs="仿宋_GB2312"/>
          <w:i w:val="0"/>
          <w:caps w:val="0"/>
          <w:color w:val="000000"/>
          <w:spacing w:val="0"/>
          <w:sz w:val="32"/>
          <w:szCs w:val="32"/>
        </w:rPr>
        <w:t>编制为</w:t>
      </w:r>
      <w:r>
        <w:rPr>
          <w:rFonts w:hint="eastAsia" w:ascii="仿宋_GB2312" w:hAnsi="仿宋_GB2312" w:eastAsia="仿宋_GB2312" w:cs="仿宋_GB2312"/>
          <w:i w:val="0"/>
          <w:caps w:val="0"/>
          <w:color w:val="000000"/>
          <w:spacing w:val="0"/>
          <w:sz w:val="32"/>
          <w:szCs w:val="32"/>
          <w:lang w:val="en-US" w:eastAsia="zh-CN"/>
        </w:rPr>
        <w:t>24</w:t>
      </w:r>
      <w:r>
        <w:rPr>
          <w:rFonts w:hint="eastAsia" w:ascii="仿宋_GB2312" w:hAnsi="仿宋_GB2312" w:eastAsia="仿宋_GB2312" w:cs="仿宋_GB2312"/>
          <w:i w:val="0"/>
          <w:caps w:val="0"/>
          <w:color w:val="000000"/>
          <w:spacing w:val="0"/>
          <w:sz w:val="32"/>
          <w:szCs w:val="32"/>
        </w:rPr>
        <w:t>名，实有在职人员</w:t>
      </w:r>
      <w:r>
        <w:rPr>
          <w:rFonts w:hint="eastAsia" w:ascii="仿宋_GB2312" w:hAnsi="仿宋_GB2312" w:eastAsia="仿宋_GB2312" w:cs="仿宋_GB2312"/>
          <w:i w:val="0"/>
          <w:caps w:val="0"/>
          <w:color w:val="000000"/>
          <w:spacing w:val="0"/>
          <w:sz w:val="32"/>
          <w:szCs w:val="32"/>
          <w:lang w:val="en-US" w:eastAsia="zh-CN"/>
        </w:rPr>
        <w:t>23</w:t>
      </w:r>
      <w:r>
        <w:rPr>
          <w:rFonts w:hint="eastAsia" w:ascii="仿宋_GB2312" w:hAnsi="仿宋_GB2312" w:eastAsia="仿宋_GB2312" w:cs="仿宋_GB2312"/>
          <w:i w:val="0"/>
          <w:caps w:val="0"/>
          <w:color w:val="000000"/>
          <w:spacing w:val="0"/>
          <w:sz w:val="32"/>
          <w:szCs w:val="32"/>
        </w:rPr>
        <w:t>人，</w:t>
      </w:r>
      <w:r>
        <w:rPr>
          <w:rFonts w:hint="eastAsia" w:ascii="仿宋_GB2312" w:hAnsi="仿宋_GB2312" w:eastAsia="仿宋_GB2312" w:cs="仿宋_GB2312"/>
          <w:i w:val="0"/>
          <w:caps w:val="0"/>
          <w:color w:val="000000"/>
          <w:spacing w:val="0"/>
          <w:sz w:val="32"/>
          <w:szCs w:val="32"/>
          <w:lang w:eastAsia="zh-CN"/>
        </w:rPr>
        <w:t>其中行政人员</w:t>
      </w:r>
      <w:r>
        <w:rPr>
          <w:rFonts w:hint="eastAsia" w:ascii="仿宋_GB2312" w:hAnsi="仿宋_GB2312" w:eastAsia="仿宋_GB2312" w:cs="仿宋_GB2312"/>
          <w:i w:val="0"/>
          <w:caps w:val="0"/>
          <w:color w:val="000000"/>
          <w:spacing w:val="0"/>
          <w:sz w:val="32"/>
          <w:szCs w:val="32"/>
          <w:lang w:val="en-US" w:eastAsia="zh-CN"/>
        </w:rPr>
        <w:t>5人，参公人员6人，事业人员9人，工勤人员3人</w:t>
      </w:r>
      <w:r>
        <w:rPr>
          <w:rFonts w:hint="eastAsia" w:ascii="仿宋_GB2312" w:hAnsi="仿宋_GB2312" w:eastAsia="仿宋_GB2312" w:cs="仿宋_GB2312"/>
          <w:i w:val="0"/>
          <w:caps w:val="0"/>
          <w:color w:val="000000"/>
          <w:spacing w:val="0"/>
          <w:sz w:val="32"/>
          <w:szCs w:val="32"/>
        </w:rPr>
        <w:t>。</w:t>
      </w:r>
      <w:r>
        <w:rPr>
          <w:rFonts w:hint="eastAsia" w:ascii="仿宋_GB2312" w:hAnsi="仿宋_GB2312" w:eastAsia="仿宋_GB2312" w:cs="仿宋_GB2312"/>
          <w:i w:val="0"/>
          <w:caps w:val="0"/>
          <w:color w:val="000000"/>
          <w:spacing w:val="0"/>
          <w:sz w:val="32"/>
          <w:szCs w:val="32"/>
          <w:lang w:eastAsia="zh-CN"/>
        </w:rPr>
        <w:t>小车</w:t>
      </w:r>
      <w:r>
        <w:rPr>
          <w:rFonts w:hint="eastAsia" w:ascii="仿宋_GB2312" w:hAnsi="仿宋_GB2312" w:eastAsia="仿宋_GB2312" w:cs="仿宋_GB2312"/>
          <w:i w:val="0"/>
          <w:caps w:val="0"/>
          <w:color w:val="000000"/>
          <w:spacing w:val="0"/>
          <w:sz w:val="32"/>
          <w:szCs w:val="32"/>
          <w:lang w:val="en-US" w:eastAsia="zh-CN"/>
        </w:rPr>
        <w:t>1辆。</w:t>
      </w:r>
    </w:p>
    <w:p>
      <w:pPr>
        <w:pStyle w:val="2"/>
        <w:keepNext w:val="0"/>
        <w:keepLines w:val="0"/>
        <w:pageBreakBefore w:val="0"/>
        <w:kinsoku/>
        <w:overflowPunct/>
        <w:topLinePunct w:val="0"/>
        <w:autoSpaceDE/>
        <w:autoSpaceDN/>
        <w:bidi w:val="0"/>
        <w:spacing w:after="0" w:line="576" w:lineRule="exact"/>
        <w:ind w:left="0" w:leftChars="0" w:firstLine="640"/>
        <w:textAlignment w:val="auto"/>
        <w:outlineLvl w:val="9"/>
        <w:rPr>
          <w:rFonts w:hint="eastAsia" w:ascii="Times New Roman" w:hAnsi="Times New Roman" w:eastAsia="黑体" w:cs="Times New Roman"/>
          <w:color w:val="000000"/>
          <w:sz w:val="32"/>
          <w:szCs w:val="32"/>
          <w:lang w:val="en-US" w:eastAsia="zh-CN"/>
        </w:rPr>
      </w:pPr>
      <w:r>
        <w:rPr>
          <w:rFonts w:hint="eastAsia" w:ascii="Times New Roman" w:hAnsi="Times New Roman" w:eastAsia="黑体" w:cs="Times New Roman"/>
          <w:color w:val="000000"/>
          <w:sz w:val="32"/>
          <w:szCs w:val="32"/>
          <w:lang w:val="en-US" w:eastAsia="zh-CN"/>
        </w:rPr>
        <w:t>二、部门财政资金收支情况</w:t>
      </w:r>
    </w:p>
    <w:p>
      <w:pPr>
        <w:pStyle w:val="22"/>
        <w:keepNext w:val="0"/>
        <w:keepLines w:val="0"/>
        <w:pageBreakBefore w:val="0"/>
        <w:shd w:val="clear" w:color="auto" w:fill="FFFFFF"/>
        <w:kinsoku/>
        <w:wordWrap w:val="0"/>
        <w:overflowPunct/>
        <w:topLinePunct w:val="0"/>
        <w:autoSpaceDE/>
        <w:autoSpaceDN/>
        <w:bidi w:val="0"/>
        <w:spacing w:before="0" w:beforeAutospacing="0" w:after="0" w:afterAutospacing="0" w:line="576" w:lineRule="exact"/>
        <w:ind w:firstLine="643" w:firstLineChars="200"/>
        <w:jc w:val="both"/>
        <w:textAlignment w:val="auto"/>
        <w:outlineLvl w:val="9"/>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（一）部门财政资金收入情况</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仿宋_GB2312" w:hAnsi="仿宋_GB2312" w:eastAsia="仿宋_GB2312" w:cs="仿宋_GB2312"/>
          <w:b w:val="0"/>
          <w:bCs w:val="0"/>
          <w:i w:val="0"/>
          <w:caps w:val="0"/>
          <w:color w:val="000000"/>
          <w:spacing w:val="0"/>
          <w:sz w:val="32"/>
          <w:szCs w:val="32"/>
          <w:lang w:val="en-US" w:eastAsia="zh-CN"/>
        </w:rPr>
      </w:pPr>
      <w:r>
        <w:rPr>
          <w:rFonts w:hint="eastAsia" w:ascii="仿宋_GB2312" w:hAnsi="仿宋_GB2312" w:eastAsia="仿宋_GB2312" w:cs="仿宋_GB2312"/>
          <w:b w:val="0"/>
          <w:bCs w:val="0"/>
          <w:i w:val="0"/>
          <w:caps w:val="0"/>
          <w:color w:val="000000"/>
          <w:spacing w:val="0"/>
          <w:sz w:val="32"/>
          <w:szCs w:val="32"/>
          <w:lang w:val="en-US" w:eastAsia="zh-CN"/>
        </w:rPr>
        <w:t>2021年1-12月部门财政资金收入情况：收入合计627.1万元，其中：当年财政拨款收入624.56万元，上年结转收入2.54万元。</w:t>
      </w:r>
    </w:p>
    <w:p>
      <w:pPr>
        <w:pStyle w:val="22"/>
        <w:keepNext w:val="0"/>
        <w:keepLines w:val="0"/>
        <w:pageBreakBefore w:val="0"/>
        <w:shd w:val="clear" w:color="auto" w:fill="FFFFFF"/>
        <w:kinsoku/>
        <w:wordWrap w:val="0"/>
        <w:overflowPunct/>
        <w:topLinePunct w:val="0"/>
        <w:autoSpaceDE/>
        <w:autoSpaceDN/>
        <w:bidi w:val="0"/>
        <w:spacing w:before="0" w:beforeAutospacing="0" w:after="0" w:afterAutospacing="0" w:line="576" w:lineRule="exact"/>
        <w:ind w:firstLine="643" w:firstLineChars="200"/>
        <w:jc w:val="both"/>
        <w:textAlignment w:val="auto"/>
        <w:outlineLvl w:val="9"/>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（二）部门财政资金支出情况</w:t>
      </w:r>
    </w:p>
    <w:p>
      <w:pPr>
        <w:pStyle w:val="2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firstLine="640" w:firstLineChars="200"/>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val="0"/>
          <w:bCs w:val="0"/>
          <w:i w:val="0"/>
          <w:caps w:val="0"/>
          <w:color w:val="000000"/>
          <w:spacing w:val="0"/>
          <w:sz w:val="32"/>
          <w:szCs w:val="32"/>
          <w:lang w:val="en-US" w:eastAsia="zh-CN"/>
        </w:rPr>
        <w:t>2021年支出总额为627.1万元，其中：基本支出421.56万元；项目支出（行政事业类项目）205.54万元。</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b w:val="0"/>
          <w:bCs w:val="0"/>
          <w:i w:val="0"/>
          <w:caps w:val="0"/>
          <w:color w:val="000000"/>
          <w:spacing w:val="0"/>
          <w:sz w:val="32"/>
          <w:szCs w:val="32"/>
          <w:lang w:val="en-US" w:eastAsia="zh-CN"/>
        </w:rPr>
      </w:pPr>
      <w:r>
        <w:rPr>
          <w:rFonts w:hint="eastAsia" w:ascii="仿宋_GB2312" w:hAnsi="仿宋_GB2312" w:eastAsia="仿宋_GB2312" w:cs="仿宋_GB2312"/>
          <w:b w:val="0"/>
          <w:bCs w:val="0"/>
          <w:i w:val="0"/>
          <w:caps w:val="0"/>
          <w:color w:val="000000"/>
          <w:spacing w:val="0"/>
          <w:sz w:val="32"/>
          <w:szCs w:val="32"/>
          <w:lang w:val="en-US" w:eastAsia="zh-CN"/>
        </w:rPr>
        <w:t>一般公共预算财政拨款基本支出421.56万元，主要用于人员经费392.26万元（其中：工资福利支出392.21万元、对个人和家庭的补助0.05万元）及日常公用经费29.3万元（其中：办公费6.45万元、印刷费2.38万元、电费1.14万元、邮电费3.6万元、差旅费6.64万元、公务接待费0.48万元、物业管理费0.7万元、劳务费2.38万元、工会经费2.21万元、福利费0.04万元、公务用车运行维护费3.28万元）。</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b w:val="0"/>
          <w:bCs w:val="0"/>
          <w:i w:val="0"/>
          <w:caps w:val="0"/>
          <w:color w:val="000000"/>
          <w:spacing w:val="0"/>
          <w:sz w:val="32"/>
          <w:szCs w:val="32"/>
          <w:lang w:val="en-US" w:eastAsia="zh-CN"/>
        </w:rPr>
      </w:pPr>
      <w:r>
        <w:rPr>
          <w:rFonts w:hint="eastAsia" w:ascii="仿宋_GB2312" w:hAnsi="仿宋_GB2312" w:eastAsia="仿宋_GB2312" w:cs="仿宋_GB2312"/>
          <w:b w:val="0"/>
          <w:bCs w:val="0"/>
          <w:i w:val="0"/>
          <w:caps w:val="0"/>
          <w:color w:val="000000"/>
          <w:spacing w:val="0"/>
          <w:sz w:val="32"/>
          <w:szCs w:val="32"/>
          <w:lang w:val="en-US" w:eastAsia="zh-CN"/>
        </w:rPr>
        <w:t>项目支出（行政事业类项目）205.54万元，主要用于2020年和2021年医疗服务与保障能力提升10.54万元及2021年医疗救助195万元。</w:t>
      </w:r>
    </w:p>
    <w:p>
      <w:pPr>
        <w:widowControl/>
        <w:adjustRightInd w:val="0"/>
        <w:snapToGrid w:val="0"/>
        <w:spacing w:line="580" w:lineRule="exact"/>
        <w:ind w:firstLine="640" w:firstLineChars="200"/>
        <w:contextualSpacing/>
        <w:jc w:val="left"/>
        <w:rPr>
          <w:rFonts w:hint="eastAsia" w:ascii="Times New Roman" w:hAnsi="Times New Roman" w:eastAsia="黑体" w:cs="Times New Roman"/>
          <w:color w:val="000000"/>
          <w:kern w:val="2"/>
          <w:sz w:val="32"/>
          <w:szCs w:val="32"/>
          <w:lang w:val="en-US" w:eastAsia="zh-CN" w:bidi="ar-SA"/>
        </w:rPr>
      </w:pPr>
      <w:r>
        <w:rPr>
          <w:rFonts w:hint="eastAsia" w:ascii="Times New Roman" w:hAnsi="Times New Roman" w:eastAsia="黑体" w:cs="Times New Roman"/>
          <w:color w:val="000000"/>
          <w:kern w:val="2"/>
          <w:sz w:val="32"/>
          <w:szCs w:val="32"/>
          <w:lang w:val="en-US" w:eastAsia="zh-CN" w:bidi="ar-SA"/>
        </w:rPr>
        <w:t>三、部门整体预算绩效管理情况</w:t>
      </w:r>
    </w:p>
    <w:p>
      <w:pPr>
        <w:adjustRightInd w:val="0"/>
        <w:snapToGrid w:val="0"/>
        <w:spacing w:line="580" w:lineRule="exact"/>
        <w:ind w:firstLine="720"/>
        <w:rPr>
          <w:rFonts w:hint="eastAsia" w:ascii="Times New Roman" w:hAnsi="Times New Roman" w:eastAsia="楷体_GB2312" w:cs="Times New Roman"/>
          <w:b/>
          <w:bCs/>
          <w:kern w:val="0"/>
          <w:sz w:val="32"/>
          <w:szCs w:val="32"/>
          <w:lang w:val="zh-CN" w:eastAsia="zh-CN" w:bidi="ar"/>
        </w:rPr>
      </w:pPr>
      <w:r>
        <w:rPr>
          <w:rFonts w:hint="eastAsia" w:ascii="Times New Roman" w:hAnsi="Times New Roman" w:eastAsia="楷体_GB2312" w:cs="Times New Roman"/>
          <w:b/>
          <w:bCs/>
          <w:kern w:val="0"/>
          <w:sz w:val="32"/>
          <w:szCs w:val="32"/>
          <w:lang w:val="zh-CN" w:eastAsia="zh-CN" w:bidi="ar"/>
        </w:rPr>
        <w:t>（一）部门预算管理</w:t>
      </w:r>
    </w:p>
    <w:p>
      <w:pPr>
        <w:widowControl/>
        <w:adjustRightInd w:val="0"/>
        <w:snapToGrid w:val="0"/>
        <w:spacing w:line="580" w:lineRule="exact"/>
        <w:ind w:firstLine="643" w:firstLineChars="200"/>
        <w:contextualSpacing/>
        <w:jc w:val="left"/>
        <w:rPr>
          <w:rFonts w:hint="eastAsia" w:ascii="仿宋_GB2312" w:hAnsi="仿宋_GB2312" w:eastAsia="仿宋_GB2312" w:cs="仿宋_GB2312"/>
          <w:b w:val="0"/>
          <w:bCs w:val="0"/>
          <w:i w:val="0"/>
          <w:caps w:val="0"/>
          <w:color w:val="000000"/>
          <w:spacing w:val="0"/>
          <w:kern w:val="0"/>
          <w:sz w:val="32"/>
          <w:szCs w:val="32"/>
          <w:lang w:val="en-US" w:eastAsia="zh-CN" w:bidi="ar"/>
        </w:rPr>
      </w:pPr>
      <w:r>
        <w:rPr>
          <w:rFonts w:hint="eastAsia" w:ascii="仿宋_GB2312" w:hAnsi="Times New Roman" w:eastAsia="仿宋_GB2312" w:cs="宋体"/>
          <w:b/>
          <w:bCs/>
          <w:color w:val="000000"/>
          <w:kern w:val="0"/>
          <w:sz w:val="32"/>
          <w:szCs w:val="32"/>
          <w:shd w:val="clear" w:color="auto" w:fill="FFFFFF"/>
          <w:lang w:val="en-US" w:eastAsia="zh-CN"/>
        </w:rPr>
        <w:t>1.</w:t>
      </w:r>
      <w:r>
        <w:rPr>
          <w:rFonts w:hint="eastAsia" w:ascii="仿宋_GB2312" w:hAnsi="Times New Roman" w:eastAsia="仿宋_GB2312" w:cs="宋体"/>
          <w:b/>
          <w:bCs/>
          <w:color w:val="000000"/>
          <w:kern w:val="0"/>
          <w:sz w:val="32"/>
          <w:szCs w:val="32"/>
          <w:shd w:val="clear" w:color="auto" w:fill="FFFFFF"/>
          <w:lang w:val="zh-CN" w:eastAsia="zh-CN"/>
        </w:rPr>
        <w:t>部门绩效目标制定。</w:t>
      </w:r>
      <w:r>
        <w:rPr>
          <w:rFonts w:hint="eastAsia" w:ascii="仿宋_GB2312" w:hAnsi="仿宋_GB2312" w:eastAsia="仿宋_GB2312" w:cs="仿宋_GB2312"/>
          <w:b w:val="0"/>
          <w:bCs w:val="0"/>
          <w:i w:val="0"/>
          <w:caps w:val="0"/>
          <w:color w:val="000000"/>
          <w:spacing w:val="0"/>
          <w:kern w:val="0"/>
          <w:sz w:val="32"/>
          <w:szCs w:val="32"/>
          <w:lang w:val="zh-CN" w:eastAsia="zh-CN" w:bidi="ar"/>
        </w:rPr>
        <w:t>按照《预算法》以及财政2021年部门预算编制口径及要求，我</w:t>
      </w:r>
      <w:r>
        <w:rPr>
          <w:rFonts w:hint="eastAsia" w:ascii="仿宋_GB2312" w:hAnsi="仿宋_GB2312" w:eastAsia="仿宋_GB2312" w:cs="仿宋_GB2312"/>
          <w:b w:val="0"/>
          <w:bCs w:val="0"/>
          <w:i w:val="0"/>
          <w:caps w:val="0"/>
          <w:color w:val="000000"/>
          <w:spacing w:val="0"/>
          <w:kern w:val="0"/>
          <w:sz w:val="32"/>
          <w:szCs w:val="32"/>
          <w:lang w:val="en-US" w:eastAsia="zh-CN" w:bidi="ar"/>
        </w:rPr>
        <w:t>单位</w:t>
      </w:r>
      <w:r>
        <w:rPr>
          <w:rFonts w:hint="eastAsia" w:ascii="仿宋_GB2312" w:hAnsi="仿宋_GB2312" w:eastAsia="仿宋_GB2312" w:cs="仿宋_GB2312"/>
          <w:b w:val="0"/>
          <w:bCs w:val="0"/>
          <w:i w:val="0"/>
          <w:caps w:val="0"/>
          <w:color w:val="000000"/>
          <w:spacing w:val="0"/>
          <w:kern w:val="0"/>
          <w:sz w:val="32"/>
          <w:szCs w:val="32"/>
          <w:lang w:val="zh-CN" w:eastAsia="zh-CN" w:bidi="ar"/>
        </w:rPr>
        <w:t>按照上级业务主管部门下达的目标绩效结合部门工作实际对2021年重点工作设立了工作目标及绩效目标，符合医保业务工作实际要求，可行性强。</w:t>
      </w:r>
    </w:p>
    <w:p>
      <w:pPr>
        <w:keepNext w:val="0"/>
        <w:keepLines w:val="0"/>
        <w:pageBreakBefore w:val="0"/>
        <w:widowControl/>
        <w:kinsoku/>
        <w:wordWrap/>
        <w:overflowPunct/>
        <w:topLinePunct/>
        <w:autoSpaceDE w:val="0"/>
        <w:autoSpaceDN/>
        <w:bidi w:val="0"/>
        <w:adjustRightInd/>
        <w:snapToGrid/>
        <w:spacing w:line="560" w:lineRule="exact"/>
        <w:ind w:left="0" w:leftChars="0" w:right="0" w:firstLine="643" w:firstLineChars="200"/>
        <w:jc w:val="both"/>
        <w:textAlignment w:val="baseline"/>
        <w:outlineLvl w:val="9"/>
        <w:rPr>
          <w:rFonts w:hint="eastAsia" w:ascii="仿宋_GB2312" w:hAnsi="仿宋_GB2312" w:eastAsia="仿宋_GB2312" w:cs="仿宋_GB2312"/>
          <w:b w:val="0"/>
          <w:bCs w:val="0"/>
          <w:i w:val="0"/>
          <w:caps w:val="0"/>
          <w:color w:val="000000"/>
          <w:spacing w:val="0"/>
          <w:kern w:val="0"/>
          <w:sz w:val="32"/>
          <w:szCs w:val="32"/>
          <w:lang w:val="zh-CN" w:eastAsia="zh-CN" w:bidi="ar"/>
        </w:rPr>
      </w:pPr>
      <w:r>
        <w:rPr>
          <w:rFonts w:hint="eastAsia" w:ascii="仿宋_GB2312" w:hAnsi="Times New Roman" w:eastAsia="仿宋_GB2312" w:cs="宋体"/>
          <w:b/>
          <w:bCs/>
          <w:color w:val="000000"/>
          <w:kern w:val="0"/>
          <w:sz w:val="32"/>
          <w:szCs w:val="32"/>
          <w:shd w:val="clear" w:color="auto" w:fill="FFFFFF"/>
          <w:lang w:val="en-US" w:eastAsia="zh-CN"/>
        </w:rPr>
        <w:t>2.</w:t>
      </w:r>
      <w:r>
        <w:rPr>
          <w:rFonts w:hint="eastAsia" w:ascii="仿宋_GB2312" w:hAnsi="Times New Roman" w:eastAsia="仿宋_GB2312" w:cs="宋体"/>
          <w:b/>
          <w:bCs/>
          <w:color w:val="000000"/>
          <w:kern w:val="0"/>
          <w:sz w:val="32"/>
          <w:szCs w:val="32"/>
          <w:shd w:val="clear" w:color="auto" w:fill="FFFFFF"/>
          <w:lang w:val="zh-CN" w:eastAsia="zh-CN"/>
        </w:rPr>
        <w:t>目标实现。</w:t>
      </w:r>
      <w:r>
        <w:rPr>
          <w:rFonts w:hint="eastAsia" w:ascii="仿宋_GB2312" w:hAnsi="仿宋_GB2312" w:eastAsia="仿宋_GB2312" w:cs="仿宋_GB2312"/>
          <w:b w:val="0"/>
          <w:bCs w:val="0"/>
          <w:i w:val="0"/>
          <w:caps w:val="0"/>
          <w:color w:val="000000"/>
          <w:spacing w:val="0"/>
          <w:kern w:val="0"/>
          <w:sz w:val="32"/>
          <w:szCs w:val="32"/>
          <w:lang w:val="zh-CN" w:eastAsia="zh-CN" w:bidi="ar"/>
        </w:rPr>
        <w:t>一年来，我局持续完善医疗保障体系，尤其是“全民保”的建立，为参保群众“因病致贫、因病返贫”构筑了一道“防火墙”。一是持续巩固提升“全民保”。一方面以“全民保”典型案例为宣传突破口，大力开展政策宣传工作，康巴卫视网、州人民政府和县人民政府网站均刊登了理县“全民保”讯息。另一方面对《理县全民补充医疗商业责任保险方案》进行了修订。截止目前，全县参加“全民保”人数为28716人，集资282.87万元（县级配套基金215.37万元，参保群众个人缴费67.5万元），累计获赔人数200人，获赔金额200.63万元，获赔人员当中单笔最高赔付金额达10.53万元。二是建立脱贫攻坚医疗保障乡村振兴衔接机制。联合相关部门建立了基本医疗保障防止返贫监测和帮扶机制，将边缘易致贫户12户34人，突发困难户7户30人，脱贫不稳定户4户12人纳入监测，监测对象将享受与脱贫户相同的参保、报销待遇。三是充分发挥医疗救助托底功能。全年共支出医疗救助金251.52万元，其中：门诊救助697人次，救助金额17.34元，住院救助897人次，救助金额206.95万元，资助参保缴费1147人，资助金额27.23万元；医疗救助累计结余资金23.33万元。四是扎实推进“两险”合并实施。按照《阿坝州生育保险和职工基本医疗保险合并实施意见》文件要求，我县企业在职职工同步参加生育保险人数为5943人，实现了统一保障制度。五是严格执行“两病”政策，切实减轻门诊用药费用负担。全县纳入“两病”管理的城乡居民共1192人，落实城乡居民高血压糖尿病门诊用药支付限额分别为每人每年300元和200元，增强医保门诊保障能力。</w:t>
      </w:r>
    </w:p>
    <w:p>
      <w:pPr>
        <w:widowControl/>
        <w:adjustRightInd w:val="0"/>
        <w:snapToGrid w:val="0"/>
        <w:spacing w:line="580" w:lineRule="exact"/>
        <w:ind w:firstLine="643" w:firstLineChars="200"/>
        <w:contextualSpacing/>
        <w:jc w:val="left"/>
        <w:rPr>
          <w:rFonts w:hint="eastAsia" w:ascii="仿宋_GB2312" w:hAnsi="仿宋_GB2312" w:eastAsia="仿宋_GB2312" w:cs="仿宋_GB2312"/>
          <w:b w:val="0"/>
          <w:bCs w:val="0"/>
          <w:i w:val="0"/>
          <w:caps w:val="0"/>
          <w:color w:val="000000"/>
          <w:spacing w:val="0"/>
          <w:kern w:val="0"/>
          <w:sz w:val="32"/>
          <w:szCs w:val="32"/>
          <w:lang w:val="zh-CN" w:eastAsia="zh-CN" w:bidi="ar"/>
        </w:rPr>
      </w:pPr>
      <w:r>
        <w:rPr>
          <w:rFonts w:hint="eastAsia" w:ascii="仿宋_GB2312" w:hAnsi="Times New Roman" w:eastAsia="仿宋_GB2312" w:cs="宋体"/>
          <w:b/>
          <w:bCs/>
          <w:color w:val="000000"/>
          <w:kern w:val="0"/>
          <w:sz w:val="32"/>
          <w:szCs w:val="32"/>
          <w:shd w:val="clear" w:color="auto" w:fill="FFFFFF"/>
          <w:lang w:val="en-US" w:eastAsia="zh-CN"/>
        </w:rPr>
        <w:t>3.</w:t>
      </w:r>
      <w:r>
        <w:rPr>
          <w:rFonts w:hint="eastAsia" w:ascii="仿宋_GB2312" w:hAnsi="Times New Roman" w:eastAsia="仿宋_GB2312" w:cs="宋体"/>
          <w:b/>
          <w:bCs/>
          <w:color w:val="000000"/>
          <w:kern w:val="0"/>
          <w:sz w:val="32"/>
          <w:szCs w:val="32"/>
          <w:shd w:val="clear" w:color="auto" w:fill="FFFFFF"/>
          <w:lang w:val="zh-CN" w:eastAsia="zh-CN"/>
        </w:rPr>
        <w:t>预算编制准确。</w:t>
      </w:r>
      <w:r>
        <w:rPr>
          <w:rFonts w:hint="eastAsia" w:ascii="仿宋_GB2312" w:hAnsi="仿宋_GB2312" w:eastAsia="仿宋_GB2312" w:cs="仿宋_GB2312"/>
          <w:b w:val="0"/>
          <w:bCs w:val="0"/>
          <w:i w:val="0"/>
          <w:caps w:val="0"/>
          <w:color w:val="000000"/>
          <w:spacing w:val="0"/>
          <w:kern w:val="0"/>
          <w:sz w:val="32"/>
          <w:szCs w:val="32"/>
          <w:lang w:val="zh-CN" w:eastAsia="zh-CN" w:bidi="ar"/>
        </w:rPr>
        <w:t>在年度预算编制中，严格按照财政印发的预算编制口径和标准编制人员经费，根据上年度项目支出情况，结合部门重点工作实际，本着厉行节约、突出重点的原则打紧安排，按照“二上二下”的预算编制要求编制本部门预算，预算编制依据充分，预算编制准确，符合本部门工作实际需求。</w:t>
      </w:r>
    </w:p>
    <w:p>
      <w:pPr>
        <w:widowControl/>
        <w:adjustRightInd w:val="0"/>
        <w:snapToGrid w:val="0"/>
        <w:spacing w:line="580" w:lineRule="exact"/>
        <w:ind w:firstLine="643" w:firstLineChars="200"/>
        <w:contextualSpacing/>
        <w:jc w:val="left"/>
        <w:rPr>
          <w:rFonts w:hint="eastAsia" w:ascii="仿宋_GB2312" w:cs="宋体"/>
          <w:color w:val="000000"/>
          <w:kern w:val="0"/>
          <w:szCs w:val="32"/>
          <w:shd w:val="clear" w:color="auto" w:fill="FFFFFF"/>
          <w:lang w:val="zh-CN"/>
        </w:rPr>
      </w:pPr>
      <w:r>
        <w:rPr>
          <w:rFonts w:hint="eastAsia" w:ascii="仿宋_GB2312" w:hAnsi="Times New Roman" w:eastAsia="仿宋_GB2312" w:cs="宋体"/>
          <w:b/>
          <w:bCs/>
          <w:color w:val="000000"/>
          <w:kern w:val="0"/>
          <w:sz w:val="32"/>
          <w:szCs w:val="32"/>
          <w:shd w:val="clear" w:color="auto" w:fill="FFFFFF"/>
          <w:lang w:val="en-US" w:eastAsia="zh-CN"/>
        </w:rPr>
        <w:t>4.</w:t>
      </w:r>
      <w:r>
        <w:rPr>
          <w:rFonts w:hint="eastAsia" w:ascii="仿宋_GB2312" w:hAnsi="Times New Roman" w:eastAsia="仿宋_GB2312" w:cs="宋体"/>
          <w:b/>
          <w:bCs/>
          <w:color w:val="000000"/>
          <w:kern w:val="0"/>
          <w:sz w:val="32"/>
          <w:szCs w:val="32"/>
          <w:shd w:val="clear" w:color="auto" w:fill="FFFFFF"/>
          <w:lang w:val="zh-CN" w:eastAsia="zh-CN"/>
        </w:rPr>
        <w:t>支出控制。</w:t>
      </w:r>
      <w:r>
        <w:rPr>
          <w:rFonts w:hint="eastAsia" w:ascii="仿宋_GB2312" w:hAnsi="仿宋_GB2312" w:eastAsia="仿宋_GB2312" w:cs="仿宋_GB2312"/>
          <w:b w:val="0"/>
          <w:bCs w:val="0"/>
          <w:i w:val="0"/>
          <w:caps w:val="0"/>
          <w:color w:val="000000"/>
          <w:spacing w:val="0"/>
          <w:kern w:val="0"/>
          <w:sz w:val="32"/>
          <w:szCs w:val="32"/>
          <w:lang w:val="zh-CN" w:eastAsia="zh-CN" w:bidi="ar"/>
        </w:rPr>
        <w:t>严格把控部门公用经费支出，部门日常公用经费、项目支出中“办公费、印刷费、水费、电费”等经费支出程序规范严密。</w:t>
      </w:r>
    </w:p>
    <w:p>
      <w:pPr>
        <w:widowControl/>
        <w:adjustRightInd w:val="0"/>
        <w:snapToGrid w:val="0"/>
        <w:spacing w:line="580" w:lineRule="exact"/>
        <w:ind w:firstLine="643" w:firstLineChars="200"/>
        <w:contextualSpacing/>
        <w:jc w:val="left"/>
        <w:rPr>
          <w:rFonts w:hint="eastAsia" w:ascii="仿宋_GB2312" w:hAnsi="仿宋_GB2312" w:eastAsia="仿宋_GB2312" w:cs="仿宋_GB2312"/>
          <w:b w:val="0"/>
          <w:bCs w:val="0"/>
          <w:i w:val="0"/>
          <w:caps w:val="0"/>
          <w:color w:val="000000"/>
          <w:spacing w:val="0"/>
          <w:kern w:val="0"/>
          <w:sz w:val="32"/>
          <w:szCs w:val="32"/>
          <w:lang w:val="zh-CN" w:eastAsia="zh-CN" w:bidi="ar"/>
        </w:rPr>
      </w:pPr>
      <w:r>
        <w:rPr>
          <w:rFonts w:hint="eastAsia" w:ascii="仿宋_GB2312" w:hAnsi="Times New Roman" w:eastAsia="仿宋_GB2312" w:cs="宋体"/>
          <w:b/>
          <w:bCs/>
          <w:color w:val="000000"/>
          <w:kern w:val="0"/>
          <w:sz w:val="32"/>
          <w:szCs w:val="32"/>
          <w:shd w:val="clear" w:color="auto" w:fill="FFFFFF"/>
          <w:lang w:val="en-US" w:eastAsia="zh-CN"/>
        </w:rPr>
        <w:t>5.</w:t>
      </w:r>
      <w:r>
        <w:rPr>
          <w:rFonts w:hint="eastAsia" w:ascii="仿宋_GB2312" w:hAnsi="Times New Roman" w:eastAsia="仿宋_GB2312" w:cs="宋体"/>
          <w:b/>
          <w:bCs/>
          <w:color w:val="000000"/>
          <w:kern w:val="0"/>
          <w:sz w:val="32"/>
          <w:szCs w:val="32"/>
          <w:shd w:val="clear" w:color="auto" w:fill="FFFFFF"/>
          <w:lang w:val="zh-CN" w:eastAsia="zh-CN"/>
        </w:rPr>
        <w:t>预算动态调整。</w:t>
      </w:r>
      <w:r>
        <w:rPr>
          <w:rFonts w:hint="eastAsia" w:ascii="仿宋_GB2312" w:hAnsi="仿宋_GB2312" w:eastAsia="仿宋_GB2312" w:cs="仿宋_GB2312"/>
          <w:b w:val="0"/>
          <w:bCs w:val="0"/>
          <w:i w:val="0"/>
          <w:caps w:val="0"/>
          <w:color w:val="000000"/>
          <w:spacing w:val="0"/>
          <w:kern w:val="0"/>
          <w:sz w:val="32"/>
          <w:szCs w:val="32"/>
          <w:lang w:val="zh-CN" w:eastAsia="zh-CN" w:bidi="ar"/>
        </w:rPr>
        <w:t>按照</w:t>
      </w:r>
      <w:r>
        <w:rPr>
          <w:rFonts w:hint="eastAsia" w:ascii="仿宋_GB2312" w:hAnsi="仿宋_GB2312" w:eastAsia="仿宋_GB2312" w:cs="仿宋_GB2312"/>
          <w:b w:val="0"/>
          <w:bCs w:val="0"/>
          <w:i w:val="0"/>
          <w:caps w:val="0"/>
          <w:color w:val="000000"/>
          <w:spacing w:val="0"/>
          <w:kern w:val="0"/>
          <w:sz w:val="32"/>
          <w:szCs w:val="32"/>
          <w:lang w:val="en-US" w:eastAsia="zh-CN" w:bidi="ar"/>
        </w:rPr>
        <w:t>县</w:t>
      </w:r>
      <w:r>
        <w:rPr>
          <w:rFonts w:hint="eastAsia" w:ascii="仿宋_GB2312" w:hAnsi="仿宋_GB2312" w:eastAsia="仿宋_GB2312" w:cs="仿宋_GB2312"/>
          <w:b w:val="0"/>
          <w:bCs w:val="0"/>
          <w:i w:val="0"/>
          <w:caps w:val="0"/>
          <w:color w:val="000000"/>
          <w:spacing w:val="0"/>
          <w:kern w:val="0"/>
          <w:sz w:val="32"/>
          <w:szCs w:val="32"/>
          <w:lang w:val="zh-CN" w:eastAsia="zh-CN" w:bidi="ar"/>
        </w:rPr>
        <w:t>财政局要求，对我单位2021年项目绩效运行情况进行了分析。根据监控分析结果，结合本</w:t>
      </w:r>
      <w:r>
        <w:rPr>
          <w:rFonts w:hint="eastAsia" w:ascii="仿宋_GB2312" w:hAnsi="仿宋_GB2312" w:eastAsia="仿宋_GB2312" w:cs="仿宋_GB2312"/>
          <w:b w:val="0"/>
          <w:bCs w:val="0"/>
          <w:i w:val="0"/>
          <w:caps w:val="0"/>
          <w:color w:val="000000"/>
          <w:spacing w:val="0"/>
          <w:kern w:val="0"/>
          <w:sz w:val="32"/>
          <w:szCs w:val="32"/>
          <w:lang w:val="en-US" w:eastAsia="zh-CN" w:bidi="ar"/>
        </w:rPr>
        <w:t>单位</w:t>
      </w:r>
      <w:r>
        <w:rPr>
          <w:rFonts w:hint="eastAsia" w:ascii="仿宋_GB2312" w:hAnsi="仿宋_GB2312" w:eastAsia="仿宋_GB2312" w:cs="仿宋_GB2312"/>
          <w:b w:val="0"/>
          <w:bCs w:val="0"/>
          <w:i w:val="0"/>
          <w:caps w:val="0"/>
          <w:color w:val="000000"/>
          <w:spacing w:val="0"/>
          <w:kern w:val="0"/>
          <w:sz w:val="32"/>
          <w:szCs w:val="32"/>
          <w:lang w:val="zh-CN" w:eastAsia="zh-CN" w:bidi="ar"/>
        </w:rPr>
        <w:t>实际，</w:t>
      </w:r>
      <w:r>
        <w:rPr>
          <w:rFonts w:hint="eastAsia" w:ascii="仿宋_GB2312" w:hAnsi="仿宋_GB2312" w:eastAsia="仿宋_GB2312" w:cs="仿宋_GB2312"/>
          <w:b w:val="0"/>
          <w:bCs w:val="0"/>
          <w:i w:val="0"/>
          <w:caps w:val="0"/>
          <w:color w:val="000000"/>
          <w:spacing w:val="0"/>
          <w:kern w:val="0"/>
          <w:sz w:val="32"/>
          <w:szCs w:val="32"/>
          <w:lang w:val="en-US" w:eastAsia="zh-CN" w:bidi="ar"/>
        </w:rPr>
        <w:t>未涉及</w:t>
      </w:r>
      <w:r>
        <w:rPr>
          <w:rFonts w:hint="eastAsia" w:ascii="仿宋_GB2312" w:hAnsi="仿宋_GB2312" w:eastAsia="仿宋_GB2312" w:cs="仿宋_GB2312"/>
          <w:b w:val="0"/>
          <w:bCs w:val="0"/>
          <w:i w:val="0"/>
          <w:caps w:val="0"/>
          <w:color w:val="000000"/>
          <w:spacing w:val="0"/>
          <w:kern w:val="0"/>
          <w:sz w:val="32"/>
          <w:szCs w:val="32"/>
          <w:lang w:val="zh-CN" w:eastAsia="zh-CN" w:bidi="ar"/>
        </w:rPr>
        <w:t>预算动态调整。</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default" w:ascii="仿宋_GB2312" w:hAnsi="仿宋_GB2312" w:eastAsia="仿宋_GB2312" w:cs="仿宋_GB2312"/>
          <w:b w:val="0"/>
          <w:bCs w:val="0"/>
          <w:i w:val="0"/>
          <w:caps w:val="0"/>
          <w:color w:val="000000"/>
          <w:spacing w:val="0"/>
          <w:kern w:val="0"/>
          <w:sz w:val="32"/>
          <w:szCs w:val="32"/>
          <w:lang w:val="en-US" w:eastAsia="zh-CN" w:bidi="ar"/>
        </w:rPr>
      </w:pPr>
      <w:r>
        <w:rPr>
          <w:rFonts w:hint="eastAsia" w:ascii="仿宋_GB2312" w:hAnsi="Times New Roman" w:eastAsia="仿宋_GB2312" w:cs="宋体"/>
          <w:b/>
          <w:bCs/>
          <w:color w:val="000000"/>
          <w:kern w:val="0"/>
          <w:sz w:val="32"/>
          <w:szCs w:val="32"/>
          <w:shd w:val="clear" w:color="auto" w:fill="FFFFFF"/>
          <w:lang w:val="en-US" w:eastAsia="zh-CN"/>
        </w:rPr>
        <w:t>6.</w:t>
      </w:r>
      <w:r>
        <w:rPr>
          <w:rFonts w:hint="eastAsia" w:ascii="仿宋_GB2312" w:hAnsi="Times New Roman" w:eastAsia="仿宋_GB2312" w:cs="宋体"/>
          <w:b/>
          <w:bCs/>
          <w:color w:val="000000"/>
          <w:kern w:val="0"/>
          <w:sz w:val="32"/>
          <w:szCs w:val="32"/>
          <w:shd w:val="clear" w:color="auto" w:fill="FFFFFF"/>
          <w:lang w:val="zh-CN" w:eastAsia="zh-CN"/>
        </w:rPr>
        <w:t>执行进度。</w:t>
      </w:r>
      <w:r>
        <w:rPr>
          <w:rFonts w:hint="eastAsia" w:ascii="仿宋_GB2312" w:hAnsi="仿宋_GB2312" w:eastAsia="仿宋_GB2312" w:cs="仿宋_GB2312"/>
          <w:b w:val="0"/>
          <w:bCs w:val="0"/>
          <w:i w:val="0"/>
          <w:caps w:val="0"/>
          <w:color w:val="000000"/>
          <w:spacing w:val="0"/>
          <w:kern w:val="0"/>
          <w:sz w:val="32"/>
          <w:szCs w:val="32"/>
          <w:lang w:val="en-US" w:eastAsia="zh-CN" w:bidi="ar"/>
        </w:rPr>
        <w:t>2021年本年收入</w:t>
      </w:r>
      <w:r>
        <w:rPr>
          <w:rFonts w:hint="eastAsia" w:ascii="仿宋_GB2312" w:hAnsi="仿宋_GB2312" w:eastAsia="仿宋_GB2312" w:cs="仿宋_GB2312"/>
          <w:b w:val="0"/>
          <w:bCs w:val="0"/>
          <w:i w:val="0"/>
          <w:caps w:val="0"/>
          <w:color w:val="000000"/>
          <w:spacing w:val="0"/>
          <w:sz w:val="32"/>
          <w:szCs w:val="32"/>
          <w:lang w:val="en-US" w:eastAsia="zh-CN"/>
        </w:rPr>
        <w:t>627.1</w:t>
      </w:r>
      <w:r>
        <w:rPr>
          <w:rFonts w:hint="eastAsia" w:ascii="仿宋_GB2312" w:hAnsi="仿宋_GB2312" w:eastAsia="仿宋_GB2312" w:cs="仿宋_GB2312"/>
          <w:b w:val="0"/>
          <w:bCs w:val="0"/>
          <w:i w:val="0"/>
          <w:caps w:val="0"/>
          <w:color w:val="000000"/>
          <w:spacing w:val="0"/>
          <w:kern w:val="0"/>
          <w:sz w:val="32"/>
          <w:szCs w:val="32"/>
          <w:lang w:val="en-US" w:eastAsia="zh-CN" w:bidi="ar"/>
        </w:rPr>
        <w:t>万元，占本年收入的100%。本年支出</w:t>
      </w:r>
      <w:r>
        <w:rPr>
          <w:rFonts w:hint="eastAsia" w:ascii="仿宋_GB2312" w:hAnsi="仿宋_GB2312" w:eastAsia="仿宋_GB2312" w:cs="仿宋_GB2312"/>
          <w:b w:val="0"/>
          <w:bCs w:val="0"/>
          <w:i w:val="0"/>
          <w:caps w:val="0"/>
          <w:color w:val="000000"/>
          <w:spacing w:val="0"/>
          <w:sz w:val="32"/>
          <w:szCs w:val="32"/>
          <w:lang w:val="en-US" w:eastAsia="zh-CN"/>
        </w:rPr>
        <w:t>627.1</w:t>
      </w:r>
      <w:r>
        <w:rPr>
          <w:rFonts w:hint="eastAsia" w:ascii="仿宋_GB2312" w:hAnsi="仿宋_GB2312" w:eastAsia="仿宋_GB2312" w:cs="仿宋_GB2312"/>
          <w:b w:val="0"/>
          <w:bCs w:val="0"/>
          <w:i w:val="0"/>
          <w:caps w:val="0"/>
          <w:color w:val="000000"/>
          <w:spacing w:val="0"/>
          <w:kern w:val="0"/>
          <w:sz w:val="32"/>
          <w:szCs w:val="32"/>
          <w:lang w:val="en-US" w:eastAsia="zh-CN" w:bidi="ar"/>
        </w:rPr>
        <w:t>万元。</w:t>
      </w:r>
      <w:r>
        <w:rPr>
          <w:rFonts w:hint="eastAsia" w:ascii="仿宋_GB2312" w:hAnsi="仿宋_GB2312" w:eastAsia="仿宋_GB2312" w:cs="仿宋_GB2312"/>
          <w:b w:val="0"/>
          <w:bCs w:val="0"/>
          <w:i w:val="0"/>
          <w:caps w:val="0"/>
          <w:color w:val="000000"/>
          <w:spacing w:val="0"/>
          <w:kern w:val="0"/>
          <w:sz w:val="32"/>
          <w:szCs w:val="32"/>
          <w:lang w:val="zh-CN" w:eastAsia="zh-CN" w:bidi="ar"/>
        </w:rPr>
        <w:t>其中基本支出</w:t>
      </w:r>
      <w:r>
        <w:rPr>
          <w:rFonts w:hint="eastAsia" w:ascii="仿宋_GB2312" w:hAnsi="仿宋_GB2312" w:eastAsia="仿宋_GB2312" w:cs="仿宋_GB2312"/>
          <w:b w:val="0"/>
          <w:bCs w:val="0"/>
          <w:i w:val="0"/>
          <w:caps w:val="0"/>
          <w:color w:val="000000"/>
          <w:spacing w:val="0"/>
          <w:sz w:val="32"/>
          <w:szCs w:val="32"/>
          <w:lang w:val="en-US" w:eastAsia="zh-CN"/>
        </w:rPr>
        <w:t>421.56</w:t>
      </w:r>
      <w:r>
        <w:rPr>
          <w:rFonts w:hint="eastAsia" w:ascii="仿宋_GB2312" w:hAnsi="仿宋_GB2312" w:eastAsia="仿宋_GB2312" w:cs="仿宋_GB2312"/>
          <w:b w:val="0"/>
          <w:bCs w:val="0"/>
          <w:i w:val="0"/>
          <w:caps w:val="0"/>
          <w:color w:val="000000"/>
          <w:spacing w:val="0"/>
          <w:kern w:val="0"/>
          <w:sz w:val="32"/>
          <w:szCs w:val="32"/>
          <w:lang w:val="zh-CN" w:eastAsia="zh-CN" w:bidi="ar"/>
        </w:rPr>
        <w:t>万元，占单位总支出的</w:t>
      </w:r>
      <w:r>
        <w:rPr>
          <w:rFonts w:hint="eastAsia" w:ascii="仿宋_GB2312" w:hAnsi="仿宋_GB2312" w:eastAsia="仿宋_GB2312" w:cs="仿宋_GB2312"/>
          <w:b w:val="0"/>
          <w:bCs w:val="0"/>
          <w:i w:val="0"/>
          <w:caps w:val="0"/>
          <w:color w:val="000000"/>
          <w:spacing w:val="0"/>
          <w:kern w:val="0"/>
          <w:sz w:val="32"/>
          <w:szCs w:val="32"/>
          <w:lang w:val="en-US" w:eastAsia="zh-CN" w:bidi="ar"/>
        </w:rPr>
        <w:t>67.22</w:t>
      </w:r>
      <w:r>
        <w:rPr>
          <w:rFonts w:hint="eastAsia" w:ascii="仿宋_GB2312" w:hAnsi="仿宋_GB2312" w:eastAsia="仿宋_GB2312" w:cs="仿宋_GB2312"/>
          <w:b w:val="0"/>
          <w:bCs w:val="0"/>
          <w:i w:val="0"/>
          <w:caps w:val="0"/>
          <w:color w:val="000000"/>
          <w:spacing w:val="0"/>
          <w:kern w:val="0"/>
          <w:sz w:val="32"/>
          <w:szCs w:val="32"/>
          <w:lang w:val="zh-CN" w:eastAsia="zh-CN" w:bidi="ar"/>
        </w:rPr>
        <w:t>%，</w:t>
      </w:r>
      <w:r>
        <w:rPr>
          <w:rFonts w:hint="eastAsia" w:ascii="仿宋_GB2312" w:hAnsi="仿宋_GB2312" w:eastAsia="仿宋_GB2312" w:cs="仿宋_GB2312"/>
          <w:b w:val="0"/>
          <w:bCs w:val="0"/>
          <w:i w:val="0"/>
          <w:caps w:val="0"/>
          <w:color w:val="000000"/>
          <w:spacing w:val="0"/>
          <w:kern w:val="0"/>
          <w:sz w:val="32"/>
          <w:szCs w:val="32"/>
          <w:lang w:val="en-US" w:eastAsia="zh-CN" w:bidi="ar"/>
        </w:rPr>
        <w:t>主要包括工资福利、商品和服务及对个人和家庭的补助等支出；</w:t>
      </w:r>
      <w:r>
        <w:rPr>
          <w:rFonts w:hint="eastAsia" w:ascii="仿宋_GB2312" w:hAnsi="仿宋_GB2312" w:eastAsia="仿宋_GB2312" w:cs="仿宋_GB2312"/>
          <w:b w:val="0"/>
          <w:bCs w:val="0"/>
          <w:i w:val="0"/>
          <w:caps w:val="0"/>
          <w:color w:val="000000"/>
          <w:spacing w:val="0"/>
          <w:kern w:val="0"/>
          <w:sz w:val="32"/>
          <w:szCs w:val="32"/>
          <w:lang w:val="zh-CN" w:eastAsia="zh-CN" w:bidi="ar"/>
        </w:rPr>
        <w:t>项目支出</w:t>
      </w:r>
      <w:r>
        <w:rPr>
          <w:rFonts w:hint="eastAsia" w:ascii="仿宋_GB2312" w:hAnsi="仿宋_GB2312" w:eastAsia="仿宋_GB2312" w:cs="仿宋_GB2312"/>
          <w:b w:val="0"/>
          <w:bCs w:val="0"/>
          <w:i w:val="0"/>
          <w:caps w:val="0"/>
          <w:color w:val="000000"/>
          <w:spacing w:val="0"/>
          <w:kern w:val="0"/>
          <w:sz w:val="32"/>
          <w:szCs w:val="32"/>
          <w:lang w:val="en-US" w:eastAsia="zh-CN" w:bidi="ar"/>
        </w:rPr>
        <w:t>205.54</w:t>
      </w:r>
      <w:r>
        <w:rPr>
          <w:rFonts w:hint="eastAsia" w:ascii="仿宋_GB2312" w:hAnsi="仿宋_GB2312" w:eastAsia="仿宋_GB2312" w:cs="仿宋_GB2312"/>
          <w:b w:val="0"/>
          <w:bCs w:val="0"/>
          <w:i w:val="0"/>
          <w:caps w:val="0"/>
          <w:color w:val="000000"/>
          <w:spacing w:val="0"/>
          <w:kern w:val="0"/>
          <w:sz w:val="32"/>
          <w:szCs w:val="32"/>
          <w:lang w:val="zh-CN" w:eastAsia="zh-CN" w:bidi="ar"/>
        </w:rPr>
        <w:t>万元，占单位总支出的</w:t>
      </w:r>
      <w:r>
        <w:rPr>
          <w:rFonts w:hint="eastAsia" w:ascii="仿宋_GB2312" w:hAnsi="仿宋_GB2312" w:eastAsia="仿宋_GB2312" w:cs="仿宋_GB2312"/>
          <w:b w:val="0"/>
          <w:bCs w:val="0"/>
          <w:i w:val="0"/>
          <w:caps w:val="0"/>
          <w:color w:val="000000"/>
          <w:spacing w:val="0"/>
          <w:kern w:val="0"/>
          <w:sz w:val="32"/>
          <w:szCs w:val="32"/>
          <w:lang w:val="en-US" w:eastAsia="zh-CN" w:bidi="ar"/>
        </w:rPr>
        <w:t>32.78</w:t>
      </w:r>
      <w:r>
        <w:rPr>
          <w:rFonts w:hint="eastAsia" w:ascii="仿宋_GB2312" w:hAnsi="仿宋_GB2312" w:eastAsia="仿宋_GB2312" w:cs="仿宋_GB2312"/>
          <w:b w:val="0"/>
          <w:bCs w:val="0"/>
          <w:i w:val="0"/>
          <w:caps w:val="0"/>
          <w:color w:val="000000"/>
          <w:spacing w:val="0"/>
          <w:kern w:val="0"/>
          <w:sz w:val="32"/>
          <w:szCs w:val="32"/>
          <w:lang w:val="zh-CN" w:eastAsia="zh-CN" w:bidi="ar"/>
        </w:rPr>
        <w:t>%，</w:t>
      </w:r>
      <w:r>
        <w:rPr>
          <w:rFonts w:hint="eastAsia" w:ascii="仿宋_GB2312" w:hAnsi="仿宋_GB2312" w:eastAsia="仿宋_GB2312" w:cs="仿宋_GB2312"/>
          <w:b w:val="0"/>
          <w:bCs w:val="0"/>
          <w:i w:val="0"/>
          <w:caps w:val="0"/>
          <w:color w:val="000000"/>
          <w:spacing w:val="0"/>
          <w:kern w:val="0"/>
          <w:sz w:val="32"/>
          <w:szCs w:val="32"/>
          <w:lang w:val="en-US" w:eastAsia="zh-CN" w:bidi="ar"/>
        </w:rPr>
        <w:t>主要涉及项目为2020年-</w:t>
      </w:r>
      <w:r>
        <w:rPr>
          <w:rFonts w:hint="eastAsia" w:ascii="仿宋_GB2312" w:hAnsi="仿宋_GB2312" w:eastAsia="仿宋_GB2312" w:cs="仿宋_GB2312"/>
          <w:b w:val="0"/>
          <w:bCs w:val="0"/>
          <w:i w:val="0"/>
          <w:caps w:val="0"/>
          <w:color w:val="000000"/>
          <w:spacing w:val="0"/>
          <w:sz w:val="32"/>
          <w:szCs w:val="32"/>
          <w:lang w:val="en-US" w:eastAsia="zh-CN"/>
        </w:rPr>
        <w:t>2021年医疗服务与保障能力提升资金及2021年医疗救助资金</w:t>
      </w:r>
      <w:r>
        <w:rPr>
          <w:rFonts w:hint="eastAsia" w:ascii="仿宋_GB2312" w:hAnsi="仿宋_GB2312" w:eastAsia="仿宋_GB2312" w:cs="仿宋_GB2312"/>
          <w:b w:val="0"/>
          <w:bCs w:val="0"/>
          <w:i w:val="0"/>
          <w:caps w:val="0"/>
          <w:color w:val="000000"/>
          <w:spacing w:val="0"/>
          <w:kern w:val="0"/>
          <w:sz w:val="32"/>
          <w:szCs w:val="32"/>
          <w:lang w:val="zh-CN" w:eastAsia="zh-CN" w:bidi="ar"/>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640" w:lineRule="exact"/>
        <w:ind w:left="0" w:firstLine="643" w:firstLineChars="200"/>
        <w:jc w:val="both"/>
        <w:textAlignment w:val="auto"/>
        <w:rPr>
          <w:rFonts w:hint="eastAsia" w:ascii="仿宋_GB2312" w:hAnsi="仿宋_GB2312" w:eastAsia="仿宋_GB2312" w:cs="仿宋_GB2312"/>
          <w:b w:val="0"/>
          <w:bCs w:val="0"/>
          <w:i w:val="0"/>
          <w:caps w:val="0"/>
          <w:color w:val="000000"/>
          <w:spacing w:val="0"/>
          <w:kern w:val="0"/>
          <w:sz w:val="32"/>
          <w:szCs w:val="32"/>
          <w:lang w:val="zh-CN" w:eastAsia="zh-CN" w:bidi="ar"/>
        </w:rPr>
      </w:pPr>
      <w:r>
        <w:rPr>
          <w:rFonts w:hint="eastAsia" w:ascii="仿宋_GB2312" w:hAnsi="Times New Roman" w:eastAsia="仿宋_GB2312" w:cs="宋体"/>
          <w:b/>
          <w:bCs/>
          <w:color w:val="000000"/>
          <w:kern w:val="0"/>
          <w:sz w:val="32"/>
          <w:szCs w:val="32"/>
          <w:shd w:val="clear" w:color="auto" w:fill="FFFFFF"/>
          <w:lang w:val="en-US" w:eastAsia="zh-CN" w:bidi="ar"/>
        </w:rPr>
        <w:t>7.</w:t>
      </w:r>
      <w:r>
        <w:rPr>
          <w:rFonts w:hint="eastAsia" w:ascii="仿宋_GB2312" w:hAnsi="Times New Roman" w:eastAsia="仿宋_GB2312" w:cs="宋体"/>
          <w:b/>
          <w:bCs/>
          <w:color w:val="000000"/>
          <w:kern w:val="0"/>
          <w:sz w:val="32"/>
          <w:szCs w:val="32"/>
          <w:shd w:val="clear" w:color="auto" w:fill="FFFFFF"/>
          <w:lang w:val="zh-CN" w:eastAsia="zh-CN" w:bidi="ar"/>
        </w:rPr>
        <w:t>预算完成情况。</w:t>
      </w:r>
      <w:r>
        <w:rPr>
          <w:rFonts w:hint="eastAsia" w:ascii="仿宋_GB2312" w:hAnsi="仿宋_GB2312" w:eastAsia="仿宋_GB2312" w:cs="仿宋_GB2312"/>
          <w:b w:val="0"/>
          <w:bCs w:val="0"/>
          <w:i w:val="0"/>
          <w:caps w:val="0"/>
          <w:color w:val="000000"/>
          <w:spacing w:val="0"/>
          <w:kern w:val="0"/>
          <w:sz w:val="32"/>
          <w:szCs w:val="32"/>
          <w:lang w:val="zh-CN" w:eastAsia="zh-CN" w:bidi="ar"/>
        </w:rPr>
        <w:t>2021年</w:t>
      </w:r>
      <w:r>
        <w:rPr>
          <w:rFonts w:hint="eastAsia" w:ascii="仿宋_GB2312" w:hAnsi="仿宋_GB2312" w:eastAsia="仿宋_GB2312" w:cs="仿宋_GB2312"/>
          <w:b w:val="0"/>
          <w:bCs w:val="0"/>
          <w:i w:val="0"/>
          <w:caps w:val="0"/>
          <w:color w:val="000000"/>
          <w:spacing w:val="0"/>
          <w:kern w:val="0"/>
          <w:sz w:val="32"/>
          <w:szCs w:val="32"/>
          <w:lang w:val="en-US" w:eastAsia="zh-CN" w:bidi="ar"/>
        </w:rPr>
        <w:t>我单位</w:t>
      </w:r>
      <w:r>
        <w:rPr>
          <w:rFonts w:hint="eastAsia" w:ascii="仿宋_GB2312" w:hAnsi="仿宋_GB2312" w:eastAsia="仿宋_GB2312" w:cs="仿宋_GB2312"/>
          <w:b w:val="0"/>
          <w:bCs w:val="0"/>
          <w:i w:val="0"/>
          <w:caps w:val="0"/>
          <w:color w:val="000000"/>
          <w:spacing w:val="0"/>
          <w:kern w:val="0"/>
          <w:sz w:val="32"/>
          <w:szCs w:val="32"/>
          <w:lang w:val="zh-CN" w:eastAsia="zh-CN" w:bidi="ar"/>
        </w:rPr>
        <w:t>根据预算编制要求，按编制口径编制了部门预算，结合部门中长期规划和年度工作计划，明确2021年度主要工作任务，科学制定部门整体支出绩效目标，通过对部门整体绩效自评，较好的完成了年初制定的目标计划，预算编制准确率较高。</w:t>
      </w:r>
    </w:p>
    <w:p>
      <w:pPr>
        <w:widowControl/>
        <w:adjustRightInd w:val="0"/>
        <w:snapToGrid w:val="0"/>
        <w:spacing w:line="580" w:lineRule="exact"/>
        <w:ind w:firstLine="643" w:firstLineChars="200"/>
        <w:contextualSpacing/>
        <w:jc w:val="left"/>
        <w:rPr>
          <w:rFonts w:hint="eastAsia" w:ascii="仿宋_GB2312" w:hAnsi="仿宋_GB2312" w:eastAsia="仿宋_GB2312" w:cs="仿宋_GB2312"/>
          <w:b w:val="0"/>
          <w:bCs w:val="0"/>
          <w:i w:val="0"/>
          <w:caps w:val="0"/>
          <w:color w:val="000000"/>
          <w:spacing w:val="0"/>
          <w:kern w:val="0"/>
          <w:sz w:val="32"/>
          <w:szCs w:val="32"/>
          <w:lang w:val="zh-CN" w:eastAsia="zh-CN" w:bidi="ar"/>
        </w:rPr>
      </w:pPr>
      <w:r>
        <w:rPr>
          <w:rFonts w:hint="eastAsia" w:ascii="仿宋_GB2312" w:hAnsi="Times New Roman" w:eastAsia="仿宋_GB2312" w:cs="宋体"/>
          <w:b/>
          <w:bCs/>
          <w:color w:val="000000"/>
          <w:kern w:val="0"/>
          <w:sz w:val="32"/>
          <w:szCs w:val="32"/>
          <w:shd w:val="clear" w:color="auto" w:fill="FFFFFF"/>
          <w:lang w:val="en-US" w:eastAsia="zh-CN" w:bidi="ar"/>
        </w:rPr>
        <w:t>8.</w:t>
      </w:r>
      <w:r>
        <w:rPr>
          <w:rFonts w:hint="eastAsia" w:ascii="仿宋_GB2312" w:hAnsi="Times New Roman" w:eastAsia="仿宋_GB2312" w:cs="宋体"/>
          <w:b/>
          <w:bCs/>
          <w:color w:val="000000"/>
          <w:kern w:val="0"/>
          <w:sz w:val="32"/>
          <w:szCs w:val="32"/>
          <w:shd w:val="clear" w:color="auto" w:fill="FFFFFF"/>
          <w:lang w:val="zh-CN" w:eastAsia="zh-CN" w:bidi="ar"/>
        </w:rPr>
        <w:t>违规记录情况。</w:t>
      </w:r>
      <w:r>
        <w:rPr>
          <w:rFonts w:hint="eastAsia" w:ascii="仿宋_GB2312" w:hAnsi="仿宋_GB2312" w:eastAsia="仿宋_GB2312" w:cs="仿宋_GB2312"/>
          <w:b w:val="0"/>
          <w:bCs w:val="0"/>
          <w:i w:val="0"/>
          <w:caps w:val="0"/>
          <w:color w:val="000000"/>
          <w:spacing w:val="0"/>
          <w:sz w:val="32"/>
          <w:szCs w:val="32"/>
          <w:lang w:val="en-US" w:eastAsia="zh-CN"/>
        </w:rPr>
        <w:t>理县医疗保障局对专项资金均实行了单独核算，按照专项资金管理办法和项目支出批复的用款要求，进行了专款专用及专项资金的核算。多次接受县财政、审计及州上有关部门的审计检查工作。</w:t>
      </w:r>
    </w:p>
    <w:p>
      <w:pPr>
        <w:adjustRightInd w:val="0"/>
        <w:snapToGrid w:val="0"/>
        <w:spacing w:line="580" w:lineRule="exact"/>
        <w:ind w:firstLine="720"/>
        <w:rPr>
          <w:rFonts w:hint="eastAsia" w:ascii="Times New Roman" w:hAnsi="Times New Roman" w:eastAsia="楷体_GB2312" w:cs="Times New Roman"/>
          <w:b/>
          <w:bCs/>
          <w:kern w:val="0"/>
          <w:sz w:val="32"/>
          <w:szCs w:val="32"/>
          <w:lang w:val="zh-CN" w:eastAsia="zh-CN" w:bidi="ar"/>
        </w:rPr>
      </w:pPr>
      <w:r>
        <w:rPr>
          <w:rFonts w:hint="eastAsia" w:ascii="Times New Roman" w:hAnsi="Times New Roman" w:eastAsia="楷体_GB2312" w:cs="Times New Roman"/>
          <w:b/>
          <w:bCs/>
          <w:kern w:val="0"/>
          <w:sz w:val="32"/>
          <w:szCs w:val="32"/>
          <w:lang w:val="zh-CN" w:eastAsia="zh-CN" w:bidi="ar"/>
        </w:rPr>
        <w:t>（二）结果应用情况。</w:t>
      </w:r>
    </w:p>
    <w:p>
      <w:pPr>
        <w:widowControl/>
        <w:adjustRightInd w:val="0"/>
        <w:snapToGrid w:val="0"/>
        <w:spacing w:line="580" w:lineRule="exact"/>
        <w:ind w:firstLine="643" w:firstLineChars="200"/>
        <w:contextualSpacing/>
        <w:jc w:val="left"/>
        <w:rPr>
          <w:rFonts w:hint="eastAsia" w:ascii="仿宋_GB2312" w:cs="宋体"/>
          <w:color w:val="000000"/>
          <w:kern w:val="0"/>
          <w:szCs w:val="32"/>
          <w:shd w:val="clear" w:color="auto" w:fill="FFFFFF"/>
          <w:lang w:val="zh-CN"/>
        </w:rPr>
      </w:pPr>
      <w:r>
        <w:rPr>
          <w:rFonts w:hint="eastAsia" w:ascii="仿宋_GB2312" w:hAnsi="Times New Roman" w:eastAsia="仿宋_GB2312" w:cs="宋体"/>
          <w:b/>
          <w:bCs/>
          <w:color w:val="000000"/>
          <w:kern w:val="0"/>
          <w:sz w:val="32"/>
          <w:szCs w:val="32"/>
          <w:shd w:val="clear" w:color="auto" w:fill="FFFFFF"/>
          <w:lang w:val="en-US" w:eastAsia="zh-CN" w:bidi="ar"/>
        </w:rPr>
        <w:t>1.</w:t>
      </w:r>
      <w:r>
        <w:rPr>
          <w:rFonts w:hint="eastAsia" w:ascii="仿宋_GB2312" w:hAnsi="Times New Roman" w:eastAsia="仿宋_GB2312" w:cs="宋体"/>
          <w:b/>
          <w:bCs/>
          <w:color w:val="000000"/>
          <w:kern w:val="0"/>
          <w:sz w:val="32"/>
          <w:szCs w:val="32"/>
          <w:shd w:val="clear" w:color="auto" w:fill="FFFFFF"/>
          <w:lang w:val="zh-CN" w:eastAsia="zh-CN" w:bidi="ar"/>
        </w:rPr>
        <w:t>绩效自评公开。</w:t>
      </w:r>
      <w:r>
        <w:rPr>
          <w:rFonts w:hint="eastAsia" w:ascii="仿宋_GB2312" w:hAnsi="仿宋_GB2312" w:eastAsia="仿宋_GB2312" w:cs="仿宋_GB2312"/>
          <w:b w:val="0"/>
          <w:bCs w:val="0"/>
          <w:i w:val="0"/>
          <w:caps w:val="0"/>
          <w:color w:val="000000"/>
          <w:spacing w:val="0"/>
          <w:sz w:val="32"/>
          <w:szCs w:val="32"/>
          <w:lang w:val="zh-CN" w:eastAsia="zh-CN"/>
        </w:rPr>
        <w:t>我</w:t>
      </w:r>
      <w:r>
        <w:rPr>
          <w:rFonts w:hint="eastAsia" w:ascii="仿宋_GB2312" w:hAnsi="仿宋_GB2312" w:eastAsia="仿宋_GB2312" w:cs="仿宋_GB2312"/>
          <w:b w:val="0"/>
          <w:bCs w:val="0"/>
          <w:i w:val="0"/>
          <w:caps w:val="0"/>
          <w:color w:val="000000"/>
          <w:spacing w:val="0"/>
          <w:sz w:val="32"/>
          <w:szCs w:val="32"/>
          <w:lang w:val="en-US" w:eastAsia="zh-CN"/>
        </w:rPr>
        <w:t>单位</w:t>
      </w:r>
      <w:r>
        <w:rPr>
          <w:rFonts w:hint="eastAsia" w:ascii="仿宋_GB2312" w:hAnsi="仿宋_GB2312" w:eastAsia="仿宋_GB2312" w:cs="仿宋_GB2312"/>
          <w:b w:val="0"/>
          <w:bCs w:val="0"/>
          <w:i w:val="0"/>
          <w:caps w:val="0"/>
          <w:color w:val="000000"/>
          <w:spacing w:val="0"/>
          <w:sz w:val="32"/>
          <w:szCs w:val="32"/>
          <w:lang w:val="zh-CN" w:eastAsia="zh-CN"/>
        </w:rPr>
        <w:t>将按照规定公开本次绩效自评结果。</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eastAsia" w:ascii="仿宋_GB2312" w:hAnsi="仿宋_GB2312" w:eastAsia="仿宋_GB2312" w:cs="仿宋_GB2312"/>
          <w:b w:val="0"/>
          <w:bCs w:val="0"/>
          <w:i w:val="0"/>
          <w:caps w:val="0"/>
          <w:color w:val="000000"/>
          <w:spacing w:val="0"/>
          <w:kern w:val="2"/>
          <w:sz w:val="32"/>
          <w:szCs w:val="32"/>
          <w:lang w:val="zh-CN" w:eastAsia="zh-CN" w:bidi="ar-SA"/>
        </w:rPr>
      </w:pPr>
      <w:r>
        <w:rPr>
          <w:rFonts w:hint="eastAsia" w:ascii="仿宋_GB2312" w:hAnsi="Times New Roman" w:eastAsia="仿宋_GB2312" w:cs="宋体"/>
          <w:b/>
          <w:bCs/>
          <w:color w:val="000000"/>
          <w:kern w:val="0"/>
          <w:sz w:val="32"/>
          <w:szCs w:val="32"/>
          <w:shd w:val="clear" w:color="auto" w:fill="FFFFFF"/>
          <w:lang w:val="en-US" w:eastAsia="zh-CN" w:bidi="ar"/>
        </w:rPr>
        <w:t>2.</w:t>
      </w:r>
      <w:r>
        <w:rPr>
          <w:rFonts w:hint="eastAsia" w:ascii="仿宋_GB2312" w:hAnsi="Times New Roman" w:eastAsia="仿宋_GB2312" w:cs="宋体"/>
          <w:b/>
          <w:bCs/>
          <w:color w:val="000000"/>
          <w:kern w:val="0"/>
          <w:sz w:val="32"/>
          <w:szCs w:val="32"/>
          <w:shd w:val="clear" w:color="auto" w:fill="FFFFFF"/>
          <w:lang w:val="zh-CN" w:eastAsia="zh-CN" w:bidi="ar"/>
        </w:rPr>
        <w:t>评价结果整改和应用结果反馈等情况。</w:t>
      </w:r>
      <w:r>
        <w:rPr>
          <w:rFonts w:hint="eastAsia" w:ascii="仿宋_GB2312" w:hAnsi="仿宋_GB2312" w:eastAsia="仿宋_GB2312" w:cs="仿宋_GB2312"/>
          <w:b w:val="0"/>
          <w:bCs w:val="0"/>
          <w:i w:val="0"/>
          <w:caps w:val="0"/>
          <w:color w:val="000000"/>
          <w:spacing w:val="0"/>
          <w:kern w:val="2"/>
          <w:sz w:val="32"/>
          <w:szCs w:val="32"/>
          <w:lang w:val="zh-CN" w:eastAsia="zh-CN" w:bidi="ar-SA"/>
        </w:rPr>
        <w:t>我单位切实加强组织领导，明确职能职责，加强对部门预算绩效管理，对2021年所有项目进行监控，并进行汇总分析，强化结果应用，确保绩效目标如期保质保量实现，不断提高财政资金运行效率。2022年</w:t>
      </w:r>
      <w:r>
        <w:rPr>
          <w:rFonts w:hint="eastAsia" w:ascii="仿宋_GB2312" w:hAnsi="仿宋_GB2312" w:eastAsia="仿宋_GB2312" w:cs="仿宋_GB2312"/>
          <w:b w:val="0"/>
          <w:bCs w:val="0"/>
          <w:i w:val="0"/>
          <w:caps w:val="0"/>
          <w:color w:val="000000"/>
          <w:spacing w:val="0"/>
          <w:kern w:val="2"/>
          <w:sz w:val="32"/>
          <w:szCs w:val="32"/>
          <w:lang w:val="en-US" w:eastAsia="zh-CN" w:bidi="ar-SA"/>
        </w:rPr>
        <w:t>我单位</w:t>
      </w:r>
      <w:r>
        <w:rPr>
          <w:rFonts w:hint="eastAsia" w:ascii="仿宋_GB2312" w:hAnsi="仿宋_GB2312" w:eastAsia="仿宋_GB2312" w:cs="仿宋_GB2312"/>
          <w:b w:val="0"/>
          <w:bCs w:val="0"/>
          <w:i w:val="0"/>
          <w:caps w:val="0"/>
          <w:color w:val="000000"/>
          <w:spacing w:val="0"/>
          <w:kern w:val="2"/>
          <w:sz w:val="32"/>
          <w:szCs w:val="32"/>
          <w:lang w:val="zh-CN" w:eastAsia="zh-CN" w:bidi="ar-SA"/>
        </w:rPr>
        <w:t>将根据财政部门要求，进一步加强财政资金使用绩效管理，提高部门预算资金使用的经济效益和社会效益。</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eastAsia" w:ascii="仿宋_GB2312" w:hAnsi="仿宋_GB2312" w:eastAsia="仿宋_GB2312" w:cs="仿宋_GB2312"/>
          <w:b/>
          <w:bCs/>
          <w:i w:val="0"/>
          <w:caps w:val="0"/>
          <w:color w:val="000000"/>
          <w:spacing w:val="0"/>
          <w:sz w:val="32"/>
          <w:szCs w:val="32"/>
          <w:lang w:val="en-US" w:eastAsia="zh-CN"/>
        </w:rPr>
      </w:pPr>
      <w:r>
        <w:rPr>
          <w:rFonts w:hint="eastAsia" w:ascii="仿宋_GB2312" w:hAnsi="仿宋_GB2312" w:eastAsia="仿宋_GB2312" w:cs="仿宋_GB2312"/>
          <w:b/>
          <w:bCs/>
          <w:i w:val="0"/>
          <w:caps w:val="0"/>
          <w:color w:val="000000"/>
          <w:spacing w:val="0"/>
          <w:sz w:val="32"/>
          <w:szCs w:val="32"/>
          <w:lang w:val="en-US" w:eastAsia="zh-CN"/>
        </w:rPr>
        <w:t>四、评价结论及建议</w:t>
      </w:r>
    </w:p>
    <w:p>
      <w:pPr>
        <w:adjustRightInd w:val="0"/>
        <w:snapToGrid w:val="0"/>
        <w:spacing w:line="580" w:lineRule="exact"/>
        <w:ind w:firstLine="720"/>
        <w:rPr>
          <w:rFonts w:hint="eastAsia" w:ascii="Times New Roman" w:hAnsi="Times New Roman" w:eastAsia="楷体_GB2312" w:cs="Times New Roman"/>
          <w:b/>
          <w:bCs/>
          <w:kern w:val="0"/>
          <w:sz w:val="32"/>
          <w:szCs w:val="32"/>
          <w:lang w:val="en-US" w:eastAsia="zh-CN" w:bidi="ar"/>
        </w:rPr>
      </w:pPr>
      <w:r>
        <w:rPr>
          <w:rFonts w:hint="eastAsia" w:ascii="Times New Roman" w:hAnsi="Times New Roman" w:eastAsia="楷体_GB2312" w:cs="Times New Roman"/>
          <w:b/>
          <w:bCs/>
          <w:kern w:val="0"/>
          <w:sz w:val="32"/>
          <w:szCs w:val="32"/>
          <w:lang w:val="en-US" w:eastAsia="zh-CN" w:bidi="ar"/>
        </w:rPr>
        <w:t>（一）评价结论</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b w:val="0"/>
          <w:bCs w:val="0"/>
          <w:i w:val="0"/>
          <w:caps w:val="0"/>
          <w:color w:val="000000"/>
          <w:spacing w:val="0"/>
          <w:sz w:val="32"/>
          <w:szCs w:val="32"/>
          <w:lang w:val="en-US" w:eastAsia="zh-CN"/>
        </w:rPr>
      </w:pPr>
      <w:r>
        <w:rPr>
          <w:rFonts w:hint="eastAsia" w:ascii="仿宋_GB2312" w:hAnsi="仿宋_GB2312" w:eastAsia="仿宋_GB2312" w:cs="仿宋_GB2312"/>
          <w:b w:val="0"/>
          <w:bCs w:val="0"/>
          <w:i w:val="0"/>
          <w:caps w:val="0"/>
          <w:color w:val="000000"/>
          <w:spacing w:val="0"/>
          <w:sz w:val="32"/>
          <w:szCs w:val="32"/>
          <w:lang w:val="en-US" w:eastAsia="zh-CN"/>
        </w:rPr>
        <w:t>理县医疗保障局预算执行情况良好，无不良记录及违规违纪行为，预算支出和决算支出情况相符。</w:t>
      </w:r>
    </w:p>
    <w:p>
      <w:pPr>
        <w:adjustRightInd w:val="0"/>
        <w:snapToGrid w:val="0"/>
        <w:spacing w:line="580" w:lineRule="exact"/>
        <w:ind w:firstLine="720"/>
        <w:rPr>
          <w:rFonts w:hint="eastAsia" w:ascii="Times New Roman" w:hAnsi="Times New Roman" w:eastAsia="楷体_GB2312" w:cs="Times New Roman"/>
          <w:b/>
          <w:bCs/>
          <w:kern w:val="0"/>
          <w:sz w:val="32"/>
          <w:szCs w:val="32"/>
          <w:lang w:val="en-US" w:eastAsia="zh-CN" w:bidi="ar"/>
        </w:rPr>
      </w:pPr>
      <w:r>
        <w:rPr>
          <w:rFonts w:hint="eastAsia" w:ascii="Times New Roman" w:hAnsi="Times New Roman" w:eastAsia="楷体_GB2312" w:cs="Times New Roman"/>
          <w:b/>
          <w:bCs/>
          <w:kern w:val="0"/>
          <w:sz w:val="32"/>
          <w:szCs w:val="32"/>
          <w:lang w:val="en-US" w:eastAsia="zh-CN" w:bidi="ar"/>
        </w:rPr>
        <w:t>（二）存在问题</w:t>
      </w:r>
    </w:p>
    <w:p>
      <w:pPr>
        <w:pStyle w:val="2"/>
        <w:spacing w:beforeLines="0" w:after="0" w:afterLines="0" w:line="576" w:lineRule="exact"/>
        <w:ind w:left="0" w:leftChars="0" w:firstLine="643"/>
        <w:rPr>
          <w:rFonts w:hint="default" w:ascii="Times New Roman" w:hAnsi="Times New Roman" w:eastAsia="方正仿宋_GBK"/>
          <w:b/>
          <w:color w:val="000000"/>
          <w:sz w:val="32"/>
          <w:szCs w:val="32"/>
        </w:rPr>
      </w:pPr>
      <w:r>
        <w:rPr>
          <w:rFonts w:hint="eastAsia" w:ascii="仿宋_GB2312" w:hAnsi="Times New Roman" w:eastAsia="仿宋_GB2312" w:cs="宋体"/>
          <w:b/>
          <w:bCs/>
          <w:color w:val="000000"/>
          <w:kern w:val="0"/>
          <w:sz w:val="32"/>
          <w:szCs w:val="32"/>
          <w:shd w:val="clear" w:color="auto" w:fill="FFFFFF"/>
          <w:lang w:val="zh-CN" w:eastAsia="zh-CN" w:bidi="ar"/>
        </w:rPr>
        <w:t>一是宣传工作有待进一步加强。</w:t>
      </w:r>
      <w:r>
        <w:rPr>
          <w:rFonts w:hint="eastAsia" w:ascii="仿宋_GB2312" w:hAnsi="仿宋_GB2312" w:eastAsia="仿宋_GB2312" w:cs="仿宋_GB2312"/>
          <w:b w:val="0"/>
          <w:bCs w:val="0"/>
          <w:i w:val="0"/>
          <w:caps w:val="0"/>
          <w:color w:val="000000"/>
          <w:spacing w:val="0"/>
          <w:kern w:val="0"/>
          <w:sz w:val="32"/>
          <w:szCs w:val="32"/>
          <w:lang w:val="en-US" w:eastAsia="zh-CN" w:bidi="ar"/>
        </w:rPr>
        <w:t>由于医疗保障政策调整快，涉及内容多，加之人员流动性大，宣传工作难以到位。</w:t>
      </w:r>
      <w:r>
        <w:rPr>
          <w:rFonts w:hint="eastAsia" w:ascii="仿宋_GB2312" w:hAnsi="Times New Roman" w:eastAsia="仿宋_GB2312" w:cs="宋体"/>
          <w:b/>
          <w:bCs/>
          <w:color w:val="000000"/>
          <w:kern w:val="0"/>
          <w:sz w:val="32"/>
          <w:szCs w:val="32"/>
          <w:shd w:val="clear" w:color="auto" w:fill="FFFFFF"/>
          <w:lang w:val="zh-CN" w:eastAsia="zh-CN" w:bidi="ar"/>
        </w:rPr>
        <w:t>二是推进药品集采工作难度较大。</w:t>
      </w:r>
      <w:r>
        <w:rPr>
          <w:rFonts w:hint="eastAsia" w:ascii="仿宋_GB2312" w:hAnsi="仿宋_GB2312" w:eastAsia="仿宋_GB2312" w:cs="仿宋_GB2312"/>
          <w:b w:val="0"/>
          <w:bCs w:val="0"/>
          <w:i w:val="0"/>
          <w:caps w:val="0"/>
          <w:color w:val="000000"/>
          <w:spacing w:val="0"/>
          <w:kern w:val="0"/>
          <w:sz w:val="32"/>
          <w:szCs w:val="32"/>
          <w:lang w:val="en-US" w:eastAsia="zh-CN" w:bidi="ar"/>
        </w:rPr>
        <w:t>一方面公立医疗机构用药需求小，申报不及时。另一方面药品配送企业配送不及时，随货同行单和发票未及时寄送给医疗机构，造成医保基金的预付货款回款率较低。</w:t>
      </w:r>
      <w:r>
        <w:rPr>
          <w:rFonts w:hint="eastAsia" w:ascii="仿宋_GB2312" w:hAnsi="Times New Roman" w:eastAsia="仿宋_GB2312" w:cs="宋体"/>
          <w:b/>
          <w:bCs/>
          <w:color w:val="000000"/>
          <w:kern w:val="0"/>
          <w:sz w:val="32"/>
          <w:szCs w:val="32"/>
          <w:shd w:val="clear" w:color="auto" w:fill="FFFFFF"/>
          <w:lang w:val="zh-CN" w:eastAsia="zh-CN" w:bidi="ar"/>
        </w:rPr>
        <w:t>三是医保基金监管难度较大。</w:t>
      </w:r>
      <w:r>
        <w:rPr>
          <w:rFonts w:hint="eastAsia" w:ascii="仿宋_GB2312" w:hAnsi="仿宋_GB2312" w:eastAsia="仿宋_GB2312" w:cs="仿宋_GB2312"/>
          <w:b w:val="0"/>
          <w:bCs w:val="0"/>
          <w:i w:val="0"/>
          <w:caps w:val="0"/>
          <w:color w:val="000000"/>
          <w:spacing w:val="0"/>
          <w:kern w:val="0"/>
          <w:sz w:val="32"/>
          <w:szCs w:val="32"/>
          <w:lang w:val="en-US" w:eastAsia="zh-CN" w:bidi="ar"/>
        </w:rPr>
        <w:t>在现行医疗体制下，定点医疗机构不合理检查、不合理治疗、违规收费、小病大治、过度诊疗等违规违法行为在一定程度上仍然存在，加之医保业务经办机构受稽核人才队伍建设、经费、监管措施等因素限制，医保基金监管缺乏长效机制，工作难以取得新突破。</w:t>
      </w:r>
      <w:r>
        <w:rPr>
          <w:rFonts w:hint="eastAsia" w:ascii="仿宋_GB2312" w:hAnsi="Times New Roman" w:eastAsia="仿宋_GB2312" w:cs="宋体"/>
          <w:b/>
          <w:bCs/>
          <w:color w:val="000000"/>
          <w:kern w:val="0"/>
          <w:sz w:val="32"/>
          <w:szCs w:val="32"/>
          <w:shd w:val="clear" w:color="auto" w:fill="FFFFFF"/>
          <w:lang w:val="zh-CN" w:eastAsia="zh-CN" w:bidi="ar"/>
        </w:rPr>
        <w:t>四是新医疗保障系统有待进一步完善。</w:t>
      </w:r>
      <w:r>
        <w:rPr>
          <w:rFonts w:hint="eastAsia" w:ascii="仿宋_GB2312" w:hAnsi="仿宋_GB2312" w:eastAsia="仿宋_GB2312" w:cs="仿宋_GB2312"/>
          <w:b w:val="0"/>
          <w:bCs w:val="0"/>
          <w:i w:val="0"/>
          <w:caps w:val="0"/>
          <w:color w:val="000000"/>
          <w:spacing w:val="0"/>
          <w:kern w:val="0"/>
          <w:sz w:val="32"/>
          <w:szCs w:val="32"/>
          <w:lang w:val="en-US" w:eastAsia="zh-CN" w:bidi="ar"/>
        </w:rPr>
        <w:t>由于新医疗保障系统功能还不完善，导致2022年度城乡居民参保缴费工作进展缓慢，业务处理还不够顺畅。</w:t>
      </w:r>
      <w:r>
        <w:rPr>
          <w:rFonts w:hint="eastAsia" w:ascii="仿宋_GB2312" w:hAnsi="Times New Roman" w:eastAsia="仿宋_GB2312" w:cs="宋体"/>
          <w:b/>
          <w:bCs/>
          <w:color w:val="000000"/>
          <w:kern w:val="0"/>
          <w:sz w:val="32"/>
          <w:szCs w:val="32"/>
          <w:shd w:val="clear" w:color="auto" w:fill="FFFFFF"/>
          <w:lang w:val="zh-CN" w:eastAsia="zh-CN" w:bidi="ar"/>
        </w:rPr>
        <w:t>五是医保信息化服务能力有待进一步加强。</w:t>
      </w:r>
      <w:r>
        <w:rPr>
          <w:rFonts w:hint="eastAsia" w:ascii="仿宋_GB2312" w:hAnsi="仿宋_GB2312" w:eastAsia="仿宋_GB2312" w:cs="仿宋_GB2312"/>
          <w:b w:val="0"/>
          <w:bCs w:val="0"/>
          <w:i w:val="0"/>
          <w:caps w:val="0"/>
          <w:color w:val="000000"/>
          <w:spacing w:val="0"/>
          <w:kern w:val="0"/>
          <w:sz w:val="32"/>
          <w:szCs w:val="32"/>
          <w:lang w:val="en-US" w:eastAsia="zh-CN" w:bidi="ar"/>
        </w:rPr>
        <w:t>随着医疗保障信息化建设不断深入，广大群众对接受信息化服务存在差异性，需要不断补充和完善工作机制，解决医保信息化服务更迭过程中出现的问题。</w:t>
      </w:r>
    </w:p>
    <w:p>
      <w:pPr>
        <w:pStyle w:val="2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eastAsia" w:ascii="Times New Roman" w:hAnsi="Times New Roman" w:eastAsia="楷体_GB2312" w:cs="Times New Roman"/>
          <w:b/>
          <w:bCs/>
          <w:kern w:val="0"/>
          <w:sz w:val="32"/>
          <w:szCs w:val="32"/>
          <w:lang w:val="en-US" w:eastAsia="zh-CN" w:bidi="ar"/>
        </w:rPr>
      </w:pPr>
      <w:r>
        <w:rPr>
          <w:rFonts w:hint="eastAsia" w:ascii="Times New Roman" w:hAnsi="Times New Roman" w:eastAsia="楷体_GB2312" w:cs="Times New Roman"/>
          <w:b/>
          <w:bCs/>
          <w:kern w:val="0"/>
          <w:sz w:val="32"/>
          <w:szCs w:val="32"/>
          <w:lang w:val="en-US" w:eastAsia="zh-CN" w:bidi="ar"/>
        </w:rPr>
        <w:t>（三）改进建议</w:t>
      </w:r>
    </w:p>
    <w:p>
      <w:pPr>
        <w:pStyle w:val="2"/>
        <w:spacing w:beforeLines="0" w:after="0" w:afterLines="0" w:line="576" w:lineRule="exact"/>
        <w:ind w:left="0" w:leftChars="0" w:firstLine="643"/>
        <w:rPr>
          <w:rFonts w:hint="default" w:ascii="仿宋_GB2312" w:hAnsi="仿宋_GB2312" w:eastAsia="仿宋_GB2312" w:cs="仿宋_GB2312"/>
          <w:b w:val="0"/>
          <w:bCs w:val="0"/>
          <w:i w:val="0"/>
          <w:caps w:val="0"/>
          <w:color w:val="000000"/>
          <w:spacing w:val="0"/>
          <w:kern w:val="0"/>
          <w:sz w:val="32"/>
          <w:szCs w:val="32"/>
          <w:lang w:val="en-US" w:eastAsia="zh-CN" w:bidi="ar"/>
        </w:rPr>
      </w:pPr>
      <w:r>
        <w:rPr>
          <w:rFonts w:hint="eastAsia" w:ascii="仿宋_GB2312" w:hAnsi="Times New Roman" w:eastAsia="仿宋_GB2312" w:cs="宋体"/>
          <w:b/>
          <w:bCs/>
          <w:color w:val="000000"/>
          <w:kern w:val="0"/>
          <w:sz w:val="32"/>
          <w:szCs w:val="32"/>
          <w:shd w:val="clear" w:color="auto" w:fill="FFFFFF"/>
          <w:lang w:val="zh-CN" w:eastAsia="zh-CN" w:bidi="ar"/>
        </w:rPr>
        <w:t>一是持续加大医疗保障政策宣传力度，全面提高参保覆盖面。</w:t>
      </w:r>
      <w:r>
        <w:rPr>
          <w:rFonts w:hint="eastAsia" w:ascii="仿宋_GB2312" w:hAnsi="仿宋_GB2312" w:eastAsia="仿宋_GB2312" w:cs="仿宋_GB2312"/>
          <w:b w:val="0"/>
          <w:bCs w:val="0"/>
          <w:i w:val="0"/>
          <w:caps w:val="0"/>
          <w:color w:val="000000"/>
          <w:spacing w:val="0"/>
          <w:kern w:val="0"/>
          <w:sz w:val="32"/>
          <w:szCs w:val="32"/>
          <w:lang w:val="en-US" w:eastAsia="zh-CN" w:bidi="ar"/>
        </w:rPr>
        <w:t>制定具有针对性扩面工作方案，努力扩大医疗保险覆盖面。</w:t>
      </w:r>
      <w:r>
        <w:rPr>
          <w:rFonts w:hint="eastAsia" w:ascii="仿宋_GB2312" w:hAnsi="Times New Roman" w:eastAsia="仿宋_GB2312" w:cs="宋体"/>
          <w:b/>
          <w:bCs/>
          <w:color w:val="000000"/>
          <w:kern w:val="0"/>
          <w:sz w:val="32"/>
          <w:szCs w:val="32"/>
          <w:shd w:val="clear" w:color="auto" w:fill="FFFFFF"/>
          <w:lang w:val="zh-CN" w:eastAsia="zh-CN" w:bidi="ar"/>
        </w:rPr>
        <w:t>二是持续推进药品集采工作。</w:t>
      </w:r>
      <w:r>
        <w:rPr>
          <w:rFonts w:hint="eastAsia" w:ascii="仿宋_GB2312" w:hAnsi="仿宋_GB2312" w:eastAsia="仿宋_GB2312" w:cs="仿宋_GB2312"/>
          <w:b w:val="0"/>
          <w:bCs w:val="0"/>
          <w:i w:val="0"/>
          <w:caps w:val="0"/>
          <w:color w:val="000000"/>
          <w:spacing w:val="0"/>
          <w:kern w:val="0"/>
          <w:sz w:val="32"/>
          <w:szCs w:val="32"/>
          <w:lang w:val="en-US" w:eastAsia="zh-CN" w:bidi="ar"/>
        </w:rPr>
        <w:t>着力协调解决药品招采工作中存在的问题和困难，加大药品招采工作力度，使广大参保群众能用上“便宜药、放心药”，为控制医疗费用不合理上涨起到积极的推动作用。</w:t>
      </w:r>
      <w:r>
        <w:rPr>
          <w:rFonts w:hint="eastAsia" w:ascii="仿宋_GB2312" w:hAnsi="Times New Roman" w:eastAsia="仿宋_GB2312" w:cs="宋体"/>
          <w:b/>
          <w:bCs/>
          <w:color w:val="000000"/>
          <w:kern w:val="0"/>
          <w:sz w:val="32"/>
          <w:szCs w:val="32"/>
          <w:shd w:val="clear" w:color="auto" w:fill="FFFFFF"/>
          <w:lang w:val="zh-CN" w:eastAsia="zh-CN" w:bidi="ar"/>
        </w:rPr>
        <w:t>三是加强医保基金监管力度。</w:t>
      </w:r>
      <w:r>
        <w:rPr>
          <w:rFonts w:hint="eastAsia" w:ascii="仿宋_GB2312" w:hAnsi="仿宋_GB2312" w:eastAsia="仿宋_GB2312" w:cs="仿宋_GB2312"/>
          <w:b w:val="0"/>
          <w:bCs w:val="0"/>
          <w:i w:val="0"/>
          <w:caps w:val="0"/>
          <w:color w:val="000000"/>
          <w:spacing w:val="0"/>
          <w:kern w:val="0"/>
          <w:sz w:val="32"/>
          <w:szCs w:val="32"/>
          <w:lang w:val="en-US" w:eastAsia="zh-CN" w:bidi="ar"/>
        </w:rPr>
        <w:t>加强协议监管，从源头杜绝各类违规行为的发生，同时加强与县公安局、县卫健局、县市场监督管理局等9部门的工作联动，严厉惩处欺诈骗保行为。</w:t>
      </w:r>
      <w:r>
        <w:rPr>
          <w:rFonts w:hint="eastAsia" w:ascii="仿宋_GB2312" w:hAnsi="Times New Roman" w:eastAsia="仿宋_GB2312" w:cs="宋体"/>
          <w:b/>
          <w:bCs/>
          <w:color w:val="000000"/>
          <w:kern w:val="0"/>
          <w:sz w:val="32"/>
          <w:szCs w:val="32"/>
          <w:shd w:val="clear" w:color="auto" w:fill="FFFFFF"/>
          <w:lang w:val="zh-CN" w:eastAsia="zh-CN" w:bidi="ar"/>
        </w:rPr>
        <w:t>四是完善新医疗保障业务系统。</w:t>
      </w:r>
      <w:r>
        <w:rPr>
          <w:rFonts w:hint="eastAsia" w:ascii="仿宋_GB2312" w:hAnsi="仿宋_GB2312" w:eastAsia="仿宋_GB2312" w:cs="仿宋_GB2312"/>
          <w:b w:val="0"/>
          <w:bCs w:val="0"/>
          <w:i w:val="0"/>
          <w:caps w:val="0"/>
          <w:color w:val="000000"/>
          <w:spacing w:val="0"/>
          <w:kern w:val="0"/>
          <w:sz w:val="32"/>
          <w:szCs w:val="32"/>
          <w:lang w:val="en-US" w:eastAsia="zh-CN" w:bidi="ar"/>
        </w:rPr>
        <w:t>梳理新医疗保障系统存在的问题和不足，建议州局对系统作进一步完善。</w:t>
      </w:r>
      <w:r>
        <w:rPr>
          <w:rFonts w:hint="eastAsia" w:ascii="仿宋_GB2312" w:hAnsi="Times New Roman" w:eastAsia="仿宋_GB2312" w:cs="宋体"/>
          <w:b/>
          <w:bCs/>
          <w:color w:val="000000"/>
          <w:kern w:val="0"/>
          <w:sz w:val="32"/>
          <w:szCs w:val="32"/>
          <w:shd w:val="clear" w:color="auto" w:fill="FFFFFF"/>
          <w:lang w:val="zh-CN" w:eastAsia="zh-CN" w:bidi="ar"/>
        </w:rPr>
        <w:t>五是持续推进理县“全民保”。</w:t>
      </w:r>
      <w:r>
        <w:rPr>
          <w:rFonts w:hint="eastAsia" w:ascii="仿宋_GB2312" w:hAnsi="仿宋_GB2312" w:eastAsia="仿宋_GB2312" w:cs="仿宋_GB2312"/>
          <w:b w:val="0"/>
          <w:bCs w:val="0"/>
          <w:i w:val="0"/>
          <w:caps w:val="0"/>
          <w:color w:val="000000"/>
          <w:spacing w:val="0"/>
          <w:kern w:val="0"/>
          <w:sz w:val="32"/>
          <w:szCs w:val="32"/>
          <w:lang w:val="en-US" w:eastAsia="zh-CN" w:bidi="ar"/>
        </w:rPr>
        <w:t>将城镇职工和原建档立卡人员纳入参保范围；积极做好理县“全民保”基金筹集工作；积极解决“全民保”运行过程中存在的问题及困难。</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p>
    <w:p>
      <w:pPr>
        <w:spacing w:line="580" w:lineRule="exact"/>
        <w:ind w:firstLine="640" w:firstLineChars="200"/>
        <w:rPr>
          <w:rFonts w:ascii="仿宋_GB2312" w:hAnsi="仿宋_GB2312" w:eastAsia="仿宋_GB2312" w:cs="仿宋_GB2312"/>
          <w:sz w:val="32"/>
          <w:szCs w:val="32"/>
        </w:rPr>
      </w:pPr>
    </w:p>
    <w:p>
      <w:pPr>
        <w:pStyle w:val="19"/>
        <w:rPr>
          <w:rFonts w:ascii="仿宋_GB2312" w:hAnsi="仿宋_GB2312" w:eastAsia="仿宋_GB2312" w:cs="仿宋_GB2312"/>
          <w:sz w:val="32"/>
          <w:szCs w:val="32"/>
        </w:rPr>
      </w:pPr>
    </w:p>
    <w:p>
      <w:pPr>
        <w:rPr>
          <w:rFonts w:ascii="仿宋_GB2312" w:hAnsi="仿宋_GB2312" w:eastAsia="仿宋_GB2312" w:cs="仿宋_GB2312"/>
          <w:sz w:val="32"/>
          <w:szCs w:val="32"/>
        </w:rPr>
      </w:pPr>
    </w:p>
    <w:p>
      <w:pPr>
        <w:pStyle w:val="2"/>
      </w:pPr>
    </w:p>
    <w:p>
      <w:pPr>
        <w:pStyle w:val="19"/>
        <w:rPr>
          <w:rFonts w:ascii="仿宋_GB2312" w:hAnsi="仿宋_GB2312" w:eastAsia="仿宋_GB2312" w:cs="仿宋_GB2312"/>
          <w:sz w:val="32"/>
          <w:szCs w:val="32"/>
        </w:rPr>
      </w:pPr>
    </w:p>
    <w:p>
      <w:pPr>
        <w:rPr>
          <w:rFonts w:ascii="仿宋_GB2312" w:hAnsi="仿宋_GB2312" w:eastAsia="仿宋_GB2312" w:cs="仿宋_GB2312"/>
          <w:sz w:val="32"/>
          <w:szCs w:val="32"/>
        </w:rPr>
      </w:pPr>
    </w:p>
    <w:p>
      <w:pPr>
        <w:spacing w:line="580" w:lineRule="exact"/>
        <w:rPr>
          <w:rFonts w:ascii="仿宋_GB2312" w:hAnsi="仿宋_GB2312" w:eastAsia="仿宋_GB2312" w:cs="仿宋_GB2312"/>
          <w:sz w:val="32"/>
          <w:szCs w:val="32"/>
        </w:rPr>
      </w:pPr>
    </w:p>
    <w:p>
      <w:pPr>
        <w:spacing w:line="600" w:lineRule="exact"/>
        <w:jc w:val="left"/>
        <w:outlineLvl w:val="0"/>
        <w:rPr>
          <w:rFonts w:ascii="黑体" w:hAnsi="黑体" w:eastAsia="黑体" w:cs="黑体"/>
          <w:sz w:val="32"/>
          <w:szCs w:val="32"/>
        </w:rPr>
      </w:pPr>
      <w:bookmarkStart w:id="148" w:name="_Toc79163633"/>
      <w:bookmarkStart w:id="149" w:name="_Toc79163883"/>
      <w:r>
        <w:rPr>
          <w:rFonts w:hint="eastAsia" w:ascii="黑体" w:hAnsi="黑体" w:eastAsia="黑体" w:cs="黑体"/>
          <w:sz w:val="32"/>
          <w:szCs w:val="32"/>
        </w:rPr>
        <w:t>附件</w:t>
      </w:r>
      <w:r>
        <w:rPr>
          <w:rFonts w:ascii="黑体" w:hAnsi="黑体" w:eastAsia="黑体" w:cs="黑体"/>
          <w:sz w:val="32"/>
          <w:szCs w:val="32"/>
        </w:rPr>
        <w:t>2</w:t>
      </w:r>
      <w:bookmarkEnd w:id="148"/>
      <w:bookmarkEnd w:id="149"/>
    </w:p>
    <w:p>
      <w:pPr>
        <w:spacing w:line="580" w:lineRule="exact"/>
        <w:ind w:firstLine="640" w:firstLineChars="200"/>
        <w:rPr>
          <w:rFonts w:ascii="仿宋_GB2312" w:hAnsi="仿宋_GB2312" w:eastAsia="仿宋_GB2312" w:cs="仿宋_GB2312"/>
          <w:sz w:val="32"/>
          <w:szCs w:val="32"/>
        </w:rPr>
      </w:pPr>
    </w:p>
    <w:p>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kern w:val="2"/>
          <w:sz w:val="44"/>
          <w:szCs w:val="44"/>
        </w:rPr>
      </w:pPr>
      <w:r>
        <w:rPr>
          <w:rFonts w:hint="eastAsia" w:ascii="宋体" w:hAnsi="宋体" w:eastAsia="宋体" w:cs="宋体"/>
          <w:b/>
          <w:bCs w:val="0"/>
          <w:kern w:val="2"/>
          <w:sz w:val="44"/>
          <w:szCs w:val="44"/>
          <w:lang w:val="en-US" w:eastAsia="zh-CN" w:bidi="ar"/>
        </w:rPr>
        <w:t>2021年医疗服务与保障能力提升中央专项补助资金项目绩效自评报告</w:t>
      </w:r>
    </w:p>
    <w:p>
      <w:pPr>
        <w:pStyle w:val="45"/>
        <w:widowControl/>
        <w:jc w:val="center"/>
        <w:rPr>
          <w:rFonts w:hint="eastAsia" w:ascii="宋体" w:hAnsi="宋体" w:eastAsia="宋体" w:cs="Times New Roman"/>
          <w:kern w:val="2"/>
          <w:sz w:val="32"/>
          <w:szCs w:val="32"/>
        </w:rPr>
      </w:pPr>
      <w:r>
        <w:rPr>
          <w:rFonts w:hint="eastAsia" w:ascii="宋体" w:hAnsi="宋体" w:eastAsia="宋体" w:cs="Times New Roman"/>
          <w:kern w:val="2"/>
          <w:sz w:val="32"/>
          <w:szCs w:val="32"/>
        </w:rPr>
        <w:t xml:space="preserve"> </w:t>
      </w:r>
    </w:p>
    <w:p>
      <w:pPr>
        <w:keepNext w:val="0"/>
        <w:keepLines w:val="0"/>
        <w:widowControl w:val="0"/>
        <w:numPr>
          <w:ilvl w:val="0"/>
          <w:numId w:val="6"/>
        </w:numPr>
        <w:suppressLineNumbers w:val="0"/>
        <w:adjustRightInd w:val="0"/>
        <w:snapToGrid w:val="0"/>
        <w:spacing w:before="0" w:beforeAutospacing="0" w:after="0" w:afterAutospacing="0" w:line="560" w:lineRule="exact"/>
        <w:ind w:left="0" w:right="0" w:firstLine="720"/>
        <w:jc w:val="both"/>
        <w:rPr>
          <w:rFonts w:hint="eastAsia" w:ascii="黑体" w:hAnsi="宋体" w:eastAsia="黑体" w:cs="黑体"/>
          <w:kern w:val="2"/>
          <w:sz w:val="32"/>
          <w:szCs w:val="32"/>
        </w:rPr>
      </w:pPr>
      <w:r>
        <w:rPr>
          <w:rFonts w:hint="eastAsia" w:ascii="黑体" w:hAnsi="宋体" w:eastAsia="黑体" w:cs="黑体"/>
          <w:kern w:val="2"/>
          <w:sz w:val="32"/>
          <w:szCs w:val="32"/>
          <w:lang w:val="en-US" w:eastAsia="zh-CN" w:bidi="ar"/>
        </w:rPr>
        <w:t>项目概况</w:t>
      </w:r>
    </w:p>
    <w:p>
      <w:pPr>
        <w:keepNext w:val="0"/>
        <w:keepLines w:val="0"/>
        <w:widowControl w:val="0"/>
        <w:suppressLineNumbers w:val="0"/>
        <w:autoSpaceDE w:val="0"/>
        <w:autoSpaceDN/>
        <w:adjustRightInd w:val="0"/>
        <w:snapToGrid w:val="0"/>
        <w:spacing w:before="0" w:beforeAutospacing="0" w:after="0" w:afterAutospacing="0" w:line="560" w:lineRule="exact"/>
        <w:ind w:left="0" w:right="0" w:firstLine="643" w:firstLineChars="200"/>
        <w:jc w:val="both"/>
        <w:outlineLvl w:val="1"/>
        <w:rPr>
          <w:rFonts w:hint="default" w:ascii="楷体_GB2312" w:hAnsi="宋体" w:eastAsia="楷体_GB2312" w:cs="楷体_GB2312"/>
          <w:b/>
          <w:bCs w:val="0"/>
          <w:kern w:val="2"/>
          <w:sz w:val="32"/>
          <w:szCs w:val="32"/>
        </w:rPr>
      </w:pPr>
      <w:r>
        <w:rPr>
          <w:rFonts w:hint="default" w:ascii="楷体_GB2312" w:hAnsi="宋体" w:eastAsia="楷体_GB2312" w:cs="楷体_GB2312"/>
          <w:b/>
          <w:bCs w:val="0"/>
          <w:kern w:val="2"/>
          <w:sz w:val="32"/>
          <w:szCs w:val="32"/>
          <w:lang w:val="en-US" w:eastAsia="zh-CN" w:bidi="ar"/>
        </w:rPr>
        <w:t>（一）项目资金申报及批复情况</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spacing w:val="-4"/>
          <w:kern w:val="2"/>
          <w:sz w:val="32"/>
          <w:szCs w:val="32"/>
          <w:lang w:val="en-US" w:eastAsia="zh-CN" w:bidi="ar"/>
        </w:rPr>
        <w:t>2021年</w:t>
      </w:r>
      <w:r>
        <w:rPr>
          <w:rFonts w:hint="eastAsia" w:ascii="仿宋_GB2312" w:hAnsi="Times New Roman" w:eastAsia="仿宋_GB2312" w:cs="仿宋_GB2312"/>
          <w:spacing w:val="-4"/>
          <w:kern w:val="2"/>
          <w:sz w:val="32"/>
          <w:szCs w:val="32"/>
          <w:lang w:val="en-US" w:eastAsia="zh-CN" w:bidi="ar"/>
        </w:rPr>
        <w:t>2月</w:t>
      </w:r>
      <w:r>
        <w:rPr>
          <w:rFonts w:hint="default" w:ascii="仿宋_GB2312" w:hAnsi="Times New Roman" w:eastAsia="仿宋_GB2312" w:cs="仿宋_GB2312"/>
          <w:spacing w:val="-4"/>
          <w:kern w:val="2"/>
          <w:sz w:val="32"/>
          <w:szCs w:val="32"/>
          <w:lang w:val="en-US" w:eastAsia="zh-CN" w:bidi="ar"/>
        </w:rPr>
        <w:t>下达2021年医疗服务与保障能力提升中央专项补助资金</w:t>
      </w:r>
      <w:r>
        <w:rPr>
          <w:rFonts w:hint="eastAsia" w:ascii="仿宋_GB2312" w:hAnsi="Times New Roman" w:eastAsia="仿宋_GB2312" w:cs="仿宋_GB2312"/>
          <w:spacing w:val="-4"/>
          <w:kern w:val="2"/>
          <w:sz w:val="32"/>
          <w:szCs w:val="32"/>
          <w:lang w:val="en-US" w:eastAsia="zh-CN" w:bidi="ar"/>
        </w:rPr>
        <w:t>8</w:t>
      </w:r>
      <w:r>
        <w:rPr>
          <w:rFonts w:hint="default" w:ascii="仿宋_GB2312" w:hAnsi="Times New Roman" w:eastAsia="仿宋_GB2312" w:cs="仿宋_GB2312"/>
          <w:spacing w:val="-4"/>
          <w:kern w:val="2"/>
          <w:sz w:val="32"/>
          <w:szCs w:val="32"/>
          <w:lang w:val="en-US" w:eastAsia="zh-CN" w:bidi="ar"/>
        </w:rPr>
        <w:t>万元。</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spacing w:val="-4"/>
          <w:kern w:val="2"/>
          <w:sz w:val="32"/>
          <w:szCs w:val="32"/>
          <w:lang w:val="en-US" w:eastAsia="zh-CN" w:bidi="ar"/>
        </w:rPr>
        <w:t>2021年全年，单位共收到中央资金共计</w:t>
      </w:r>
      <w:r>
        <w:rPr>
          <w:rFonts w:hint="eastAsia" w:ascii="仿宋_GB2312" w:hAnsi="Times New Roman" w:eastAsia="仿宋_GB2312" w:cs="仿宋_GB2312"/>
          <w:spacing w:val="-4"/>
          <w:kern w:val="2"/>
          <w:sz w:val="32"/>
          <w:szCs w:val="32"/>
          <w:lang w:val="en-US" w:eastAsia="zh-CN" w:bidi="ar"/>
        </w:rPr>
        <w:t>8</w:t>
      </w:r>
      <w:r>
        <w:rPr>
          <w:rFonts w:hint="default" w:ascii="仿宋_GB2312" w:hAnsi="Times New Roman" w:eastAsia="仿宋_GB2312" w:cs="仿宋_GB2312"/>
          <w:spacing w:val="-4"/>
          <w:kern w:val="2"/>
          <w:sz w:val="32"/>
          <w:szCs w:val="32"/>
          <w:lang w:val="en-US" w:eastAsia="zh-CN" w:bidi="ar"/>
        </w:rPr>
        <w:t>万元。</w:t>
      </w:r>
    </w:p>
    <w:p>
      <w:pPr>
        <w:keepNext w:val="0"/>
        <w:keepLines w:val="0"/>
        <w:widowControl w:val="0"/>
        <w:suppressLineNumbers w:val="0"/>
        <w:autoSpaceDE w:val="0"/>
        <w:autoSpaceDN/>
        <w:spacing w:before="0" w:beforeAutospacing="0" w:after="0" w:afterAutospacing="0"/>
        <w:ind w:left="0" w:right="0" w:firstLine="643" w:firstLineChars="200"/>
        <w:jc w:val="both"/>
        <w:outlineLvl w:val="1"/>
        <w:rPr>
          <w:rFonts w:hint="default" w:ascii="楷体_GB2312" w:hAnsi="宋体" w:eastAsia="楷体_GB2312" w:cs="楷体_GB2312"/>
          <w:b/>
          <w:bCs w:val="0"/>
          <w:kern w:val="2"/>
          <w:sz w:val="32"/>
          <w:szCs w:val="32"/>
        </w:rPr>
      </w:pPr>
      <w:r>
        <w:rPr>
          <w:rFonts w:hint="default" w:ascii="楷体_GB2312" w:hAnsi="宋体" w:eastAsia="楷体_GB2312" w:cs="楷体_GB2312"/>
          <w:b/>
          <w:bCs w:val="0"/>
          <w:kern w:val="2"/>
          <w:sz w:val="32"/>
          <w:szCs w:val="32"/>
          <w:lang w:val="en-US" w:eastAsia="zh-CN" w:bidi="ar"/>
        </w:rPr>
        <w:t>（二）项目绩效目标</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spacing w:val="-4"/>
          <w:kern w:val="2"/>
          <w:sz w:val="32"/>
          <w:szCs w:val="32"/>
          <w:lang w:val="en-US" w:eastAsia="zh-CN" w:bidi="ar"/>
        </w:rPr>
        <w:t>健康是人民的基本需求，是经济社会发展的基础。医疗卫生行业具有服务对象广、工作负荷大、职业风险多、成才周期长、知识更新快的特点，提供优质高效的医疗卫生服务，一方面要依靠科技进步、理念创新，大力提升医疗技术水平，提高医疗服务效率；另一方面要深刻认识到，医务人员是医疗卫生服务和健康中国建设的主力军，是社会生产力的重要组成部分，充分调动、发挥医务人员积极性、主动性，对提高医疗服务质量和效率，保障医疗安全，建立优质高效的医疗卫生服务体系，维护社会和谐稳定具有十分重要的意义。</w:t>
      </w:r>
    </w:p>
    <w:p>
      <w:pPr>
        <w:keepNext w:val="0"/>
        <w:keepLines w:val="0"/>
        <w:widowControl w:val="0"/>
        <w:suppressLineNumbers w:val="0"/>
        <w:autoSpaceDE w:val="0"/>
        <w:autoSpaceDN/>
        <w:adjustRightInd w:val="0"/>
        <w:snapToGrid w:val="0"/>
        <w:spacing w:before="0" w:beforeAutospacing="0" w:after="0" w:afterAutospacing="0" w:line="560" w:lineRule="exact"/>
        <w:ind w:left="0" w:leftChars="0" w:right="0" w:firstLine="643" w:firstLineChars="200"/>
        <w:jc w:val="both"/>
        <w:outlineLvl w:val="1"/>
        <w:rPr>
          <w:rFonts w:hint="default" w:ascii="楷体_GB2312" w:hAnsi="宋体" w:eastAsia="楷体_GB2312" w:cs="楷体_GB2312"/>
          <w:b/>
          <w:bCs w:val="0"/>
          <w:kern w:val="2"/>
          <w:sz w:val="32"/>
          <w:szCs w:val="32"/>
        </w:rPr>
      </w:pPr>
      <w:r>
        <w:rPr>
          <w:rFonts w:hint="default" w:ascii="楷体_GB2312" w:hAnsi="宋体" w:eastAsia="楷体_GB2312" w:cs="楷体_GB2312"/>
          <w:b/>
          <w:bCs w:val="0"/>
          <w:kern w:val="2"/>
          <w:sz w:val="32"/>
          <w:szCs w:val="32"/>
          <w:lang w:val="en-US" w:eastAsia="zh-CN" w:bidi="ar"/>
        </w:rPr>
        <w:t>（三）项目资金申报相符性</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spacing w:val="-4"/>
          <w:kern w:val="2"/>
          <w:sz w:val="32"/>
          <w:szCs w:val="32"/>
          <w:lang w:val="en-US" w:eastAsia="zh-CN" w:bidi="ar"/>
        </w:rPr>
        <w:t xml:space="preserve">根据县委政府三定方案，我局职能职责为贯彻落实医疗保险、生育保险、医疗救助等医疗保障法律法规，拟订执行医疗保障地方性法规、政府规章的具体办法，拟订全县医疗保障事业发展规划、政策和标准，并组织实施和监督检查；组织拟订并实施医疗保障基金监督管理制度，建立健全医疗保障基金安全防控机制，监督强化全县医疗保障基金运行管理；承担医疗保障筹资和待遇支付政策落实的责任。 </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spacing w:val="-4"/>
          <w:kern w:val="2"/>
          <w:sz w:val="32"/>
          <w:szCs w:val="32"/>
          <w:lang w:val="en-US" w:eastAsia="zh-CN" w:bidi="ar"/>
        </w:rPr>
        <w:t>该项目符合我单位职能职责设定，与我单位职能职责相符合。</w:t>
      </w:r>
    </w:p>
    <w:p>
      <w:pPr>
        <w:keepNext w:val="0"/>
        <w:keepLines w:val="0"/>
        <w:widowControl w:val="0"/>
        <w:suppressLineNumbers w:val="0"/>
        <w:adjustRightInd w:val="0"/>
        <w:snapToGrid w:val="0"/>
        <w:spacing w:before="0" w:beforeAutospacing="0" w:after="0" w:afterAutospacing="0" w:line="560" w:lineRule="exact"/>
        <w:ind w:left="0" w:right="0" w:firstLine="720"/>
        <w:jc w:val="both"/>
        <w:rPr>
          <w:rFonts w:hint="eastAsia" w:ascii="黑体" w:hAnsi="宋体" w:eastAsia="黑体" w:cs="黑体"/>
          <w:kern w:val="2"/>
          <w:sz w:val="32"/>
          <w:szCs w:val="32"/>
        </w:rPr>
      </w:pPr>
      <w:r>
        <w:rPr>
          <w:rFonts w:hint="eastAsia" w:ascii="黑体" w:hAnsi="宋体" w:eastAsia="黑体" w:cs="黑体"/>
          <w:kern w:val="2"/>
          <w:sz w:val="32"/>
          <w:szCs w:val="32"/>
          <w:lang w:val="en-US" w:eastAsia="zh-CN" w:bidi="ar"/>
        </w:rPr>
        <w:t>二、项目实施及管理情况</w:t>
      </w:r>
    </w:p>
    <w:p>
      <w:pPr>
        <w:keepNext w:val="0"/>
        <w:keepLines w:val="0"/>
        <w:widowControl w:val="0"/>
        <w:suppressLineNumbers w:val="0"/>
        <w:adjustRightInd w:val="0"/>
        <w:snapToGrid w:val="0"/>
        <w:spacing w:before="0" w:beforeAutospacing="0" w:after="0" w:afterAutospacing="0" w:line="560" w:lineRule="exact"/>
        <w:ind w:left="0" w:right="0" w:firstLine="720"/>
        <w:jc w:val="both"/>
        <w:rPr>
          <w:rFonts w:hint="default" w:ascii="楷体_GB2312" w:hAnsi="宋体" w:eastAsia="楷体_GB2312" w:cs="楷体_GB2312"/>
          <w:b/>
          <w:bCs w:val="0"/>
          <w:kern w:val="2"/>
          <w:sz w:val="32"/>
          <w:szCs w:val="32"/>
        </w:rPr>
      </w:pPr>
      <w:r>
        <w:rPr>
          <w:rFonts w:hint="default" w:ascii="仿宋_GB2312" w:hAnsi="宋体" w:eastAsia="仿宋_GB2312" w:cs="仿宋_GB2312"/>
          <w:kern w:val="2"/>
          <w:sz w:val="32"/>
          <w:szCs w:val="32"/>
          <w:lang w:val="en-US" w:eastAsia="zh-CN" w:bidi="ar"/>
        </w:rPr>
        <w:tab/>
      </w:r>
      <w:r>
        <w:rPr>
          <w:rFonts w:hint="default" w:ascii="楷体_GB2312" w:hAnsi="宋体" w:eastAsia="楷体_GB2312" w:cs="楷体_GB2312"/>
          <w:b/>
          <w:bCs w:val="0"/>
          <w:kern w:val="2"/>
          <w:sz w:val="32"/>
          <w:szCs w:val="32"/>
          <w:lang w:val="en-US" w:eastAsia="zh-CN" w:bidi="ar"/>
        </w:rPr>
        <w:t>（一）资金计划、到位及使用情况。</w:t>
      </w:r>
    </w:p>
    <w:p>
      <w:pPr>
        <w:keepNext w:val="0"/>
        <w:keepLines w:val="0"/>
        <w:widowControl w:val="0"/>
        <w:suppressLineNumbers w:val="0"/>
        <w:adjustRightInd w:val="0"/>
        <w:snapToGrid w:val="0"/>
        <w:spacing w:before="0" w:beforeAutospacing="0" w:after="0" w:afterAutospacing="0" w:line="560" w:lineRule="exact"/>
        <w:ind w:left="0" w:right="0" w:firstLine="720"/>
        <w:jc w:val="both"/>
        <w:rPr>
          <w:rFonts w:hint="default" w:ascii="楷体_GB2312" w:hAnsi="宋体" w:eastAsia="楷体_GB2312" w:cs="楷体_GB2312"/>
          <w:kern w:val="2"/>
          <w:sz w:val="32"/>
          <w:szCs w:val="32"/>
        </w:rPr>
      </w:pPr>
      <w:r>
        <w:rPr>
          <w:rFonts w:hint="default" w:ascii="楷体_GB2312" w:hAnsi="宋体" w:eastAsia="楷体_GB2312" w:cs="楷体_GB2312"/>
          <w:kern w:val="2"/>
          <w:sz w:val="32"/>
          <w:szCs w:val="32"/>
          <w:lang w:val="en-US" w:eastAsia="zh-CN" w:bidi="ar"/>
        </w:rPr>
        <w:t>1、资金计划及到位</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spacing w:val="-4"/>
          <w:kern w:val="2"/>
          <w:sz w:val="32"/>
          <w:szCs w:val="32"/>
          <w:lang w:val="en-US" w:eastAsia="zh-CN" w:bidi="ar"/>
        </w:rPr>
        <w:t>截止2021年2月，我单位共收到2021年医疗服务与保障能力提升中央专项补助资金</w:t>
      </w:r>
      <w:r>
        <w:rPr>
          <w:rFonts w:hint="eastAsia" w:ascii="仿宋_GB2312" w:hAnsi="Times New Roman" w:eastAsia="仿宋_GB2312" w:cs="仿宋_GB2312"/>
          <w:spacing w:val="-4"/>
          <w:kern w:val="2"/>
          <w:sz w:val="32"/>
          <w:szCs w:val="32"/>
          <w:lang w:val="en-US" w:eastAsia="zh-CN" w:bidi="ar"/>
        </w:rPr>
        <w:t>8</w:t>
      </w:r>
      <w:r>
        <w:rPr>
          <w:rFonts w:hint="default" w:ascii="仿宋_GB2312" w:hAnsi="Times New Roman" w:eastAsia="仿宋_GB2312" w:cs="仿宋_GB2312"/>
          <w:spacing w:val="-4"/>
          <w:kern w:val="2"/>
          <w:sz w:val="32"/>
          <w:szCs w:val="32"/>
          <w:lang w:val="en-US" w:eastAsia="zh-CN" w:bidi="ar"/>
        </w:rPr>
        <w:t>万元。目前资金已全部到位。</w:t>
      </w:r>
    </w:p>
    <w:p>
      <w:pPr>
        <w:keepNext w:val="0"/>
        <w:keepLines w:val="0"/>
        <w:widowControl w:val="0"/>
        <w:numPr>
          <w:ilvl w:val="0"/>
          <w:numId w:val="7"/>
        </w:numPr>
        <w:suppressLineNumbers w:val="0"/>
        <w:adjustRightInd w:val="0"/>
        <w:snapToGrid w:val="0"/>
        <w:spacing w:before="0" w:beforeAutospacing="0" w:after="0" w:afterAutospacing="0" w:line="560" w:lineRule="exact"/>
        <w:ind w:left="0" w:right="0" w:firstLine="720"/>
        <w:jc w:val="both"/>
        <w:rPr>
          <w:rFonts w:hint="default" w:ascii="楷体_GB2312" w:hAnsi="宋体" w:eastAsia="楷体_GB2312" w:cs="楷体_GB2312"/>
          <w:kern w:val="2"/>
          <w:sz w:val="32"/>
          <w:szCs w:val="32"/>
        </w:rPr>
      </w:pPr>
      <w:r>
        <w:rPr>
          <w:rFonts w:hint="default" w:ascii="楷体_GB2312" w:hAnsi="宋体" w:eastAsia="楷体_GB2312" w:cs="楷体_GB2312"/>
          <w:kern w:val="2"/>
          <w:sz w:val="32"/>
          <w:szCs w:val="32"/>
          <w:lang w:val="en-US" w:eastAsia="zh-CN" w:bidi="ar"/>
        </w:rPr>
        <w:t>资金使用</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spacing w:val="-4"/>
          <w:kern w:val="2"/>
          <w:sz w:val="32"/>
          <w:szCs w:val="32"/>
          <w:lang w:val="en-US" w:eastAsia="zh-CN" w:bidi="ar"/>
        </w:rPr>
        <w:t>截止2021年12月31日，项目已完成支付</w:t>
      </w:r>
      <w:r>
        <w:rPr>
          <w:rFonts w:hint="eastAsia" w:ascii="仿宋_GB2312" w:hAnsi="Times New Roman" w:eastAsia="仿宋_GB2312" w:cs="仿宋_GB2312"/>
          <w:spacing w:val="-4"/>
          <w:kern w:val="2"/>
          <w:sz w:val="32"/>
          <w:szCs w:val="32"/>
          <w:lang w:val="en-US" w:eastAsia="zh-CN" w:bidi="ar"/>
        </w:rPr>
        <w:t>8</w:t>
      </w:r>
      <w:r>
        <w:rPr>
          <w:rFonts w:hint="default" w:ascii="仿宋_GB2312" w:hAnsi="Times New Roman" w:eastAsia="仿宋_GB2312" w:cs="仿宋_GB2312"/>
          <w:spacing w:val="-4"/>
          <w:kern w:val="2"/>
          <w:sz w:val="32"/>
          <w:szCs w:val="32"/>
          <w:lang w:val="en-US" w:eastAsia="zh-CN" w:bidi="ar"/>
        </w:rPr>
        <w:t>万元。</w:t>
      </w:r>
    </w:p>
    <w:p>
      <w:pPr>
        <w:keepNext w:val="0"/>
        <w:keepLines w:val="0"/>
        <w:widowControl w:val="0"/>
        <w:suppressLineNumbers w:val="0"/>
        <w:adjustRightInd w:val="0"/>
        <w:snapToGrid w:val="0"/>
        <w:spacing w:before="0" w:beforeAutospacing="0" w:after="0" w:afterAutospacing="0" w:line="560" w:lineRule="exact"/>
        <w:ind w:left="0" w:right="0" w:firstLine="720"/>
        <w:jc w:val="both"/>
        <w:rPr>
          <w:rFonts w:hint="default" w:ascii="楷体_GB2312" w:hAnsi="宋体" w:eastAsia="楷体_GB2312" w:cs="楷体_GB2312"/>
          <w:b/>
          <w:bCs w:val="0"/>
          <w:kern w:val="2"/>
          <w:sz w:val="32"/>
          <w:szCs w:val="32"/>
        </w:rPr>
      </w:pPr>
      <w:r>
        <w:rPr>
          <w:rFonts w:hint="default" w:ascii="楷体_GB2312" w:hAnsi="宋体" w:eastAsia="楷体_GB2312" w:cs="楷体_GB2312"/>
          <w:b/>
          <w:bCs w:val="0"/>
          <w:kern w:val="2"/>
          <w:sz w:val="32"/>
          <w:szCs w:val="32"/>
          <w:lang w:val="en-US" w:eastAsia="zh-CN" w:bidi="ar"/>
        </w:rPr>
        <w:t>（二）项目财务管理情况。</w:t>
      </w:r>
    </w:p>
    <w:p>
      <w:pPr>
        <w:pStyle w:val="22"/>
        <w:keepNext w:val="0"/>
        <w:keepLines w:val="0"/>
        <w:widowControl w:val="0"/>
        <w:suppressLineNumbers w:val="0"/>
        <w:spacing w:before="0" w:beforeAutospacing="0" w:after="0" w:afterAutospacing="0" w:line="360" w:lineRule="auto"/>
        <w:ind w:left="0" w:right="0" w:firstLine="643" w:firstLineChars="200"/>
        <w:jc w:val="both"/>
        <w:rPr>
          <w:rFonts w:hint="default" w:ascii="仿宋_GB2312" w:eastAsia="仿宋_GB2312" w:cs="仿宋_GB2312"/>
          <w:b/>
          <w:bCs/>
          <w:kern w:val="0"/>
          <w:sz w:val="32"/>
          <w:szCs w:val="32"/>
        </w:rPr>
      </w:pPr>
      <w:r>
        <w:rPr>
          <w:rFonts w:hint="default" w:ascii="仿宋_GB2312" w:hAnsi="Calibri" w:eastAsia="仿宋_GB2312" w:cs="仿宋_GB2312"/>
          <w:b/>
          <w:bCs/>
          <w:kern w:val="0"/>
          <w:sz w:val="32"/>
          <w:szCs w:val="32"/>
          <w:lang w:val="en-US" w:eastAsia="zh-CN" w:bidi="ar"/>
        </w:rPr>
        <w:t>（一）基础管理</w:t>
      </w:r>
    </w:p>
    <w:p>
      <w:pPr>
        <w:pStyle w:val="22"/>
        <w:keepNext w:val="0"/>
        <w:keepLines w:val="0"/>
        <w:widowControl w:val="0"/>
        <w:suppressLineNumbers w:val="0"/>
        <w:spacing w:before="0" w:beforeAutospacing="0" w:after="0" w:afterAutospacing="0" w:line="360" w:lineRule="auto"/>
        <w:ind w:left="0" w:right="0" w:firstLine="643" w:firstLineChars="200"/>
        <w:jc w:val="both"/>
        <w:rPr>
          <w:rFonts w:hint="default" w:ascii="仿宋_GB2312" w:eastAsia="仿宋_GB2312" w:cs="仿宋_GB2312"/>
          <w:kern w:val="0"/>
          <w:sz w:val="32"/>
          <w:szCs w:val="32"/>
        </w:rPr>
      </w:pPr>
      <w:r>
        <w:rPr>
          <w:rFonts w:hint="default" w:ascii="仿宋_GB2312" w:hAnsi="Calibri" w:eastAsia="仿宋_GB2312" w:cs="仿宋_GB2312"/>
          <w:b/>
          <w:bCs/>
          <w:kern w:val="0"/>
          <w:sz w:val="32"/>
          <w:szCs w:val="32"/>
          <w:lang w:val="en-US" w:eastAsia="zh-CN" w:bidi="ar"/>
        </w:rPr>
        <w:t>1、管理制度健全性</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eastAsia" w:ascii="仿宋_GB2312" w:hAnsi="Times New Roman" w:eastAsia="仿宋_GB2312" w:cs="仿宋_GB2312"/>
          <w:spacing w:val="-4"/>
          <w:kern w:val="2"/>
          <w:sz w:val="32"/>
          <w:szCs w:val="32"/>
          <w:lang w:val="en-US" w:eastAsia="zh-CN" w:bidi="ar"/>
        </w:rPr>
        <w:t>理</w:t>
      </w:r>
      <w:r>
        <w:rPr>
          <w:rFonts w:hint="default" w:ascii="仿宋_GB2312" w:hAnsi="Times New Roman" w:eastAsia="仿宋_GB2312" w:cs="仿宋_GB2312"/>
          <w:spacing w:val="-4"/>
          <w:kern w:val="2"/>
          <w:sz w:val="32"/>
          <w:szCs w:val="32"/>
          <w:lang w:val="en-US" w:eastAsia="zh-CN" w:bidi="ar"/>
        </w:rPr>
        <w:t>县医疗保障局根据财政部颁布《行政单位内部控制规范》、《关于全部推进行政单位内部控制建设的指导意见》文件要求等法律法规及规章制度规定，结合单位实际情况，在对单位主要经济活动及业务流程梳理分析的基础上，初步建立覆盖本单位经济活动的内部控制体系，形成一系列的内部管理制度。主要包括有值班管理制度、档案管理制度、印章管理制度、会计核算管理制度、基金收支管理制度、内部财务管理制度、预算资金管理办法等内部管理制度；以上相关管理制度合法、合规、完整，均得到了有效执行。</w:t>
      </w:r>
    </w:p>
    <w:p>
      <w:pPr>
        <w:pStyle w:val="22"/>
        <w:keepNext w:val="0"/>
        <w:keepLines w:val="0"/>
        <w:widowControl w:val="0"/>
        <w:suppressLineNumbers w:val="0"/>
        <w:spacing w:before="0" w:beforeAutospacing="0" w:after="0" w:afterAutospacing="0" w:line="360" w:lineRule="auto"/>
        <w:ind w:left="420" w:leftChars="200" w:right="0" w:firstLine="0" w:firstLineChars="0"/>
        <w:jc w:val="both"/>
        <w:rPr>
          <w:rFonts w:hint="default" w:ascii="仿宋_GB2312" w:eastAsia="仿宋_GB2312" w:cs="仿宋_GB2312"/>
          <w:b/>
          <w:bCs/>
          <w:kern w:val="0"/>
          <w:sz w:val="32"/>
          <w:szCs w:val="32"/>
        </w:rPr>
      </w:pPr>
      <w:r>
        <w:rPr>
          <w:rFonts w:hint="default" w:ascii="仿宋_GB2312" w:hAnsi="Calibri" w:eastAsia="仿宋_GB2312" w:cs="仿宋_GB2312"/>
          <w:b/>
          <w:bCs/>
          <w:kern w:val="0"/>
          <w:sz w:val="32"/>
          <w:szCs w:val="32"/>
          <w:lang w:val="en-US" w:eastAsia="zh-CN" w:bidi="ar"/>
        </w:rPr>
        <w:t>2、财务管理以及资金使用合规性</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eastAsia" w:ascii="仿宋_GB2312" w:hAnsi="Times New Roman" w:eastAsia="仿宋_GB2312" w:cs="仿宋_GB2312"/>
          <w:spacing w:val="-4"/>
          <w:kern w:val="2"/>
          <w:sz w:val="32"/>
          <w:szCs w:val="32"/>
          <w:lang w:val="en-US" w:eastAsia="zh-CN" w:bidi="ar"/>
        </w:rPr>
        <w:t>理</w:t>
      </w:r>
      <w:r>
        <w:rPr>
          <w:rFonts w:hint="default" w:ascii="仿宋_GB2312" w:hAnsi="Times New Roman" w:eastAsia="仿宋_GB2312" w:cs="仿宋_GB2312"/>
          <w:spacing w:val="-4"/>
          <w:kern w:val="2"/>
          <w:sz w:val="32"/>
          <w:szCs w:val="32"/>
          <w:lang w:val="en-US" w:eastAsia="zh-CN" w:bidi="ar"/>
        </w:rPr>
        <w:t>县医疗保障局本年度收到医疗服务与保障能力提升资金</w:t>
      </w:r>
      <w:r>
        <w:rPr>
          <w:rFonts w:hint="eastAsia" w:ascii="仿宋_GB2312" w:hAnsi="Times New Roman" w:eastAsia="仿宋_GB2312" w:cs="仿宋_GB2312"/>
          <w:spacing w:val="-4"/>
          <w:kern w:val="2"/>
          <w:sz w:val="32"/>
          <w:szCs w:val="32"/>
          <w:lang w:val="en-US" w:eastAsia="zh-CN" w:bidi="ar"/>
        </w:rPr>
        <w:t>8</w:t>
      </w:r>
      <w:r>
        <w:rPr>
          <w:rFonts w:hint="default" w:ascii="仿宋_GB2312" w:hAnsi="Times New Roman" w:eastAsia="仿宋_GB2312" w:cs="仿宋_GB2312"/>
          <w:spacing w:val="-4"/>
          <w:kern w:val="2"/>
          <w:sz w:val="32"/>
          <w:szCs w:val="32"/>
          <w:lang w:val="en-US" w:eastAsia="zh-CN" w:bidi="ar"/>
        </w:rPr>
        <w:t>万元，实际使用</w:t>
      </w:r>
      <w:r>
        <w:rPr>
          <w:rFonts w:hint="eastAsia" w:ascii="仿宋_GB2312" w:hAnsi="Times New Roman" w:eastAsia="仿宋_GB2312" w:cs="仿宋_GB2312"/>
          <w:spacing w:val="-4"/>
          <w:kern w:val="2"/>
          <w:sz w:val="32"/>
          <w:szCs w:val="32"/>
          <w:lang w:val="en-US" w:eastAsia="zh-CN" w:bidi="ar"/>
        </w:rPr>
        <w:t>8</w:t>
      </w:r>
      <w:r>
        <w:rPr>
          <w:rFonts w:hint="default" w:ascii="仿宋_GB2312" w:hAnsi="Times New Roman" w:eastAsia="仿宋_GB2312" w:cs="仿宋_GB2312"/>
          <w:spacing w:val="-4"/>
          <w:kern w:val="2"/>
          <w:sz w:val="32"/>
          <w:szCs w:val="32"/>
          <w:lang w:val="en-US" w:eastAsia="zh-CN" w:bidi="ar"/>
        </w:rPr>
        <w:t>万元。资金使用过程中严格按照单位财务管理制度要求执行，资金使用的合规性体现在：</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spacing w:val="-4"/>
          <w:kern w:val="2"/>
          <w:sz w:val="32"/>
          <w:szCs w:val="32"/>
          <w:lang w:val="en-US" w:eastAsia="zh-CN" w:bidi="ar"/>
        </w:rPr>
        <w:t>1.所有经费开支坚持财务审批制度，重大资金支出（日常公用经费在1万元及以上）由党组会研究决定。</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spacing w:val="-4"/>
          <w:kern w:val="2"/>
          <w:sz w:val="32"/>
          <w:szCs w:val="32"/>
          <w:lang w:val="en-US" w:eastAsia="zh-CN" w:bidi="ar"/>
        </w:rPr>
        <w:t>2.在报销经费时，经办人使用统一规范的审批单，在审批单上写明用途、经办人员、证明人员、股室负责人、金额、报销日期、单据张数等内容。</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spacing w:val="-4"/>
          <w:kern w:val="2"/>
          <w:sz w:val="32"/>
          <w:szCs w:val="32"/>
          <w:lang w:val="en-US" w:eastAsia="zh-CN" w:bidi="ar"/>
        </w:rPr>
        <w:t xml:space="preserve">3.费用报销审批程序  </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spacing w:val="-4"/>
          <w:kern w:val="2"/>
          <w:sz w:val="32"/>
          <w:szCs w:val="32"/>
          <w:lang w:val="en-US" w:eastAsia="zh-CN" w:bidi="ar"/>
        </w:rPr>
        <w:t>经办人填写《支出审批单》→由办公室负责人确认签字→分管领导确认签字→局长批准后，到办公室出纳处办理支付手续。</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spacing w:val="-4"/>
          <w:kern w:val="2"/>
          <w:sz w:val="32"/>
          <w:szCs w:val="32"/>
          <w:lang w:val="en-US" w:eastAsia="zh-CN" w:bidi="ar"/>
        </w:rPr>
        <w:t>各个审批环节的具体职责：</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spacing w:val="-4"/>
          <w:kern w:val="2"/>
          <w:sz w:val="32"/>
          <w:szCs w:val="32"/>
          <w:lang w:val="en-US" w:eastAsia="zh-CN" w:bidi="ar"/>
        </w:rPr>
        <w:t>办公室负责人及其分管领导对其发生的支出用途及金额的真实性、准确性负责，并对其股室填写的支出审批单内容、大小写金额、票据张数进行审核。经济业务发生后，原则上在15天之内报账完毕。不得将几个经济事项的票据合并填报。</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spacing w:val="-4"/>
          <w:kern w:val="2"/>
          <w:sz w:val="32"/>
          <w:szCs w:val="32"/>
          <w:lang w:val="en-US" w:eastAsia="zh-CN" w:bidi="ar"/>
        </w:rPr>
        <w:t>出纳、会计对提供的原始票据的合法性进行审核监督。审核发票是否真实合法、填写是否规范、印章是否齐全、报销金额与原始票据是否相符；审核是否符合审批程序；审核是否在预算额度内、在审计金额内按进度、按比例、按范围付款。对不符合规定的票据，出纳、会计有权拒绝受理。</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spacing w:val="-4"/>
          <w:kern w:val="2"/>
          <w:sz w:val="32"/>
          <w:szCs w:val="32"/>
          <w:lang w:val="en-US" w:eastAsia="zh-CN" w:bidi="ar"/>
        </w:rPr>
        <w:t>领导审查财务收支的真实性、合法性、必要性，并在报销凭证上明确签署报销意见。</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spacing w:val="-4"/>
          <w:kern w:val="2"/>
          <w:sz w:val="32"/>
          <w:szCs w:val="32"/>
          <w:lang w:val="en-US" w:eastAsia="zh-CN" w:bidi="ar"/>
        </w:rPr>
        <w:t>所有费用报销实行局长“一支笔”签批制度。</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spacing w:val="-4"/>
          <w:kern w:val="2"/>
          <w:sz w:val="32"/>
          <w:szCs w:val="32"/>
          <w:lang w:val="en-US" w:eastAsia="zh-CN" w:bidi="ar"/>
        </w:rPr>
        <w:t>出纳人员对已经审批后的支出票据必须进行复核（复核票据张数、金额、审批程序），对不符合规定的票据有权拒绝支付并立即向机关领导报告。严格控制现金支付，原则上采用公务卡和转账结算。会计人员进行会计核算时，对不符合财经管理规定的票据有权拒绝接受并应立即报告。</w:t>
      </w:r>
    </w:p>
    <w:p>
      <w:pPr>
        <w:keepNext w:val="0"/>
        <w:keepLines w:val="0"/>
        <w:widowControl w:val="0"/>
        <w:suppressLineNumbers w:val="0"/>
        <w:adjustRightInd w:val="0"/>
        <w:snapToGrid w:val="0"/>
        <w:spacing w:before="0" w:beforeAutospacing="0" w:after="0" w:afterAutospacing="0" w:line="560" w:lineRule="exact"/>
        <w:ind w:left="0" w:right="0" w:firstLine="720"/>
        <w:jc w:val="both"/>
        <w:rPr>
          <w:rFonts w:hint="default" w:ascii="楷体_GB2312" w:hAnsi="宋体" w:eastAsia="楷体_GB2312" w:cs="楷体_GB2312"/>
          <w:b/>
          <w:bCs w:val="0"/>
          <w:kern w:val="2"/>
          <w:sz w:val="32"/>
          <w:szCs w:val="32"/>
        </w:rPr>
      </w:pPr>
      <w:r>
        <w:rPr>
          <w:rFonts w:hint="default" w:ascii="楷体_GB2312" w:hAnsi="宋体" w:eastAsia="楷体_GB2312" w:cs="楷体_GB2312"/>
          <w:b/>
          <w:bCs w:val="0"/>
          <w:kern w:val="2"/>
          <w:sz w:val="32"/>
          <w:szCs w:val="32"/>
          <w:lang w:val="en-US" w:eastAsia="zh-CN" w:bidi="ar"/>
        </w:rPr>
        <w:t>（三）项目组织实施情况</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spacing w:val="-4"/>
          <w:kern w:val="2"/>
          <w:sz w:val="32"/>
          <w:szCs w:val="32"/>
          <w:lang w:val="en-US" w:eastAsia="zh-CN" w:bidi="ar"/>
        </w:rPr>
        <w:t>办公室负责单位内控评价与监督工作，具体职责如下：负责制定单位内部控制监督评价相关制度；负责制订内部控制评价方案；负责组织对单位年度内部控制工作自评工作；负责对本单位风险管理工作的实施情况和有效性进行监督和检查；负责对各个部门各业务流程的执行情况进行监督和检查；。</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spacing w:val="-4"/>
          <w:kern w:val="2"/>
          <w:sz w:val="32"/>
          <w:szCs w:val="32"/>
          <w:lang w:val="en-US" w:eastAsia="zh-CN" w:bidi="ar"/>
        </w:rPr>
        <w:t>壤塘县医疗保障局制定的管理制度，包括不限于财务管理制度、采购管理制度，监控、监督措施执行有效，2020年度壤塘县医疗保障局财务人员按要求执行了监控职能。</w:t>
      </w:r>
    </w:p>
    <w:p>
      <w:pPr>
        <w:keepNext w:val="0"/>
        <w:keepLines w:val="0"/>
        <w:widowControl w:val="0"/>
        <w:suppressLineNumbers w:val="0"/>
        <w:adjustRightInd w:val="0"/>
        <w:snapToGrid w:val="0"/>
        <w:spacing w:before="0" w:beforeAutospacing="0" w:after="0" w:afterAutospacing="0" w:line="560" w:lineRule="exact"/>
        <w:ind w:left="0" w:right="0" w:firstLine="720"/>
        <w:jc w:val="both"/>
        <w:rPr>
          <w:rFonts w:hint="default" w:ascii="仿宋_GB2312" w:hAnsi="宋体" w:eastAsia="仿宋_GB2312" w:cs="仿宋_GB2312"/>
          <w:kern w:val="2"/>
          <w:sz w:val="32"/>
          <w:szCs w:val="32"/>
        </w:rPr>
      </w:pPr>
      <w:r>
        <w:rPr>
          <w:rFonts w:hint="eastAsia" w:ascii="黑体" w:hAnsi="宋体" w:eastAsia="黑体" w:cs="黑体"/>
          <w:kern w:val="2"/>
          <w:sz w:val="32"/>
          <w:szCs w:val="32"/>
          <w:lang w:val="en-US" w:eastAsia="zh-CN" w:bidi="ar"/>
        </w:rPr>
        <w:t>三、目标完成情况</w:t>
      </w:r>
      <w:r>
        <w:rPr>
          <w:rFonts w:hint="default" w:ascii="仿宋_GB2312" w:hAnsi="宋体" w:eastAsia="仿宋_GB2312" w:cs="仿宋_GB2312"/>
          <w:kern w:val="2"/>
          <w:sz w:val="32"/>
          <w:szCs w:val="32"/>
          <w:lang w:val="en-US" w:eastAsia="zh-CN" w:bidi="ar"/>
        </w:rPr>
        <w:tab/>
      </w:r>
    </w:p>
    <w:p>
      <w:pPr>
        <w:keepNext w:val="0"/>
        <w:keepLines w:val="0"/>
        <w:widowControl w:val="0"/>
        <w:suppressLineNumbers w:val="0"/>
        <w:autoSpaceDE w:val="0"/>
        <w:autoSpaceDN/>
        <w:adjustRightInd w:val="0"/>
        <w:snapToGrid w:val="0"/>
        <w:spacing w:before="0" w:beforeAutospacing="0" w:after="0" w:afterAutospacing="0" w:line="560" w:lineRule="exact"/>
        <w:ind w:left="0" w:right="0" w:firstLine="643" w:firstLineChars="200"/>
        <w:jc w:val="both"/>
        <w:rPr>
          <w:rFonts w:hint="default" w:ascii="楷体_GB2312" w:hAnsi="宋体" w:eastAsia="楷体_GB2312" w:cs="楷体_GB2312"/>
          <w:b/>
          <w:bCs w:val="0"/>
          <w:kern w:val="2"/>
          <w:sz w:val="32"/>
          <w:szCs w:val="32"/>
        </w:rPr>
      </w:pPr>
      <w:r>
        <w:rPr>
          <w:rFonts w:hint="default" w:ascii="楷体_GB2312" w:hAnsi="宋体" w:eastAsia="楷体_GB2312" w:cs="楷体_GB2312"/>
          <w:b/>
          <w:bCs w:val="0"/>
          <w:kern w:val="2"/>
          <w:sz w:val="32"/>
          <w:szCs w:val="32"/>
          <w:lang w:val="en-US" w:eastAsia="zh-CN" w:bidi="ar"/>
        </w:rPr>
        <w:t>（一）目标任务量完成情况</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spacing w:val="-4"/>
          <w:kern w:val="2"/>
          <w:sz w:val="32"/>
          <w:szCs w:val="32"/>
          <w:lang w:val="en-US" w:eastAsia="zh-CN" w:bidi="ar"/>
        </w:rPr>
        <w:t>在县内各地区对医疗保险的作用进行宣传，提升地方群众缴纳医疗保险的积极性。</w:t>
      </w:r>
    </w:p>
    <w:p>
      <w:pPr>
        <w:keepNext w:val="0"/>
        <w:keepLines w:val="0"/>
        <w:widowControl w:val="0"/>
        <w:suppressLineNumbers w:val="0"/>
        <w:autoSpaceDE w:val="0"/>
        <w:autoSpaceDN/>
        <w:adjustRightInd w:val="0"/>
        <w:snapToGrid w:val="0"/>
        <w:spacing w:before="0" w:beforeAutospacing="0" w:after="0" w:afterAutospacing="0" w:line="560" w:lineRule="exact"/>
        <w:ind w:left="0" w:right="0" w:firstLine="643" w:firstLineChars="200"/>
        <w:jc w:val="both"/>
        <w:rPr>
          <w:rFonts w:hint="default" w:ascii="楷体_GB2312" w:hAnsi="宋体" w:eastAsia="楷体_GB2312" w:cs="楷体_GB2312"/>
          <w:b/>
          <w:bCs w:val="0"/>
          <w:kern w:val="2"/>
          <w:sz w:val="32"/>
          <w:szCs w:val="32"/>
        </w:rPr>
      </w:pPr>
      <w:r>
        <w:rPr>
          <w:rFonts w:hint="default" w:ascii="楷体_GB2312" w:hAnsi="宋体" w:eastAsia="楷体_GB2312" w:cs="楷体_GB2312"/>
          <w:b/>
          <w:bCs w:val="0"/>
          <w:kern w:val="2"/>
          <w:sz w:val="32"/>
          <w:szCs w:val="32"/>
          <w:lang w:val="en-US" w:eastAsia="zh-CN" w:bidi="ar"/>
        </w:rPr>
        <w:t>（二）目标质量完成情况</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spacing w:val="-4"/>
          <w:kern w:val="2"/>
          <w:sz w:val="32"/>
          <w:szCs w:val="32"/>
          <w:lang w:val="en-US" w:eastAsia="zh-CN" w:bidi="ar"/>
        </w:rPr>
        <w:t>我单位当年申报资金总额为</w:t>
      </w:r>
      <w:r>
        <w:rPr>
          <w:rFonts w:hint="eastAsia" w:ascii="仿宋_GB2312" w:hAnsi="Times New Roman" w:eastAsia="仿宋_GB2312" w:cs="仿宋_GB2312"/>
          <w:spacing w:val="-4"/>
          <w:kern w:val="2"/>
          <w:sz w:val="32"/>
          <w:szCs w:val="32"/>
          <w:lang w:val="en-US" w:eastAsia="zh-CN" w:bidi="ar"/>
        </w:rPr>
        <w:t>8</w:t>
      </w:r>
      <w:r>
        <w:rPr>
          <w:rFonts w:hint="default" w:ascii="仿宋_GB2312" w:hAnsi="Times New Roman" w:eastAsia="仿宋_GB2312" w:cs="仿宋_GB2312"/>
          <w:spacing w:val="-4"/>
          <w:kern w:val="2"/>
          <w:sz w:val="32"/>
          <w:szCs w:val="32"/>
          <w:lang w:val="en-US" w:eastAsia="zh-CN" w:bidi="ar"/>
        </w:rPr>
        <w:t>万元，用于对地方医疗保险和医疗救助进行宣传和推广，以及对县内各项工作进行检查，截止2021年12月31日，已在全县各地区进行相关工作宣传，确保宣传覆盖率达100%。</w:t>
      </w:r>
    </w:p>
    <w:p>
      <w:pPr>
        <w:keepNext w:val="0"/>
        <w:keepLines w:val="0"/>
        <w:widowControl w:val="0"/>
        <w:suppressLineNumbers w:val="0"/>
        <w:adjustRightInd w:val="0"/>
        <w:snapToGrid w:val="0"/>
        <w:spacing w:before="0" w:beforeAutospacing="0" w:after="0" w:afterAutospacing="0" w:line="560" w:lineRule="exact"/>
        <w:ind w:left="0" w:right="0" w:firstLine="720"/>
        <w:jc w:val="both"/>
        <w:rPr>
          <w:rFonts w:hint="default" w:ascii="楷体_GB2312" w:hAnsi="宋体" w:eastAsia="楷体_GB2312" w:cs="楷体_GB2312"/>
          <w:b/>
          <w:bCs w:val="0"/>
          <w:kern w:val="2"/>
          <w:sz w:val="32"/>
          <w:szCs w:val="32"/>
        </w:rPr>
      </w:pPr>
      <w:r>
        <w:rPr>
          <w:rFonts w:hint="default" w:ascii="楷体_GB2312" w:hAnsi="宋体" w:eastAsia="楷体_GB2312" w:cs="楷体_GB2312"/>
          <w:b/>
          <w:bCs w:val="0"/>
          <w:kern w:val="2"/>
          <w:sz w:val="32"/>
          <w:szCs w:val="32"/>
          <w:lang w:val="en-US" w:eastAsia="zh-CN" w:bidi="ar"/>
        </w:rPr>
        <w:t>（三）目标进度完成情况</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spacing w:val="-4"/>
          <w:kern w:val="2"/>
          <w:sz w:val="32"/>
          <w:szCs w:val="32"/>
          <w:lang w:val="en-US" w:eastAsia="zh-CN" w:bidi="ar"/>
        </w:rPr>
        <w:t>我单位于2021年年初申报在县内对医疗保险和医疗救助工作进行宣传。截止目前，宣传工作已按要求完成。</w:t>
      </w:r>
    </w:p>
    <w:p>
      <w:pPr>
        <w:keepNext w:val="0"/>
        <w:keepLines w:val="0"/>
        <w:widowControl w:val="0"/>
        <w:suppressLineNumbers w:val="0"/>
        <w:adjustRightInd w:val="0"/>
        <w:snapToGrid w:val="0"/>
        <w:spacing w:before="0" w:beforeAutospacing="0" w:after="0" w:afterAutospacing="0" w:line="560" w:lineRule="exact"/>
        <w:ind w:left="0" w:right="0" w:firstLine="720"/>
        <w:jc w:val="both"/>
        <w:rPr>
          <w:rFonts w:hint="eastAsia" w:ascii="黑体" w:hAnsi="宋体" w:eastAsia="黑体" w:cs="黑体"/>
          <w:kern w:val="2"/>
          <w:sz w:val="32"/>
          <w:szCs w:val="32"/>
        </w:rPr>
      </w:pPr>
      <w:r>
        <w:rPr>
          <w:rFonts w:hint="eastAsia" w:ascii="黑体" w:hAnsi="宋体" w:eastAsia="黑体" w:cs="黑体"/>
          <w:kern w:val="2"/>
          <w:sz w:val="32"/>
          <w:szCs w:val="32"/>
          <w:lang w:val="en-US" w:eastAsia="zh-CN" w:bidi="ar"/>
        </w:rPr>
        <w:t>四、项目效益情况</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spacing w:val="-4"/>
          <w:kern w:val="2"/>
          <w:sz w:val="32"/>
          <w:szCs w:val="32"/>
        </w:rPr>
      </w:pPr>
      <w:r>
        <w:rPr>
          <w:rFonts w:hint="default" w:ascii="仿宋_GB2312" w:hAnsi="Times New Roman" w:eastAsia="仿宋_GB2312" w:cs="仿宋_GB2312"/>
          <w:spacing w:val="-4"/>
          <w:kern w:val="2"/>
          <w:sz w:val="32"/>
          <w:szCs w:val="32"/>
          <w:lang w:val="en-US" w:eastAsia="zh-CN" w:bidi="ar"/>
        </w:rPr>
        <w:t>加强医疗卫生服务体系和能力建设，落实各级各类医疗机构功能定位，提升医疗服务整体效率和质量，保障患者安全，全面提升患者满意度。</w:t>
      </w:r>
    </w:p>
    <w:p>
      <w:pPr>
        <w:keepNext w:val="0"/>
        <w:keepLines w:val="0"/>
        <w:widowControl w:val="0"/>
        <w:suppressLineNumbers w:val="0"/>
        <w:adjustRightInd w:val="0"/>
        <w:snapToGrid w:val="0"/>
        <w:spacing w:before="0" w:beforeAutospacing="0" w:after="0" w:afterAutospacing="0" w:line="560" w:lineRule="exact"/>
        <w:ind w:left="0" w:right="0" w:firstLine="720"/>
        <w:jc w:val="both"/>
        <w:rPr>
          <w:rFonts w:hint="eastAsia" w:ascii="黑体" w:hAnsi="宋体" w:eastAsia="黑体" w:cs="黑体"/>
          <w:color w:val="auto"/>
          <w:kern w:val="2"/>
          <w:sz w:val="32"/>
          <w:szCs w:val="32"/>
        </w:rPr>
      </w:pPr>
      <w:r>
        <w:rPr>
          <w:rFonts w:hint="eastAsia" w:ascii="黑体" w:hAnsi="宋体" w:eastAsia="黑体" w:cs="黑体"/>
          <w:color w:val="auto"/>
          <w:kern w:val="2"/>
          <w:sz w:val="32"/>
          <w:szCs w:val="32"/>
          <w:lang w:val="en-US" w:eastAsia="zh-CN" w:bidi="ar"/>
        </w:rPr>
        <w:t>五、问题及建议</w:t>
      </w:r>
    </w:p>
    <w:p>
      <w:pPr>
        <w:keepNext w:val="0"/>
        <w:keepLines w:val="0"/>
        <w:widowControl w:val="0"/>
        <w:suppressLineNumbers w:val="0"/>
        <w:adjustRightInd w:val="0"/>
        <w:snapToGrid w:val="0"/>
        <w:spacing w:before="0" w:beforeAutospacing="0" w:after="0" w:afterAutospacing="0" w:line="560" w:lineRule="exact"/>
        <w:ind w:left="0" w:right="0" w:firstLine="720"/>
        <w:jc w:val="both"/>
        <w:rPr>
          <w:rFonts w:hint="default" w:ascii="楷体_GB2312" w:hAnsi="宋体" w:eastAsia="楷体_GB2312" w:cs="楷体_GB2312"/>
          <w:b/>
          <w:bCs w:val="0"/>
          <w:color w:val="auto"/>
          <w:kern w:val="2"/>
          <w:sz w:val="32"/>
          <w:szCs w:val="32"/>
        </w:rPr>
      </w:pPr>
      <w:r>
        <w:rPr>
          <w:rFonts w:hint="default" w:ascii="楷体_GB2312" w:hAnsi="宋体" w:eastAsia="楷体_GB2312" w:cs="楷体_GB2312"/>
          <w:b/>
          <w:bCs w:val="0"/>
          <w:color w:val="auto"/>
          <w:kern w:val="2"/>
          <w:sz w:val="32"/>
          <w:szCs w:val="32"/>
          <w:lang w:val="en-US" w:eastAsia="zh-CN" w:bidi="ar"/>
        </w:rPr>
        <w:t>（一）存在的问题</w:t>
      </w:r>
    </w:p>
    <w:p>
      <w:pPr>
        <w:keepNext w:val="0"/>
        <w:keepLines w:val="0"/>
        <w:widowControl w:val="0"/>
        <w:suppressLineNumbers w:val="0"/>
        <w:autoSpaceDE w:val="0"/>
        <w:autoSpaceDN/>
        <w:spacing w:before="0" w:beforeAutospacing="0" w:after="0" w:afterAutospacing="0" w:line="560" w:lineRule="exact"/>
        <w:ind w:left="0" w:right="0" w:firstLine="624" w:firstLineChars="200"/>
        <w:jc w:val="both"/>
        <w:rPr>
          <w:rFonts w:hint="default" w:ascii="仿宋_GB2312" w:eastAsia="仿宋_GB2312" w:cs="仿宋_GB2312"/>
          <w:color w:val="auto"/>
          <w:spacing w:val="-4"/>
          <w:kern w:val="2"/>
          <w:sz w:val="32"/>
          <w:szCs w:val="32"/>
        </w:rPr>
      </w:pPr>
      <w:r>
        <w:rPr>
          <w:rFonts w:hint="default" w:ascii="仿宋_GB2312" w:hAnsi="Times New Roman" w:eastAsia="仿宋_GB2312" w:cs="仿宋_GB2312"/>
          <w:color w:val="auto"/>
          <w:spacing w:val="-4"/>
          <w:kern w:val="2"/>
          <w:sz w:val="32"/>
          <w:szCs w:val="32"/>
          <w:lang w:val="en-US" w:eastAsia="zh-CN" w:bidi="ar"/>
        </w:rPr>
        <w:t>无</w:t>
      </w:r>
    </w:p>
    <w:p>
      <w:pPr>
        <w:keepNext w:val="0"/>
        <w:keepLines w:val="0"/>
        <w:widowControl w:val="0"/>
        <w:numPr>
          <w:ilvl w:val="0"/>
          <w:numId w:val="8"/>
        </w:numPr>
        <w:suppressLineNumbers w:val="0"/>
        <w:adjustRightInd w:val="0"/>
        <w:snapToGrid w:val="0"/>
        <w:spacing w:before="0" w:beforeAutospacing="0" w:after="0" w:afterAutospacing="0" w:line="560" w:lineRule="exact"/>
        <w:ind w:left="0" w:right="0" w:firstLine="720"/>
        <w:jc w:val="both"/>
        <w:rPr>
          <w:rFonts w:hint="default" w:ascii="楷体_GB2312" w:hAnsi="宋体" w:eastAsia="楷体_GB2312" w:cs="楷体_GB2312"/>
          <w:b/>
          <w:bCs w:val="0"/>
          <w:color w:val="FF0000"/>
          <w:kern w:val="2"/>
          <w:sz w:val="32"/>
          <w:szCs w:val="32"/>
        </w:rPr>
      </w:pPr>
      <w:r>
        <w:rPr>
          <w:rFonts w:hint="default" w:ascii="楷体_GB2312" w:hAnsi="宋体" w:eastAsia="楷体_GB2312" w:cs="楷体_GB2312"/>
          <w:b/>
          <w:bCs w:val="0"/>
          <w:color w:val="auto"/>
          <w:kern w:val="2"/>
          <w:sz w:val="32"/>
          <w:szCs w:val="32"/>
          <w:lang w:val="en-US" w:eastAsia="zh-CN" w:bidi="ar"/>
        </w:rPr>
        <w:t>相关建议</w:t>
      </w:r>
    </w:p>
    <w:p>
      <w:pPr>
        <w:pStyle w:val="22"/>
        <w:keepNext w:val="0"/>
        <w:keepLines w:val="0"/>
        <w:widowControl w:val="0"/>
        <w:suppressLineNumbers w:val="0"/>
        <w:spacing w:before="100" w:beforeAutospacing="1" w:after="100" w:afterAutospacing="1"/>
        <w:ind w:left="120" w:right="0" w:firstLine="640" w:firstLineChars="200"/>
        <w:jc w:val="both"/>
        <w:rPr>
          <w:rFonts w:hint="default" w:ascii="仿宋_GB2312" w:eastAsia="仿宋_GB2312" w:cs="仿宋_GB2312"/>
          <w:kern w:val="2"/>
          <w:sz w:val="32"/>
          <w:szCs w:val="32"/>
        </w:rPr>
      </w:pPr>
      <w:r>
        <w:rPr>
          <w:rFonts w:hint="default" w:ascii="仿宋_GB2312" w:hAnsi="仿宋" w:eastAsia="仿宋_GB2312" w:cs="仿宋_GB2312"/>
          <w:kern w:val="2"/>
          <w:sz w:val="32"/>
          <w:szCs w:val="32"/>
          <w:lang w:val="en-US" w:eastAsia="zh-CN" w:bidi="ar"/>
        </w:rPr>
        <w:t>无</w:t>
      </w:r>
    </w:p>
    <w:p>
      <w:pPr>
        <w:widowControl/>
        <w:jc w:val="left"/>
        <w:rPr>
          <w:rStyle w:val="28"/>
          <w:rFonts w:ascii="黑体" w:hAnsi="黑体" w:eastAsia="黑体"/>
          <w:b w:val="0"/>
        </w:rPr>
      </w:pPr>
      <w:bookmarkStart w:id="150" w:name="_Toc15396618"/>
      <w:bookmarkStart w:id="151" w:name="_Toc79163635"/>
      <w:bookmarkStart w:id="152" w:name="_Toc79163885"/>
    </w:p>
    <w:p>
      <w:pPr>
        <w:widowControl/>
        <w:jc w:val="left"/>
        <w:rPr>
          <w:rStyle w:val="28"/>
          <w:rFonts w:ascii="黑体" w:hAnsi="黑体" w:eastAsia="黑体"/>
          <w:b w:val="0"/>
        </w:rPr>
      </w:pPr>
      <w:r>
        <w:rPr>
          <w:rStyle w:val="28"/>
          <w:rFonts w:ascii="黑体" w:hAnsi="黑体" w:eastAsia="黑体"/>
          <w:b w:val="0"/>
        </w:rPr>
        <w:br w:type="page"/>
      </w:r>
    </w:p>
    <w:p>
      <w:pPr>
        <w:spacing w:line="600" w:lineRule="exact"/>
        <w:jc w:val="center"/>
        <w:outlineLvl w:val="0"/>
        <w:rPr>
          <w:rStyle w:val="28"/>
          <w:rFonts w:ascii="黑体" w:hAnsi="黑体" w:eastAsia="黑体"/>
          <w:b w:val="0"/>
        </w:rPr>
      </w:pPr>
      <w:r>
        <w:rPr>
          <w:rFonts w:hint="eastAsia" w:ascii="黑体" w:hAnsi="黑体" w:eastAsia="黑体"/>
          <w:color w:val="000000"/>
          <w:sz w:val="44"/>
          <w:szCs w:val="44"/>
        </w:rPr>
        <w:t>第</w:t>
      </w:r>
      <w:r>
        <w:rPr>
          <w:rStyle w:val="28"/>
          <w:rFonts w:hint="eastAsia" w:ascii="黑体" w:hAnsi="黑体" w:eastAsia="黑体"/>
          <w:b w:val="0"/>
        </w:rPr>
        <w:t>五部分</w:t>
      </w:r>
      <w:r>
        <w:rPr>
          <w:rStyle w:val="28"/>
          <w:rFonts w:ascii="黑体" w:hAnsi="黑体" w:eastAsia="黑体"/>
          <w:b w:val="0"/>
        </w:rPr>
        <w:t xml:space="preserve"> </w:t>
      </w:r>
      <w:r>
        <w:rPr>
          <w:rStyle w:val="28"/>
          <w:rFonts w:hint="eastAsia" w:ascii="黑体" w:hAnsi="黑体" w:eastAsia="黑体"/>
          <w:b w:val="0"/>
        </w:rPr>
        <w:t>附表</w:t>
      </w:r>
      <w:bookmarkEnd w:id="142"/>
      <w:bookmarkEnd w:id="150"/>
      <w:bookmarkEnd w:id="151"/>
      <w:bookmarkEnd w:id="152"/>
    </w:p>
    <w:p>
      <w:pPr>
        <w:pStyle w:val="5"/>
        <w:rPr>
          <w:rFonts w:ascii="仿宋" w:hAnsi="仿宋" w:eastAsia="仿宋"/>
          <w:color w:val="000000"/>
        </w:rPr>
      </w:pPr>
      <w:bookmarkStart w:id="153" w:name="_Toc15396619"/>
      <w:bookmarkStart w:id="154" w:name="_Toc79163886"/>
      <w:bookmarkStart w:id="155" w:name="_Toc79163636"/>
      <w:r>
        <w:rPr>
          <w:rFonts w:hint="eastAsia" w:ascii="仿宋" w:hAnsi="仿宋" w:eastAsia="仿宋"/>
          <w:b w:val="0"/>
          <w:color w:val="000000"/>
        </w:rPr>
        <w:t>一、收</w:t>
      </w:r>
      <w:r>
        <w:rPr>
          <w:rStyle w:val="29"/>
          <w:rFonts w:hint="eastAsia" w:ascii="仿宋" w:hAnsi="仿宋" w:eastAsia="仿宋"/>
          <w:b w:val="0"/>
          <w:bCs w:val="0"/>
        </w:rPr>
        <w:t>入支出决算总表</w:t>
      </w:r>
      <w:bookmarkEnd w:id="153"/>
      <w:bookmarkEnd w:id="154"/>
      <w:bookmarkEnd w:id="155"/>
    </w:p>
    <w:p>
      <w:pPr>
        <w:pStyle w:val="5"/>
        <w:rPr>
          <w:rFonts w:ascii="仿宋" w:hAnsi="仿宋" w:eastAsia="仿宋"/>
          <w:color w:val="000000"/>
        </w:rPr>
      </w:pPr>
      <w:bookmarkStart w:id="156" w:name="_Toc79163637"/>
      <w:bookmarkStart w:id="157" w:name="_Toc79163887"/>
      <w:bookmarkStart w:id="158" w:name="_Toc15396620"/>
      <w:r>
        <w:rPr>
          <w:rFonts w:hint="eastAsia" w:ascii="仿宋" w:hAnsi="仿宋" w:eastAsia="仿宋"/>
          <w:b w:val="0"/>
          <w:color w:val="000000"/>
        </w:rPr>
        <w:t>二、收</w:t>
      </w:r>
      <w:r>
        <w:rPr>
          <w:rStyle w:val="29"/>
          <w:rFonts w:hint="eastAsia" w:ascii="仿宋" w:hAnsi="仿宋" w:eastAsia="仿宋"/>
          <w:b w:val="0"/>
          <w:bCs w:val="0"/>
        </w:rPr>
        <w:t>入决算表</w:t>
      </w:r>
      <w:bookmarkEnd w:id="156"/>
      <w:bookmarkEnd w:id="157"/>
      <w:bookmarkEnd w:id="158"/>
    </w:p>
    <w:p>
      <w:pPr>
        <w:pStyle w:val="5"/>
        <w:rPr>
          <w:rFonts w:ascii="仿宋" w:hAnsi="仿宋" w:eastAsia="仿宋"/>
          <w:color w:val="000000"/>
        </w:rPr>
      </w:pPr>
      <w:bookmarkStart w:id="159" w:name="_Toc79163638"/>
      <w:bookmarkStart w:id="160" w:name="_Toc15396621"/>
      <w:bookmarkStart w:id="161" w:name="_Toc79163888"/>
      <w:r>
        <w:rPr>
          <w:rStyle w:val="29"/>
          <w:rFonts w:hint="eastAsia" w:ascii="仿宋" w:hAnsi="仿宋" w:eastAsia="仿宋"/>
          <w:b w:val="0"/>
          <w:bCs w:val="0"/>
        </w:rPr>
        <w:t>三、</w:t>
      </w:r>
      <w:r>
        <w:rPr>
          <w:rFonts w:hint="eastAsia" w:ascii="仿宋" w:hAnsi="仿宋" w:eastAsia="仿宋"/>
          <w:b w:val="0"/>
          <w:color w:val="000000"/>
        </w:rPr>
        <w:t>支</w:t>
      </w:r>
      <w:r>
        <w:rPr>
          <w:rStyle w:val="29"/>
          <w:rFonts w:hint="eastAsia" w:ascii="仿宋" w:hAnsi="仿宋" w:eastAsia="仿宋"/>
          <w:b w:val="0"/>
          <w:bCs w:val="0"/>
        </w:rPr>
        <w:t>出决算表</w:t>
      </w:r>
      <w:bookmarkEnd w:id="159"/>
      <w:bookmarkEnd w:id="160"/>
      <w:bookmarkEnd w:id="161"/>
    </w:p>
    <w:p>
      <w:pPr>
        <w:pStyle w:val="5"/>
        <w:rPr>
          <w:rFonts w:ascii="仿宋" w:hAnsi="仿宋" w:eastAsia="仿宋"/>
          <w:b w:val="0"/>
          <w:color w:val="000000"/>
        </w:rPr>
      </w:pPr>
      <w:bookmarkStart w:id="162" w:name="_Toc79163639"/>
      <w:bookmarkStart w:id="163" w:name="_Toc15396622"/>
      <w:bookmarkStart w:id="164" w:name="_Toc79163889"/>
      <w:r>
        <w:rPr>
          <w:rStyle w:val="29"/>
          <w:rFonts w:hint="eastAsia" w:ascii="仿宋" w:hAnsi="仿宋" w:eastAsia="仿宋"/>
          <w:b w:val="0"/>
          <w:bCs w:val="0"/>
        </w:rPr>
        <w:t>四、</w:t>
      </w:r>
      <w:r>
        <w:rPr>
          <w:rFonts w:hint="eastAsia" w:ascii="仿宋" w:hAnsi="仿宋" w:eastAsia="仿宋"/>
          <w:b w:val="0"/>
          <w:color w:val="000000"/>
        </w:rPr>
        <w:t>财</w:t>
      </w:r>
      <w:r>
        <w:rPr>
          <w:rStyle w:val="29"/>
          <w:rFonts w:hint="eastAsia" w:ascii="仿宋" w:hAnsi="仿宋" w:eastAsia="仿宋"/>
          <w:b w:val="0"/>
          <w:bCs w:val="0"/>
        </w:rPr>
        <w:t>政拨款收入支出决算总表</w:t>
      </w:r>
      <w:bookmarkEnd w:id="162"/>
      <w:bookmarkEnd w:id="163"/>
      <w:bookmarkEnd w:id="164"/>
    </w:p>
    <w:p>
      <w:pPr>
        <w:pStyle w:val="5"/>
        <w:rPr>
          <w:rStyle w:val="29"/>
          <w:rFonts w:ascii="仿宋" w:hAnsi="仿宋" w:eastAsia="仿宋"/>
          <w:b w:val="0"/>
          <w:bCs w:val="0"/>
        </w:rPr>
      </w:pPr>
      <w:bookmarkStart w:id="165" w:name="_Toc15396623"/>
      <w:bookmarkStart w:id="166" w:name="_Toc79163640"/>
      <w:bookmarkStart w:id="167" w:name="_Toc79163890"/>
      <w:r>
        <w:rPr>
          <w:rStyle w:val="29"/>
          <w:rFonts w:hint="eastAsia" w:ascii="仿宋" w:hAnsi="仿宋" w:eastAsia="仿宋"/>
          <w:b w:val="0"/>
          <w:bCs w:val="0"/>
        </w:rPr>
        <w:t>五、</w:t>
      </w:r>
      <w:r>
        <w:rPr>
          <w:rFonts w:hint="eastAsia" w:ascii="仿宋" w:hAnsi="仿宋" w:eastAsia="仿宋"/>
          <w:b w:val="0"/>
          <w:color w:val="000000"/>
        </w:rPr>
        <w:t>财</w:t>
      </w:r>
      <w:r>
        <w:rPr>
          <w:rStyle w:val="29"/>
          <w:rFonts w:hint="eastAsia" w:ascii="仿宋" w:hAnsi="仿宋" w:eastAsia="仿宋"/>
          <w:b w:val="0"/>
          <w:bCs w:val="0"/>
        </w:rPr>
        <w:t>政拨款支出决算明细表</w:t>
      </w:r>
      <w:bookmarkEnd w:id="165"/>
      <w:bookmarkEnd w:id="166"/>
      <w:bookmarkEnd w:id="167"/>
      <w:bookmarkStart w:id="168" w:name="_Toc15396624"/>
    </w:p>
    <w:p>
      <w:pPr>
        <w:pStyle w:val="5"/>
        <w:rPr>
          <w:rFonts w:ascii="仿宋" w:hAnsi="仿宋" w:eastAsia="仿宋"/>
          <w:color w:val="000000"/>
        </w:rPr>
      </w:pPr>
      <w:bookmarkStart w:id="169" w:name="_Toc79163891"/>
      <w:bookmarkStart w:id="170" w:name="_Toc79163641"/>
      <w:r>
        <w:rPr>
          <w:rStyle w:val="29"/>
          <w:rFonts w:hint="eastAsia" w:ascii="仿宋" w:hAnsi="仿宋" w:eastAsia="仿宋"/>
          <w:b w:val="0"/>
          <w:bCs w:val="0"/>
        </w:rPr>
        <w:t>六、</w:t>
      </w:r>
      <w:r>
        <w:rPr>
          <w:rFonts w:hint="eastAsia" w:ascii="仿宋" w:hAnsi="仿宋" w:eastAsia="仿宋"/>
          <w:b w:val="0"/>
          <w:color w:val="000000"/>
        </w:rPr>
        <w:t>一</w:t>
      </w:r>
      <w:r>
        <w:rPr>
          <w:rStyle w:val="29"/>
          <w:rFonts w:hint="eastAsia" w:ascii="仿宋" w:hAnsi="仿宋" w:eastAsia="仿宋"/>
          <w:b w:val="0"/>
          <w:bCs w:val="0"/>
        </w:rPr>
        <w:t>般公共预算财政拨款支出决算表</w:t>
      </w:r>
      <w:bookmarkEnd w:id="168"/>
      <w:bookmarkEnd w:id="169"/>
      <w:bookmarkEnd w:id="170"/>
    </w:p>
    <w:p>
      <w:pPr>
        <w:pStyle w:val="5"/>
        <w:rPr>
          <w:rFonts w:ascii="仿宋" w:hAnsi="仿宋" w:eastAsia="仿宋"/>
          <w:color w:val="000000"/>
        </w:rPr>
      </w:pPr>
      <w:bookmarkStart w:id="171" w:name="_Toc15396625"/>
      <w:bookmarkStart w:id="172" w:name="_Toc79163642"/>
      <w:bookmarkStart w:id="173" w:name="_Toc79163892"/>
      <w:r>
        <w:rPr>
          <w:rStyle w:val="29"/>
          <w:rFonts w:hint="eastAsia" w:ascii="仿宋" w:hAnsi="仿宋" w:eastAsia="仿宋"/>
          <w:b w:val="0"/>
          <w:bCs w:val="0"/>
        </w:rPr>
        <w:t>七、</w:t>
      </w:r>
      <w:r>
        <w:rPr>
          <w:rFonts w:hint="eastAsia" w:ascii="仿宋" w:hAnsi="仿宋" w:eastAsia="仿宋"/>
          <w:b w:val="0"/>
          <w:color w:val="000000"/>
        </w:rPr>
        <w:t>一</w:t>
      </w:r>
      <w:r>
        <w:rPr>
          <w:rStyle w:val="29"/>
          <w:rFonts w:hint="eastAsia" w:ascii="仿宋" w:hAnsi="仿宋" w:eastAsia="仿宋"/>
          <w:b w:val="0"/>
          <w:bCs w:val="0"/>
        </w:rPr>
        <w:t>般公共预算财政拨款支出决算明细表</w:t>
      </w:r>
      <w:bookmarkEnd w:id="171"/>
      <w:bookmarkEnd w:id="172"/>
      <w:bookmarkEnd w:id="173"/>
    </w:p>
    <w:p>
      <w:pPr>
        <w:pStyle w:val="5"/>
        <w:rPr>
          <w:rFonts w:ascii="仿宋" w:hAnsi="仿宋" w:eastAsia="仿宋"/>
          <w:color w:val="000000"/>
        </w:rPr>
      </w:pPr>
      <w:bookmarkStart w:id="174" w:name="_Toc79163893"/>
      <w:bookmarkStart w:id="175" w:name="_Toc79163643"/>
      <w:bookmarkStart w:id="176" w:name="_Toc15396626"/>
      <w:r>
        <w:rPr>
          <w:rStyle w:val="29"/>
          <w:rFonts w:hint="eastAsia" w:ascii="仿宋" w:hAnsi="仿宋" w:eastAsia="仿宋"/>
          <w:b w:val="0"/>
          <w:bCs w:val="0"/>
        </w:rPr>
        <w:t>八、</w:t>
      </w:r>
      <w:r>
        <w:rPr>
          <w:rFonts w:hint="eastAsia" w:ascii="仿宋" w:hAnsi="仿宋" w:eastAsia="仿宋"/>
          <w:b w:val="0"/>
          <w:color w:val="000000"/>
        </w:rPr>
        <w:t>一</w:t>
      </w:r>
      <w:r>
        <w:rPr>
          <w:rStyle w:val="29"/>
          <w:rFonts w:hint="eastAsia" w:ascii="仿宋" w:hAnsi="仿宋" w:eastAsia="仿宋"/>
          <w:b w:val="0"/>
          <w:bCs w:val="0"/>
        </w:rPr>
        <w:t>般公共预算财政拨款基本支出决算表</w:t>
      </w:r>
      <w:bookmarkEnd w:id="174"/>
      <w:bookmarkEnd w:id="175"/>
      <w:bookmarkEnd w:id="176"/>
    </w:p>
    <w:p>
      <w:pPr>
        <w:pStyle w:val="5"/>
        <w:rPr>
          <w:rFonts w:ascii="仿宋" w:hAnsi="仿宋" w:eastAsia="仿宋"/>
          <w:color w:val="000000"/>
        </w:rPr>
      </w:pPr>
      <w:bookmarkStart w:id="177" w:name="_Toc79163894"/>
      <w:bookmarkStart w:id="178" w:name="_Toc15396627"/>
      <w:bookmarkStart w:id="179" w:name="_Toc79163644"/>
      <w:r>
        <w:rPr>
          <w:rStyle w:val="29"/>
          <w:rFonts w:hint="eastAsia" w:ascii="仿宋" w:hAnsi="仿宋" w:eastAsia="仿宋"/>
          <w:b w:val="0"/>
          <w:bCs w:val="0"/>
        </w:rPr>
        <w:t>九、</w:t>
      </w:r>
      <w:r>
        <w:rPr>
          <w:rFonts w:hint="eastAsia" w:ascii="仿宋" w:hAnsi="仿宋" w:eastAsia="仿宋"/>
          <w:b w:val="0"/>
          <w:color w:val="000000"/>
        </w:rPr>
        <w:t>一</w:t>
      </w:r>
      <w:r>
        <w:rPr>
          <w:rStyle w:val="29"/>
          <w:rFonts w:hint="eastAsia" w:ascii="仿宋" w:hAnsi="仿宋" w:eastAsia="仿宋"/>
          <w:b w:val="0"/>
          <w:bCs w:val="0"/>
        </w:rPr>
        <w:t>般公共预算财政拨款项目支出决算表</w:t>
      </w:r>
      <w:bookmarkEnd w:id="177"/>
      <w:bookmarkEnd w:id="178"/>
      <w:bookmarkEnd w:id="179"/>
    </w:p>
    <w:p>
      <w:pPr>
        <w:pStyle w:val="5"/>
        <w:rPr>
          <w:rFonts w:ascii="仿宋" w:hAnsi="仿宋" w:eastAsia="仿宋"/>
          <w:color w:val="000000"/>
        </w:rPr>
      </w:pPr>
      <w:bookmarkStart w:id="180" w:name="_Toc15396628"/>
      <w:bookmarkStart w:id="181" w:name="_Toc79163895"/>
      <w:bookmarkStart w:id="182" w:name="_Toc79163645"/>
      <w:r>
        <w:rPr>
          <w:rStyle w:val="29"/>
          <w:rFonts w:hint="eastAsia" w:ascii="仿宋" w:hAnsi="仿宋" w:eastAsia="仿宋"/>
          <w:b w:val="0"/>
          <w:bCs w:val="0"/>
        </w:rPr>
        <w:t>十、</w:t>
      </w:r>
      <w:r>
        <w:rPr>
          <w:rFonts w:hint="eastAsia" w:ascii="仿宋" w:hAnsi="仿宋" w:eastAsia="仿宋"/>
          <w:b w:val="0"/>
          <w:color w:val="000000"/>
        </w:rPr>
        <w:t>一</w:t>
      </w:r>
      <w:r>
        <w:rPr>
          <w:rStyle w:val="29"/>
          <w:rFonts w:hint="eastAsia" w:ascii="仿宋" w:hAnsi="仿宋" w:eastAsia="仿宋"/>
          <w:b w:val="0"/>
          <w:bCs w:val="0"/>
        </w:rPr>
        <w:t>般公共预算财政拨款“三公”经费支出决算表</w:t>
      </w:r>
      <w:bookmarkEnd w:id="180"/>
      <w:bookmarkEnd w:id="181"/>
      <w:bookmarkEnd w:id="182"/>
    </w:p>
    <w:p>
      <w:pPr>
        <w:pStyle w:val="5"/>
        <w:rPr>
          <w:rFonts w:ascii="仿宋" w:hAnsi="仿宋" w:eastAsia="仿宋"/>
          <w:color w:val="000000"/>
        </w:rPr>
      </w:pPr>
      <w:bookmarkStart w:id="183" w:name="_Toc79163896"/>
      <w:bookmarkStart w:id="184" w:name="_Toc79163646"/>
      <w:bookmarkStart w:id="185" w:name="_Toc15396629"/>
      <w:r>
        <w:rPr>
          <w:rStyle w:val="29"/>
          <w:rFonts w:hint="eastAsia" w:ascii="仿宋" w:hAnsi="仿宋" w:eastAsia="仿宋"/>
          <w:b w:val="0"/>
          <w:bCs w:val="0"/>
        </w:rPr>
        <w:t>十一、</w:t>
      </w:r>
      <w:r>
        <w:rPr>
          <w:rFonts w:hint="eastAsia" w:ascii="仿宋" w:hAnsi="仿宋" w:eastAsia="仿宋"/>
          <w:b w:val="0"/>
          <w:color w:val="000000"/>
        </w:rPr>
        <w:t>政</w:t>
      </w:r>
      <w:r>
        <w:rPr>
          <w:rStyle w:val="29"/>
          <w:rFonts w:hint="eastAsia" w:ascii="仿宋" w:hAnsi="仿宋" w:eastAsia="仿宋"/>
          <w:b w:val="0"/>
          <w:bCs w:val="0"/>
        </w:rPr>
        <w:t>府性基金预算财政拨款收入支出决算表</w:t>
      </w:r>
      <w:bookmarkEnd w:id="183"/>
      <w:bookmarkEnd w:id="184"/>
      <w:bookmarkEnd w:id="185"/>
    </w:p>
    <w:p>
      <w:pPr>
        <w:pStyle w:val="5"/>
        <w:rPr>
          <w:rFonts w:ascii="仿宋" w:hAnsi="仿宋" w:eastAsia="仿宋"/>
          <w:color w:val="000000"/>
        </w:rPr>
      </w:pPr>
      <w:bookmarkStart w:id="186" w:name="_Toc15396630"/>
      <w:bookmarkStart w:id="187" w:name="_Toc79163647"/>
      <w:bookmarkStart w:id="188" w:name="_Toc79163897"/>
      <w:r>
        <w:rPr>
          <w:rStyle w:val="29"/>
          <w:rFonts w:hint="eastAsia" w:ascii="仿宋" w:hAnsi="仿宋" w:eastAsia="仿宋"/>
          <w:b w:val="0"/>
          <w:bCs w:val="0"/>
        </w:rPr>
        <w:t>十二、</w:t>
      </w:r>
      <w:r>
        <w:rPr>
          <w:rFonts w:hint="eastAsia" w:ascii="仿宋" w:hAnsi="仿宋" w:eastAsia="仿宋"/>
          <w:b w:val="0"/>
          <w:color w:val="000000"/>
        </w:rPr>
        <w:t>政</w:t>
      </w:r>
      <w:r>
        <w:rPr>
          <w:rStyle w:val="29"/>
          <w:rFonts w:hint="eastAsia" w:ascii="仿宋" w:hAnsi="仿宋" w:eastAsia="仿宋"/>
          <w:b w:val="0"/>
          <w:bCs w:val="0"/>
        </w:rPr>
        <w:t>府性基金预算财政拨款“三公”经费支出决算表</w:t>
      </w:r>
      <w:bookmarkEnd w:id="186"/>
      <w:bookmarkEnd w:id="187"/>
      <w:bookmarkEnd w:id="188"/>
    </w:p>
    <w:p>
      <w:pPr>
        <w:pStyle w:val="5"/>
        <w:rPr>
          <w:rStyle w:val="29"/>
          <w:rFonts w:ascii="仿宋" w:hAnsi="仿宋" w:eastAsia="仿宋"/>
          <w:b w:val="0"/>
          <w:bCs w:val="0"/>
        </w:rPr>
      </w:pPr>
      <w:bookmarkStart w:id="189" w:name="_Toc79163648"/>
      <w:bookmarkStart w:id="190" w:name="_Toc79163898"/>
      <w:bookmarkStart w:id="191" w:name="_Toc15396631"/>
      <w:r>
        <w:rPr>
          <w:rStyle w:val="29"/>
          <w:rFonts w:hint="eastAsia" w:ascii="仿宋" w:hAnsi="仿宋" w:eastAsia="仿宋"/>
          <w:b w:val="0"/>
          <w:bCs w:val="0"/>
        </w:rPr>
        <w:t>十三、</w:t>
      </w:r>
      <w:r>
        <w:rPr>
          <w:rFonts w:hint="eastAsia" w:ascii="仿宋" w:hAnsi="仿宋" w:eastAsia="仿宋"/>
          <w:b w:val="0"/>
          <w:color w:val="000000"/>
        </w:rPr>
        <w:t>国</w:t>
      </w:r>
      <w:r>
        <w:rPr>
          <w:rStyle w:val="29"/>
          <w:rFonts w:hint="eastAsia" w:ascii="仿宋" w:hAnsi="仿宋" w:eastAsia="仿宋"/>
          <w:b w:val="0"/>
          <w:bCs w:val="0"/>
        </w:rPr>
        <w:t>有资本经营预算财政拨款支出决算表</w:t>
      </w:r>
      <w:bookmarkEnd w:id="189"/>
      <w:bookmarkEnd w:id="190"/>
      <w:bookmarkEnd w:id="191"/>
    </w:p>
    <w:p>
      <w:pPr>
        <w:pStyle w:val="5"/>
        <w:rPr>
          <w:rStyle w:val="29"/>
          <w:rFonts w:ascii="仿宋" w:hAnsi="仿宋" w:eastAsia="仿宋"/>
          <w:b w:val="0"/>
          <w:bCs w:val="0"/>
        </w:rPr>
      </w:pPr>
      <w:bookmarkStart w:id="192" w:name="_Toc79163899"/>
      <w:bookmarkStart w:id="193" w:name="_Toc79163649"/>
      <w:r>
        <w:rPr>
          <w:rStyle w:val="29"/>
          <w:rFonts w:hint="eastAsia" w:ascii="仿宋" w:hAnsi="仿宋" w:eastAsia="仿宋"/>
          <w:b w:val="0"/>
          <w:bCs w:val="0"/>
        </w:rPr>
        <w:t>十四、国有资本经营预算财政拨款支出决算表</w:t>
      </w:r>
      <w:bookmarkEnd w:id="192"/>
      <w:bookmarkEnd w:id="193"/>
    </w:p>
    <w:sectPr>
      <w:headerReference r:id="rId3" w:type="default"/>
      <w:footerReference r:id="rId4" w:type="default"/>
      <w:pgSz w:w="11906" w:h="16838"/>
      <w:pgMar w:top="1440" w:right="1800" w:bottom="1440" w:left="180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
    <w:altName w:val="Segoe Print"/>
    <w:panose1 w:val="00000000000000000000"/>
    <w:charset w:val="00"/>
    <w:family w:val="auto"/>
    <w:pitch w:val="default"/>
    <w:sig w:usb0="00000000" w:usb1="00000000" w:usb2="00000000"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instrText xml:space="preserve">PAGE   \* MERGEFORMAT</w:instrText>
    </w:r>
    <w:r>
      <w:fldChar w:fldCharType="separate"/>
    </w:r>
    <w:r>
      <w:t>25</w:t>
    </w:r>
    <w:r>
      <w:fldChar w:fldCharType="end"/>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2">
    <w:nsid w:val="F6A1E584"/>
    <w:multiLevelType w:val="multilevel"/>
    <w:tmpl w:val="F6A1E584"/>
    <w:lvl w:ilvl="0" w:tentative="0">
      <w:start w:val="1"/>
      <w:numFmt w:val="chineseCounting"/>
      <w:suff w:val="nothing"/>
      <w:lvlText w:val="%1、"/>
      <w:lvlJc w:val="left"/>
      <w:pPr>
        <w:ind w:left="0" w:firstLine="0"/>
      </w:pPr>
      <w:rPr>
        <w:rFonts w:hint="eastAsia" w:ascii="宋体" w:hAnsi="宋体" w:eastAsia="宋体" w:cs="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FC2609E9"/>
    <w:multiLevelType w:val="multilevel"/>
    <w:tmpl w:val="FC2609E9"/>
    <w:lvl w:ilvl="0" w:tentative="0">
      <w:start w:val="2"/>
      <w:numFmt w:val="chineseCounting"/>
      <w:suff w:val="nothing"/>
      <w:lvlText w:val="（%1）"/>
      <w:lvlJc w:val="left"/>
      <w:pPr>
        <w:ind w:left="0" w:firstLine="0"/>
      </w:pPr>
      <w:rPr>
        <w:rFonts w:hint="eastAsia" w:ascii="宋体" w:hAnsi="宋体" w:eastAsia="宋体" w:cs="宋体"/>
        <w:color w:val="auto"/>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5">
    <w:nsid w:val="540A590E"/>
    <w:multiLevelType w:val="multilevel"/>
    <w:tmpl w:val="540A590E"/>
    <w:lvl w:ilvl="0" w:tentative="0">
      <w:start w:val="2"/>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62621CDC"/>
    <w:multiLevelType w:val="multilevel"/>
    <w:tmpl w:val="62621CDC"/>
    <w:lvl w:ilvl="0" w:tentative="0">
      <w:start w:val="1"/>
      <w:numFmt w:val="decimal"/>
      <w:lvlText w:val="%1."/>
      <w:lvlJc w:val="left"/>
      <w:pPr>
        <w:ind w:left="1152" w:hanging="480"/>
      </w:pPr>
      <w:rPr>
        <w:rFonts w:hint="default"/>
      </w:rPr>
    </w:lvl>
    <w:lvl w:ilvl="1" w:tentative="0">
      <w:start w:val="1"/>
      <w:numFmt w:val="lowerLetter"/>
      <w:lvlText w:val="%2)"/>
      <w:lvlJc w:val="left"/>
      <w:pPr>
        <w:ind w:left="1512" w:hanging="420"/>
      </w:pPr>
    </w:lvl>
    <w:lvl w:ilvl="2" w:tentative="0">
      <w:start w:val="1"/>
      <w:numFmt w:val="lowerRoman"/>
      <w:lvlText w:val="%3."/>
      <w:lvlJc w:val="right"/>
      <w:pPr>
        <w:ind w:left="1932" w:hanging="420"/>
      </w:pPr>
    </w:lvl>
    <w:lvl w:ilvl="3" w:tentative="0">
      <w:start w:val="1"/>
      <w:numFmt w:val="decimal"/>
      <w:lvlText w:val="%4."/>
      <w:lvlJc w:val="left"/>
      <w:pPr>
        <w:ind w:left="2352" w:hanging="420"/>
      </w:pPr>
    </w:lvl>
    <w:lvl w:ilvl="4" w:tentative="0">
      <w:start w:val="1"/>
      <w:numFmt w:val="lowerLetter"/>
      <w:lvlText w:val="%5)"/>
      <w:lvlJc w:val="left"/>
      <w:pPr>
        <w:ind w:left="2772" w:hanging="420"/>
      </w:pPr>
    </w:lvl>
    <w:lvl w:ilvl="5" w:tentative="0">
      <w:start w:val="1"/>
      <w:numFmt w:val="lowerRoman"/>
      <w:lvlText w:val="%6."/>
      <w:lvlJc w:val="right"/>
      <w:pPr>
        <w:ind w:left="3192" w:hanging="420"/>
      </w:pPr>
    </w:lvl>
    <w:lvl w:ilvl="6" w:tentative="0">
      <w:start w:val="1"/>
      <w:numFmt w:val="decimal"/>
      <w:lvlText w:val="%7."/>
      <w:lvlJc w:val="left"/>
      <w:pPr>
        <w:ind w:left="3612" w:hanging="420"/>
      </w:pPr>
    </w:lvl>
    <w:lvl w:ilvl="7" w:tentative="0">
      <w:start w:val="1"/>
      <w:numFmt w:val="lowerLetter"/>
      <w:lvlText w:val="%8)"/>
      <w:lvlJc w:val="left"/>
      <w:pPr>
        <w:ind w:left="4032" w:hanging="420"/>
      </w:pPr>
    </w:lvl>
    <w:lvl w:ilvl="8" w:tentative="0">
      <w:start w:val="1"/>
      <w:numFmt w:val="lowerRoman"/>
      <w:lvlText w:val="%9."/>
      <w:lvlJc w:val="right"/>
      <w:pPr>
        <w:ind w:left="4452" w:hanging="420"/>
      </w:pPr>
    </w:lvl>
  </w:abstractNum>
  <w:abstractNum w:abstractNumId="7">
    <w:nsid w:val="7EED1195"/>
    <w:multiLevelType w:val="singleLevel"/>
    <w:tmpl w:val="7EED1195"/>
    <w:lvl w:ilvl="0" w:tentative="0">
      <w:start w:val="1"/>
      <w:numFmt w:val="chineseCounting"/>
      <w:suff w:val="nothing"/>
      <w:lvlText w:val="%1、"/>
      <w:lvlJc w:val="left"/>
      <w:rPr>
        <w:rFonts w:hint="eastAsia"/>
      </w:rPr>
    </w:lvl>
  </w:abstractNum>
  <w:num w:numId="1">
    <w:abstractNumId w:val="7"/>
  </w:num>
  <w:num w:numId="2">
    <w:abstractNumId w:val="6"/>
  </w:num>
  <w:num w:numId="3">
    <w:abstractNumId w:val="4"/>
  </w:num>
  <w:num w:numId="4">
    <w:abstractNumId w:val="0"/>
  </w:num>
  <w:num w:numId="5">
    <w:abstractNumId w:val="1"/>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3OGI4MDNlZjgzMDdjNzJjYzIxN2YwNjMxMDUyODE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15301"/>
    <w:rsid w:val="001319E1"/>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26640"/>
    <w:rsid w:val="00235629"/>
    <w:rsid w:val="00256262"/>
    <w:rsid w:val="00260C38"/>
    <w:rsid w:val="002616C0"/>
    <w:rsid w:val="00264FA2"/>
    <w:rsid w:val="00265372"/>
    <w:rsid w:val="002662AA"/>
    <w:rsid w:val="0027224D"/>
    <w:rsid w:val="00280496"/>
    <w:rsid w:val="00294DC9"/>
    <w:rsid w:val="00295495"/>
    <w:rsid w:val="002A31DE"/>
    <w:rsid w:val="002B2613"/>
    <w:rsid w:val="002D6D05"/>
    <w:rsid w:val="002F1818"/>
    <w:rsid w:val="002F567B"/>
    <w:rsid w:val="003216A9"/>
    <w:rsid w:val="00335A74"/>
    <w:rsid w:val="0036561B"/>
    <w:rsid w:val="0037013F"/>
    <w:rsid w:val="00380C92"/>
    <w:rsid w:val="00394E7F"/>
    <w:rsid w:val="003A484F"/>
    <w:rsid w:val="003A4883"/>
    <w:rsid w:val="003B0BE0"/>
    <w:rsid w:val="003B0C1B"/>
    <w:rsid w:val="003B688C"/>
    <w:rsid w:val="003C0291"/>
    <w:rsid w:val="003C39AE"/>
    <w:rsid w:val="003C7B60"/>
    <w:rsid w:val="003D0C0F"/>
    <w:rsid w:val="003D1FB2"/>
    <w:rsid w:val="003D53FE"/>
    <w:rsid w:val="003D66DA"/>
    <w:rsid w:val="003E1310"/>
    <w:rsid w:val="003E6F55"/>
    <w:rsid w:val="003E6FE4"/>
    <w:rsid w:val="00406254"/>
    <w:rsid w:val="004223DE"/>
    <w:rsid w:val="00434489"/>
    <w:rsid w:val="00437085"/>
    <w:rsid w:val="00443880"/>
    <w:rsid w:val="00445607"/>
    <w:rsid w:val="004464F4"/>
    <w:rsid w:val="00471401"/>
    <w:rsid w:val="00473F31"/>
    <w:rsid w:val="00476DF9"/>
    <w:rsid w:val="0048263A"/>
    <w:rsid w:val="00487E5D"/>
    <w:rsid w:val="004A711F"/>
    <w:rsid w:val="004B199D"/>
    <w:rsid w:val="004B4690"/>
    <w:rsid w:val="004D5479"/>
    <w:rsid w:val="004E0A2D"/>
    <w:rsid w:val="004E206B"/>
    <w:rsid w:val="004E6DF7"/>
    <w:rsid w:val="004F0FBD"/>
    <w:rsid w:val="00505A47"/>
    <w:rsid w:val="00512FDA"/>
    <w:rsid w:val="00520DA0"/>
    <w:rsid w:val="005269A7"/>
    <w:rsid w:val="005269D7"/>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45F81"/>
    <w:rsid w:val="0065271A"/>
    <w:rsid w:val="0066343B"/>
    <w:rsid w:val="00664777"/>
    <w:rsid w:val="006748A4"/>
    <w:rsid w:val="00681A31"/>
    <w:rsid w:val="00683E73"/>
    <w:rsid w:val="006A3141"/>
    <w:rsid w:val="006A5E34"/>
    <w:rsid w:val="006B2422"/>
    <w:rsid w:val="006B2B9A"/>
    <w:rsid w:val="006C1937"/>
    <w:rsid w:val="006E2684"/>
    <w:rsid w:val="006F020C"/>
    <w:rsid w:val="007127B7"/>
    <w:rsid w:val="0071798E"/>
    <w:rsid w:val="00727786"/>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D4A41"/>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632E0"/>
    <w:rsid w:val="00871F71"/>
    <w:rsid w:val="00872FD8"/>
    <w:rsid w:val="00885AF4"/>
    <w:rsid w:val="00892977"/>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34D8"/>
    <w:rsid w:val="00935C98"/>
    <w:rsid w:val="00946945"/>
    <w:rsid w:val="00951248"/>
    <w:rsid w:val="0095152F"/>
    <w:rsid w:val="00954C49"/>
    <w:rsid w:val="00955E37"/>
    <w:rsid w:val="00962656"/>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58A"/>
    <w:rsid w:val="00AD5620"/>
    <w:rsid w:val="00AD656B"/>
    <w:rsid w:val="00AD7C1B"/>
    <w:rsid w:val="00AE16BA"/>
    <w:rsid w:val="00AE1EBE"/>
    <w:rsid w:val="00B011E4"/>
    <w:rsid w:val="00B03C9D"/>
    <w:rsid w:val="00B060AE"/>
    <w:rsid w:val="00B10517"/>
    <w:rsid w:val="00B14E76"/>
    <w:rsid w:val="00B161B8"/>
    <w:rsid w:val="00B2048C"/>
    <w:rsid w:val="00B20FF3"/>
    <w:rsid w:val="00B310B9"/>
    <w:rsid w:val="00B35F3F"/>
    <w:rsid w:val="00B36CBB"/>
    <w:rsid w:val="00B425E0"/>
    <w:rsid w:val="00B440AA"/>
    <w:rsid w:val="00B44B70"/>
    <w:rsid w:val="00B53C56"/>
    <w:rsid w:val="00B54DB4"/>
    <w:rsid w:val="00B57DAF"/>
    <w:rsid w:val="00B77EA6"/>
    <w:rsid w:val="00B81598"/>
    <w:rsid w:val="00B841F1"/>
    <w:rsid w:val="00B90E4E"/>
    <w:rsid w:val="00B944D6"/>
    <w:rsid w:val="00B965DC"/>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4B0"/>
    <w:rsid w:val="00DC7CBA"/>
    <w:rsid w:val="00DD73B7"/>
    <w:rsid w:val="00DF1C39"/>
    <w:rsid w:val="00DF28BC"/>
    <w:rsid w:val="00DF34B9"/>
    <w:rsid w:val="00E01053"/>
    <w:rsid w:val="00E07ACF"/>
    <w:rsid w:val="00E32CAD"/>
    <w:rsid w:val="00E331A1"/>
    <w:rsid w:val="00E33202"/>
    <w:rsid w:val="00E336A9"/>
    <w:rsid w:val="00E472B1"/>
    <w:rsid w:val="00E50624"/>
    <w:rsid w:val="00E568DF"/>
    <w:rsid w:val="00E64269"/>
    <w:rsid w:val="00E70975"/>
    <w:rsid w:val="00E82267"/>
    <w:rsid w:val="00E853CE"/>
    <w:rsid w:val="00E867B6"/>
    <w:rsid w:val="00EA010F"/>
    <w:rsid w:val="00ED1B63"/>
    <w:rsid w:val="00ED3C1F"/>
    <w:rsid w:val="00ED4085"/>
    <w:rsid w:val="00ED420E"/>
    <w:rsid w:val="00ED6FBE"/>
    <w:rsid w:val="00EE2F57"/>
    <w:rsid w:val="00EF4C34"/>
    <w:rsid w:val="00EF60EF"/>
    <w:rsid w:val="00EF77C6"/>
    <w:rsid w:val="00F05438"/>
    <w:rsid w:val="00F05477"/>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952C9"/>
    <w:rsid w:val="00FA23E8"/>
    <w:rsid w:val="00FD3CC1"/>
    <w:rsid w:val="00FF1E02"/>
    <w:rsid w:val="00FF30B4"/>
    <w:rsid w:val="012810B4"/>
    <w:rsid w:val="014C4DA3"/>
    <w:rsid w:val="016814B1"/>
    <w:rsid w:val="01687E0F"/>
    <w:rsid w:val="016D3530"/>
    <w:rsid w:val="0213141D"/>
    <w:rsid w:val="021B6523"/>
    <w:rsid w:val="0223236F"/>
    <w:rsid w:val="02587777"/>
    <w:rsid w:val="02F53218"/>
    <w:rsid w:val="037B54CB"/>
    <w:rsid w:val="03B46C2F"/>
    <w:rsid w:val="042A3FB7"/>
    <w:rsid w:val="046B19E4"/>
    <w:rsid w:val="04F35535"/>
    <w:rsid w:val="051200B1"/>
    <w:rsid w:val="058D14E6"/>
    <w:rsid w:val="05B747B5"/>
    <w:rsid w:val="05EC445F"/>
    <w:rsid w:val="05FE0636"/>
    <w:rsid w:val="06744454"/>
    <w:rsid w:val="067803E8"/>
    <w:rsid w:val="06B238FA"/>
    <w:rsid w:val="06CC4290"/>
    <w:rsid w:val="06FA704F"/>
    <w:rsid w:val="07126147"/>
    <w:rsid w:val="073267E9"/>
    <w:rsid w:val="07657185"/>
    <w:rsid w:val="07966D78"/>
    <w:rsid w:val="07DA21A3"/>
    <w:rsid w:val="08393BA7"/>
    <w:rsid w:val="08674270"/>
    <w:rsid w:val="09436A8B"/>
    <w:rsid w:val="09844198"/>
    <w:rsid w:val="099A0675"/>
    <w:rsid w:val="09CB6A81"/>
    <w:rsid w:val="0A2032A3"/>
    <w:rsid w:val="0A4F320E"/>
    <w:rsid w:val="0A7B2255"/>
    <w:rsid w:val="0B0D0C23"/>
    <w:rsid w:val="0B1F52D6"/>
    <w:rsid w:val="0B91295B"/>
    <w:rsid w:val="0C6C00A7"/>
    <w:rsid w:val="0C917B0E"/>
    <w:rsid w:val="0C9B098C"/>
    <w:rsid w:val="0CB657C6"/>
    <w:rsid w:val="0D1A52F9"/>
    <w:rsid w:val="0D7D4536"/>
    <w:rsid w:val="0DC932D7"/>
    <w:rsid w:val="0E364E11"/>
    <w:rsid w:val="0E3B2427"/>
    <w:rsid w:val="0E3C1CFB"/>
    <w:rsid w:val="0E4F7C80"/>
    <w:rsid w:val="0EB126E9"/>
    <w:rsid w:val="0F4470B9"/>
    <w:rsid w:val="0F7200CA"/>
    <w:rsid w:val="0F864432"/>
    <w:rsid w:val="0FF00FEF"/>
    <w:rsid w:val="1049731A"/>
    <w:rsid w:val="10C055FF"/>
    <w:rsid w:val="11321144"/>
    <w:rsid w:val="114C04A7"/>
    <w:rsid w:val="11567578"/>
    <w:rsid w:val="118107EC"/>
    <w:rsid w:val="11A42091"/>
    <w:rsid w:val="11BD58B2"/>
    <w:rsid w:val="123A47A4"/>
    <w:rsid w:val="12AA7763"/>
    <w:rsid w:val="12C30C3D"/>
    <w:rsid w:val="1324792E"/>
    <w:rsid w:val="13D44FA7"/>
    <w:rsid w:val="13ED41C3"/>
    <w:rsid w:val="14665D24"/>
    <w:rsid w:val="14900FF3"/>
    <w:rsid w:val="150177FB"/>
    <w:rsid w:val="169923E1"/>
    <w:rsid w:val="16B0772A"/>
    <w:rsid w:val="16BB723D"/>
    <w:rsid w:val="16C046C0"/>
    <w:rsid w:val="186B417D"/>
    <w:rsid w:val="189015C1"/>
    <w:rsid w:val="18D53478"/>
    <w:rsid w:val="18DC4807"/>
    <w:rsid w:val="19094ED0"/>
    <w:rsid w:val="191B61A3"/>
    <w:rsid w:val="197B7B7C"/>
    <w:rsid w:val="19FB0CBC"/>
    <w:rsid w:val="1A556A4F"/>
    <w:rsid w:val="1AB84DFF"/>
    <w:rsid w:val="1B012302"/>
    <w:rsid w:val="1B386E43"/>
    <w:rsid w:val="1BAB226E"/>
    <w:rsid w:val="1BDB2B53"/>
    <w:rsid w:val="1C341355"/>
    <w:rsid w:val="1D155CEE"/>
    <w:rsid w:val="1DC100F4"/>
    <w:rsid w:val="1F2C5176"/>
    <w:rsid w:val="1F895DC0"/>
    <w:rsid w:val="1F947BE9"/>
    <w:rsid w:val="1FD44489"/>
    <w:rsid w:val="208346A4"/>
    <w:rsid w:val="20B3409F"/>
    <w:rsid w:val="210E5779"/>
    <w:rsid w:val="219F4623"/>
    <w:rsid w:val="22BA200B"/>
    <w:rsid w:val="22EE13BE"/>
    <w:rsid w:val="235A2EF8"/>
    <w:rsid w:val="239F0D97"/>
    <w:rsid w:val="23A423C5"/>
    <w:rsid w:val="240371BF"/>
    <w:rsid w:val="24311EAA"/>
    <w:rsid w:val="245B6F27"/>
    <w:rsid w:val="258C1362"/>
    <w:rsid w:val="25C5333B"/>
    <w:rsid w:val="25F969F8"/>
    <w:rsid w:val="26123616"/>
    <w:rsid w:val="26377520"/>
    <w:rsid w:val="2650413E"/>
    <w:rsid w:val="26541E80"/>
    <w:rsid w:val="266876DA"/>
    <w:rsid w:val="26B20955"/>
    <w:rsid w:val="26C62652"/>
    <w:rsid w:val="26EE4083"/>
    <w:rsid w:val="27335F39"/>
    <w:rsid w:val="277F2F2D"/>
    <w:rsid w:val="285E6FE6"/>
    <w:rsid w:val="28DD0862"/>
    <w:rsid w:val="292C0E92"/>
    <w:rsid w:val="29361D11"/>
    <w:rsid w:val="29373393"/>
    <w:rsid w:val="29FD04D3"/>
    <w:rsid w:val="2AC60E73"/>
    <w:rsid w:val="2B6F5066"/>
    <w:rsid w:val="2BD862F3"/>
    <w:rsid w:val="2BE34999"/>
    <w:rsid w:val="2BE5357A"/>
    <w:rsid w:val="2BF70663"/>
    <w:rsid w:val="2D07310C"/>
    <w:rsid w:val="2DDB2E87"/>
    <w:rsid w:val="2E67780F"/>
    <w:rsid w:val="2E6C3ADF"/>
    <w:rsid w:val="2EEE2746"/>
    <w:rsid w:val="2F0401BB"/>
    <w:rsid w:val="2F1C5505"/>
    <w:rsid w:val="2F6D7B0F"/>
    <w:rsid w:val="30107441"/>
    <w:rsid w:val="30183F1E"/>
    <w:rsid w:val="30354AD0"/>
    <w:rsid w:val="303D5733"/>
    <w:rsid w:val="305F38FB"/>
    <w:rsid w:val="31442AF1"/>
    <w:rsid w:val="314B22F3"/>
    <w:rsid w:val="317E24A7"/>
    <w:rsid w:val="319F7F4E"/>
    <w:rsid w:val="321D3A6E"/>
    <w:rsid w:val="326B7F22"/>
    <w:rsid w:val="32936FE9"/>
    <w:rsid w:val="330C5891"/>
    <w:rsid w:val="33332490"/>
    <w:rsid w:val="339E473B"/>
    <w:rsid w:val="33E52369"/>
    <w:rsid w:val="33E5680D"/>
    <w:rsid w:val="34256C0A"/>
    <w:rsid w:val="342B428C"/>
    <w:rsid w:val="3431735D"/>
    <w:rsid w:val="34AE30A3"/>
    <w:rsid w:val="34D83C7C"/>
    <w:rsid w:val="34F62354"/>
    <w:rsid w:val="357C3CC2"/>
    <w:rsid w:val="361374D2"/>
    <w:rsid w:val="36625EF3"/>
    <w:rsid w:val="36932551"/>
    <w:rsid w:val="378974B0"/>
    <w:rsid w:val="37BA3B0D"/>
    <w:rsid w:val="386E66B2"/>
    <w:rsid w:val="396D4B38"/>
    <w:rsid w:val="39F03816"/>
    <w:rsid w:val="39F50E2C"/>
    <w:rsid w:val="3A485400"/>
    <w:rsid w:val="3AB900AC"/>
    <w:rsid w:val="3AEC0481"/>
    <w:rsid w:val="3B4E6126"/>
    <w:rsid w:val="3B7D37CF"/>
    <w:rsid w:val="3CAD1E92"/>
    <w:rsid w:val="3CC2593E"/>
    <w:rsid w:val="3CC50F8A"/>
    <w:rsid w:val="3D0C62A9"/>
    <w:rsid w:val="3D477BF1"/>
    <w:rsid w:val="3DC828C9"/>
    <w:rsid w:val="3E0711BD"/>
    <w:rsid w:val="3E374632"/>
    <w:rsid w:val="3E416D36"/>
    <w:rsid w:val="3E4800C5"/>
    <w:rsid w:val="3E576AEC"/>
    <w:rsid w:val="3E860BED"/>
    <w:rsid w:val="3F47037C"/>
    <w:rsid w:val="3FA64D90"/>
    <w:rsid w:val="3FEA2348"/>
    <w:rsid w:val="404E573A"/>
    <w:rsid w:val="407F76A2"/>
    <w:rsid w:val="40923879"/>
    <w:rsid w:val="40C1415E"/>
    <w:rsid w:val="40E65973"/>
    <w:rsid w:val="40F778EA"/>
    <w:rsid w:val="41195D48"/>
    <w:rsid w:val="411B386E"/>
    <w:rsid w:val="412F10C8"/>
    <w:rsid w:val="41764F49"/>
    <w:rsid w:val="41B33AA7"/>
    <w:rsid w:val="42755200"/>
    <w:rsid w:val="42845501"/>
    <w:rsid w:val="42864E7C"/>
    <w:rsid w:val="428B3703"/>
    <w:rsid w:val="432A7D99"/>
    <w:rsid w:val="43AC4363"/>
    <w:rsid w:val="43E775D8"/>
    <w:rsid w:val="443B5CDB"/>
    <w:rsid w:val="443D4BF9"/>
    <w:rsid w:val="44623562"/>
    <w:rsid w:val="447A6AFE"/>
    <w:rsid w:val="447C0AC8"/>
    <w:rsid w:val="448E6105"/>
    <w:rsid w:val="44BF09B5"/>
    <w:rsid w:val="44DC3315"/>
    <w:rsid w:val="44DC50C3"/>
    <w:rsid w:val="44FF7003"/>
    <w:rsid w:val="45120AE5"/>
    <w:rsid w:val="462431C5"/>
    <w:rsid w:val="464A0752"/>
    <w:rsid w:val="46B5759C"/>
    <w:rsid w:val="46C202E8"/>
    <w:rsid w:val="46D149CF"/>
    <w:rsid w:val="46E464B1"/>
    <w:rsid w:val="4703102D"/>
    <w:rsid w:val="470D1EAB"/>
    <w:rsid w:val="47971775"/>
    <w:rsid w:val="480D7C89"/>
    <w:rsid w:val="485C20DF"/>
    <w:rsid w:val="486B136A"/>
    <w:rsid w:val="48B85449"/>
    <w:rsid w:val="48BF2D31"/>
    <w:rsid w:val="492A5FB3"/>
    <w:rsid w:val="49C65AAF"/>
    <w:rsid w:val="49CB5901"/>
    <w:rsid w:val="4A2117CA"/>
    <w:rsid w:val="4A235542"/>
    <w:rsid w:val="4AD8632C"/>
    <w:rsid w:val="4B101F6A"/>
    <w:rsid w:val="4BAD5A0B"/>
    <w:rsid w:val="4C2D08FA"/>
    <w:rsid w:val="4C6365C5"/>
    <w:rsid w:val="4C7D53DD"/>
    <w:rsid w:val="4C9646F1"/>
    <w:rsid w:val="4D0C49B3"/>
    <w:rsid w:val="4D9F75D5"/>
    <w:rsid w:val="4DF0654E"/>
    <w:rsid w:val="4DFE254E"/>
    <w:rsid w:val="4E606D65"/>
    <w:rsid w:val="4EAA4484"/>
    <w:rsid w:val="4EBC7D13"/>
    <w:rsid w:val="4ECE2238"/>
    <w:rsid w:val="4F1418FD"/>
    <w:rsid w:val="4F195165"/>
    <w:rsid w:val="4F3F2E1E"/>
    <w:rsid w:val="4F4E3061"/>
    <w:rsid w:val="4FCC12E7"/>
    <w:rsid w:val="4FD80CA0"/>
    <w:rsid w:val="4FDE2637"/>
    <w:rsid w:val="5060129E"/>
    <w:rsid w:val="507B7E86"/>
    <w:rsid w:val="50CC248F"/>
    <w:rsid w:val="51354340"/>
    <w:rsid w:val="514A6B37"/>
    <w:rsid w:val="51556929"/>
    <w:rsid w:val="517448D5"/>
    <w:rsid w:val="51986815"/>
    <w:rsid w:val="51E1640E"/>
    <w:rsid w:val="52020AD7"/>
    <w:rsid w:val="52350508"/>
    <w:rsid w:val="525F10E1"/>
    <w:rsid w:val="529B480F"/>
    <w:rsid w:val="52B61649"/>
    <w:rsid w:val="537961D3"/>
    <w:rsid w:val="537C31D0"/>
    <w:rsid w:val="53811642"/>
    <w:rsid w:val="53AB0A82"/>
    <w:rsid w:val="541D3002"/>
    <w:rsid w:val="544D7D8B"/>
    <w:rsid w:val="549560CC"/>
    <w:rsid w:val="55050666"/>
    <w:rsid w:val="55B31E70"/>
    <w:rsid w:val="566B44F9"/>
    <w:rsid w:val="567535C9"/>
    <w:rsid w:val="57E83927"/>
    <w:rsid w:val="58E43807"/>
    <w:rsid w:val="591C06DD"/>
    <w:rsid w:val="595D1779"/>
    <w:rsid w:val="599E2E37"/>
    <w:rsid w:val="5A3144C7"/>
    <w:rsid w:val="5A585246"/>
    <w:rsid w:val="5AB26B9A"/>
    <w:rsid w:val="5B286E5C"/>
    <w:rsid w:val="5BC052E6"/>
    <w:rsid w:val="5C4952DC"/>
    <w:rsid w:val="5CBD35D4"/>
    <w:rsid w:val="5CE32ABA"/>
    <w:rsid w:val="5D243653"/>
    <w:rsid w:val="5DC664B8"/>
    <w:rsid w:val="5DDE7CA6"/>
    <w:rsid w:val="5DF70D68"/>
    <w:rsid w:val="5E3E24F3"/>
    <w:rsid w:val="5E8D747D"/>
    <w:rsid w:val="5E90172C"/>
    <w:rsid w:val="5F0059FA"/>
    <w:rsid w:val="5F3C2D6D"/>
    <w:rsid w:val="5F526256"/>
    <w:rsid w:val="5F70492E"/>
    <w:rsid w:val="5FAB005C"/>
    <w:rsid w:val="5FC37F08"/>
    <w:rsid w:val="60A01243"/>
    <w:rsid w:val="60EC092C"/>
    <w:rsid w:val="60F53B99"/>
    <w:rsid w:val="61371BA7"/>
    <w:rsid w:val="61502C69"/>
    <w:rsid w:val="61F730E4"/>
    <w:rsid w:val="623600B0"/>
    <w:rsid w:val="626616D3"/>
    <w:rsid w:val="62EC076F"/>
    <w:rsid w:val="631A4274"/>
    <w:rsid w:val="637D59BA"/>
    <w:rsid w:val="63DF2082"/>
    <w:rsid w:val="641B57B0"/>
    <w:rsid w:val="649E018F"/>
    <w:rsid w:val="65705687"/>
    <w:rsid w:val="65EE2A50"/>
    <w:rsid w:val="66E5580A"/>
    <w:rsid w:val="6759214B"/>
    <w:rsid w:val="67B37AAD"/>
    <w:rsid w:val="683D381B"/>
    <w:rsid w:val="6850354E"/>
    <w:rsid w:val="68C34409"/>
    <w:rsid w:val="69780FAF"/>
    <w:rsid w:val="69FA19C4"/>
    <w:rsid w:val="6A1862EE"/>
    <w:rsid w:val="6A331379"/>
    <w:rsid w:val="6B5415A7"/>
    <w:rsid w:val="6C4A05C8"/>
    <w:rsid w:val="6C53185F"/>
    <w:rsid w:val="6C845EBC"/>
    <w:rsid w:val="6CD96208"/>
    <w:rsid w:val="6D54588F"/>
    <w:rsid w:val="6D6D6950"/>
    <w:rsid w:val="6D725CA3"/>
    <w:rsid w:val="6DA06D26"/>
    <w:rsid w:val="6DC24EEE"/>
    <w:rsid w:val="6DC76061"/>
    <w:rsid w:val="6E8717CC"/>
    <w:rsid w:val="6F343BCA"/>
    <w:rsid w:val="6F8C57B4"/>
    <w:rsid w:val="703B0F88"/>
    <w:rsid w:val="70A408DB"/>
    <w:rsid w:val="71724535"/>
    <w:rsid w:val="717C4D3B"/>
    <w:rsid w:val="71EA33EE"/>
    <w:rsid w:val="71F118FE"/>
    <w:rsid w:val="722A3062"/>
    <w:rsid w:val="724759C2"/>
    <w:rsid w:val="72734D90"/>
    <w:rsid w:val="72E94CCB"/>
    <w:rsid w:val="742F2BB2"/>
    <w:rsid w:val="748F53FE"/>
    <w:rsid w:val="74A964C0"/>
    <w:rsid w:val="74AF784E"/>
    <w:rsid w:val="74E20FCC"/>
    <w:rsid w:val="75497CA3"/>
    <w:rsid w:val="75CB4B5C"/>
    <w:rsid w:val="76607052"/>
    <w:rsid w:val="769E7B7B"/>
    <w:rsid w:val="771A18F7"/>
    <w:rsid w:val="771C566F"/>
    <w:rsid w:val="775E376F"/>
    <w:rsid w:val="77903967"/>
    <w:rsid w:val="779F004E"/>
    <w:rsid w:val="77A613DD"/>
    <w:rsid w:val="77AC27E8"/>
    <w:rsid w:val="781E71C5"/>
    <w:rsid w:val="787B4617"/>
    <w:rsid w:val="78830440"/>
    <w:rsid w:val="78852DA0"/>
    <w:rsid w:val="79132AA2"/>
    <w:rsid w:val="79725A1A"/>
    <w:rsid w:val="79B853F7"/>
    <w:rsid w:val="79BC6C95"/>
    <w:rsid w:val="79C773E8"/>
    <w:rsid w:val="79DD27EE"/>
    <w:rsid w:val="7A3B22B0"/>
    <w:rsid w:val="7A6B246A"/>
    <w:rsid w:val="7AB12572"/>
    <w:rsid w:val="7B334D35"/>
    <w:rsid w:val="7B580C40"/>
    <w:rsid w:val="7BC97448"/>
    <w:rsid w:val="7C216682"/>
    <w:rsid w:val="7C923CDE"/>
    <w:rsid w:val="7C9669A6"/>
    <w:rsid w:val="7CAF2AE1"/>
    <w:rsid w:val="7D2D099D"/>
    <w:rsid w:val="7D3B25C7"/>
    <w:rsid w:val="7D44147C"/>
    <w:rsid w:val="7D5947FB"/>
    <w:rsid w:val="7D9A72EE"/>
    <w:rsid w:val="7DBD122E"/>
    <w:rsid w:val="7E040C0B"/>
    <w:rsid w:val="7E0429B9"/>
    <w:rsid w:val="7E6F076E"/>
    <w:rsid w:val="7E90509C"/>
    <w:rsid w:val="7FD87C32"/>
    <w:rsid w:val="7FE64A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iPriority="99" w:semiHidden="0"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9"/>
    <w:qFormat/>
    <w:uiPriority w:val="9"/>
    <w:pPr>
      <w:keepNext/>
      <w:keepLines/>
      <w:spacing w:before="260" w:after="260" w:line="416" w:lineRule="auto"/>
      <w:outlineLvl w:val="1"/>
    </w:pPr>
    <w:rPr>
      <w:rFonts w:ascii="Cambria" w:hAnsi="Cambria"/>
      <w:b/>
      <w:bCs/>
      <w:sz w:val="32"/>
      <w:szCs w:val="32"/>
    </w:rPr>
  </w:style>
  <w:style w:type="paragraph" w:styleId="6">
    <w:name w:val="heading 3"/>
    <w:basedOn w:val="1"/>
    <w:next w:val="1"/>
    <w:link w:val="30"/>
    <w:qFormat/>
    <w:uiPriority w:val="9"/>
    <w:pPr>
      <w:keepNext/>
      <w:keepLines/>
      <w:spacing w:before="260" w:after="260" w:line="416" w:lineRule="auto"/>
      <w:outlineLvl w:val="2"/>
    </w:pPr>
    <w:rPr>
      <w:b/>
      <w:bCs/>
      <w:sz w:val="32"/>
      <w:szCs w:val="32"/>
    </w:rPr>
  </w:style>
  <w:style w:type="character" w:default="1" w:styleId="24">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spacing w:line="360" w:lineRule="auto"/>
      <w:ind w:left="0" w:leftChars="0" w:firstLine="420" w:firstLineChars="200"/>
    </w:pPr>
    <w:rPr>
      <w:rFonts w:ascii="Times New Roman" w:hAnsi="Times New Roman" w:eastAsia="宋体"/>
    </w:rPr>
  </w:style>
  <w:style w:type="paragraph" w:styleId="3">
    <w:name w:val="Body Text Indent"/>
    <w:basedOn w:val="1"/>
    <w:next w:val="2"/>
    <w:qFormat/>
    <w:uiPriority w:val="0"/>
    <w:pPr>
      <w:spacing w:after="120"/>
      <w:ind w:left="420" w:leftChars="200"/>
    </w:pPr>
    <w:rPr>
      <w:rFonts w:ascii="Calibri" w:hAnsi="Calibri"/>
      <w:szCs w:val="22"/>
    </w:rPr>
  </w:style>
  <w:style w:type="paragraph" w:styleId="7">
    <w:name w:val="toc 7"/>
    <w:basedOn w:val="1"/>
    <w:next w:val="1"/>
    <w:unhideWhenUsed/>
    <w:qFormat/>
    <w:uiPriority w:val="39"/>
    <w:pPr>
      <w:ind w:left="1260"/>
      <w:jc w:val="left"/>
    </w:pPr>
    <w:rPr>
      <w:rFonts w:ascii="等线" w:eastAsia="等线"/>
      <w:sz w:val="18"/>
      <w:szCs w:val="18"/>
    </w:rPr>
  </w:style>
  <w:style w:type="paragraph" w:styleId="8">
    <w:name w:val="index 8"/>
    <w:basedOn w:val="1"/>
    <w:next w:val="1"/>
    <w:unhideWhenUsed/>
    <w:qFormat/>
    <w:uiPriority w:val="99"/>
    <w:pPr>
      <w:ind w:left="2940"/>
    </w:pPr>
  </w:style>
  <w:style w:type="paragraph" w:styleId="9">
    <w:name w:val="Body Text"/>
    <w:basedOn w:val="1"/>
    <w:next w:val="8"/>
    <w:link w:val="27"/>
    <w:qFormat/>
    <w:uiPriority w:val="99"/>
    <w:pPr>
      <w:spacing w:beforeLines="30"/>
    </w:pPr>
    <w:rPr>
      <w:rFonts w:ascii="仿宋_GB2312" w:eastAsia="仿宋_GB2312"/>
      <w:kern w:val="0"/>
      <w:sz w:val="24"/>
      <w:szCs w:val="20"/>
      <w:lang w:val="zh-CN"/>
    </w:rPr>
  </w:style>
  <w:style w:type="paragraph" w:styleId="10">
    <w:name w:val="toc 5"/>
    <w:basedOn w:val="1"/>
    <w:next w:val="1"/>
    <w:unhideWhenUsed/>
    <w:qFormat/>
    <w:uiPriority w:val="39"/>
    <w:pPr>
      <w:ind w:left="840"/>
      <w:jc w:val="left"/>
    </w:pPr>
    <w:rPr>
      <w:rFonts w:ascii="等线" w:eastAsia="等线"/>
      <w:sz w:val="18"/>
      <w:szCs w:val="18"/>
    </w:rPr>
  </w:style>
  <w:style w:type="paragraph" w:styleId="11">
    <w:name w:val="toc 3"/>
    <w:basedOn w:val="1"/>
    <w:next w:val="1"/>
    <w:unhideWhenUsed/>
    <w:qFormat/>
    <w:uiPriority w:val="39"/>
    <w:pPr>
      <w:ind w:left="420"/>
      <w:jc w:val="left"/>
    </w:pPr>
    <w:rPr>
      <w:rFonts w:ascii="等线" w:eastAsia="等线"/>
      <w:i/>
      <w:iCs/>
      <w:sz w:val="20"/>
      <w:szCs w:val="20"/>
    </w:rPr>
  </w:style>
  <w:style w:type="paragraph" w:styleId="12">
    <w:name w:val="toc 8"/>
    <w:basedOn w:val="1"/>
    <w:next w:val="1"/>
    <w:unhideWhenUsed/>
    <w:qFormat/>
    <w:uiPriority w:val="39"/>
    <w:pPr>
      <w:ind w:left="1470"/>
      <w:jc w:val="left"/>
    </w:pPr>
    <w:rPr>
      <w:rFonts w:ascii="等线" w:eastAsia="等线"/>
      <w:sz w:val="18"/>
      <w:szCs w:val="18"/>
    </w:rPr>
  </w:style>
  <w:style w:type="paragraph" w:styleId="13">
    <w:name w:val="Balloon Text"/>
    <w:basedOn w:val="1"/>
    <w:link w:val="31"/>
    <w:unhideWhenUsed/>
    <w:qFormat/>
    <w:uiPriority w:val="99"/>
    <w:rPr>
      <w:sz w:val="18"/>
      <w:szCs w:val="18"/>
    </w:rPr>
  </w:style>
  <w:style w:type="paragraph" w:styleId="14">
    <w:name w:val="footer"/>
    <w:basedOn w:val="1"/>
    <w:link w:val="32"/>
    <w:qFormat/>
    <w:uiPriority w:val="99"/>
    <w:pPr>
      <w:tabs>
        <w:tab w:val="center" w:pos="4153"/>
        <w:tab w:val="right" w:pos="8306"/>
      </w:tabs>
      <w:snapToGrid w:val="0"/>
      <w:jc w:val="left"/>
    </w:pPr>
    <w:rPr>
      <w:rFonts w:ascii="Calibri" w:hAnsi="Calibri"/>
      <w:kern w:val="0"/>
      <w:sz w:val="18"/>
      <w:szCs w:val="20"/>
      <w:lang w:val="zh-CN"/>
    </w:rPr>
  </w:style>
  <w:style w:type="paragraph" w:styleId="15">
    <w:name w:val="header"/>
    <w:basedOn w:val="1"/>
    <w:link w:val="33"/>
    <w:semiHidden/>
    <w:qFormat/>
    <w:uiPriority w:val="99"/>
    <w:pPr>
      <w:pBdr>
        <w:bottom w:val="single" w:color="auto" w:sz="6" w:space="1"/>
      </w:pBdr>
      <w:tabs>
        <w:tab w:val="center" w:pos="4153"/>
        <w:tab w:val="right" w:pos="8306"/>
      </w:tabs>
      <w:snapToGrid w:val="0"/>
      <w:jc w:val="center"/>
    </w:pPr>
    <w:rPr>
      <w:rFonts w:ascii="Calibri" w:hAnsi="Calibri"/>
      <w:kern w:val="0"/>
      <w:sz w:val="18"/>
      <w:szCs w:val="20"/>
      <w:lang w:val="zh-CN"/>
    </w:rPr>
  </w:style>
  <w:style w:type="paragraph" w:styleId="16">
    <w:name w:val="toc 1"/>
    <w:basedOn w:val="1"/>
    <w:next w:val="1"/>
    <w:unhideWhenUsed/>
    <w:qFormat/>
    <w:uiPriority w:val="39"/>
    <w:pPr>
      <w:spacing w:before="120" w:after="120"/>
      <w:jc w:val="left"/>
    </w:pPr>
    <w:rPr>
      <w:rFonts w:ascii="等线" w:eastAsia="等线"/>
      <w:b/>
      <w:bCs/>
      <w:caps/>
      <w:sz w:val="20"/>
      <w:szCs w:val="20"/>
    </w:rPr>
  </w:style>
  <w:style w:type="paragraph" w:styleId="17">
    <w:name w:val="toc 4"/>
    <w:basedOn w:val="1"/>
    <w:next w:val="1"/>
    <w:unhideWhenUsed/>
    <w:qFormat/>
    <w:uiPriority w:val="39"/>
    <w:pPr>
      <w:ind w:left="630"/>
      <w:jc w:val="left"/>
    </w:pPr>
    <w:rPr>
      <w:rFonts w:ascii="等线" w:eastAsia="等线"/>
      <w:sz w:val="18"/>
      <w:szCs w:val="18"/>
    </w:rPr>
  </w:style>
  <w:style w:type="paragraph" w:styleId="18">
    <w:name w:val="toc 6"/>
    <w:basedOn w:val="1"/>
    <w:next w:val="1"/>
    <w:unhideWhenUsed/>
    <w:qFormat/>
    <w:uiPriority w:val="39"/>
    <w:pPr>
      <w:ind w:left="1050"/>
      <w:jc w:val="left"/>
    </w:pPr>
    <w:rPr>
      <w:rFonts w:ascii="等线" w:eastAsia="等线"/>
      <w:sz w:val="18"/>
      <w:szCs w:val="18"/>
    </w:rPr>
  </w:style>
  <w:style w:type="paragraph" w:styleId="19">
    <w:name w:val="table of figures"/>
    <w:basedOn w:val="1"/>
    <w:next w:val="1"/>
    <w:qFormat/>
    <w:uiPriority w:val="0"/>
    <w:pPr>
      <w:widowControl w:val="0"/>
      <w:ind w:left="400" w:leftChars="200" w:hanging="200" w:hangingChars="200"/>
      <w:jc w:val="both"/>
    </w:pPr>
    <w:rPr>
      <w:rFonts w:ascii="Calibri" w:hAnsi="Calibri" w:eastAsia="宋体" w:cs="Times New Roman"/>
      <w:kern w:val="2"/>
      <w:sz w:val="21"/>
      <w:szCs w:val="24"/>
      <w:lang w:val="en-US" w:eastAsia="zh-CN" w:bidi="ar-SA"/>
    </w:rPr>
  </w:style>
  <w:style w:type="paragraph" w:styleId="20">
    <w:name w:val="toc 2"/>
    <w:basedOn w:val="1"/>
    <w:next w:val="1"/>
    <w:unhideWhenUsed/>
    <w:qFormat/>
    <w:uiPriority w:val="39"/>
    <w:pPr>
      <w:ind w:left="210"/>
      <w:jc w:val="left"/>
    </w:pPr>
    <w:rPr>
      <w:rFonts w:ascii="等线" w:eastAsia="等线"/>
      <w:smallCaps/>
      <w:sz w:val="20"/>
      <w:szCs w:val="20"/>
    </w:rPr>
  </w:style>
  <w:style w:type="paragraph" w:styleId="21">
    <w:name w:val="toc 9"/>
    <w:basedOn w:val="1"/>
    <w:next w:val="1"/>
    <w:unhideWhenUsed/>
    <w:qFormat/>
    <w:uiPriority w:val="39"/>
    <w:pPr>
      <w:ind w:left="1680"/>
      <w:jc w:val="left"/>
    </w:pPr>
    <w:rPr>
      <w:rFonts w:ascii="等线" w:eastAsia="等线"/>
      <w:sz w:val="18"/>
      <w:szCs w:val="18"/>
    </w:rPr>
  </w:style>
  <w:style w:type="paragraph" w:styleId="22">
    <w:name w:val="Normal (Web)"/>
    <w:basedOn w:val="1"/>
    <w:unhideWhenUsed/>
    <w:qFormat/>
    <w:uiPriority w:val="0"/>
    <w:pPr>
      <w:spacing w:before="100" w:beforeAutospacing="1" w:after="100" w:afterAutospacing="1"/>
    </w:pPr>
  </w:style>
  <w:style w:type="character" w:styleId="25">
    <w:name w:val="Strong"/>
    <w:basedOn w:val="24"/>
    <w:qFormat/>
    <w:uiPriority w:val="99"/>
    <w:rPr>
      <w:rFonts w:cs="Times New Roman"/>
      <w:b/>
    </w:rPr>
  </w:style>
  <w:style w:type="character" w:styleId="26">
    <w:name w:val="Hyperlink"/>
    <w:basedOn w:val="24"/>
    <w:unhideWhenUsed/>
    <w:qFormat/>
    <w:uiPriority w:val="99"/>
    <w:rPr>
      <w:rFonts w:cs="Times New Roman"/>
      <w:color w:val="0000FF"/>
      <w:u w:val="single"/>
    </w:rPr>
  </w:style>
  <w:style w:type="character" w:customStyle="1" w:styleId="27">
    <w:name w:val="正文文本 Char"/>
    <w:link w:val="9"/>
    <w:qFormat/>
    <w:locked/>
    <w:uiPriority w:val="99"/>
    <w:rPr>
      <w:rFonts w:ascii="仿宋_GB2312" w:hAnsi="Times New Roman" w:eastAsia="仿宋_GB2312"/>
      <w:sz w:val="24"/>
    </w:rPr>
  </w:style>
  <w:style w:type="character" w:customStyle="1" w:styleId="28">
    <w:name w:val="标题 1 Char"/>
    <w:basedOn w:val="24"/>
    <w:link w:val="4"/>
    <w:qFormat/>
    <w:locked/>
    <w:uiPriority w:val="9"/>
    <w:rPr>
      <w:rFonts w:ascii="Times New Roman" w:hAnsi="Times New Roman" w:cs="Times New Roman"/>
      <w:b/>
      <w:bCs/>
      <w:kern w:val="44"/>
      <w:sz w:val="44"/>
      <w:szCs w:val="44"/>
    </w:rPr>
  </w:style>
  <w:style w:type="character" w:customStyle="1" w:styleId="29">
    <w:name w:val="标题 2 Char"/>
    <w:basedOn w:val="24"/>
    <w:link w:val="5"/>
    <w:qFormat/>
    <w:locked/>
    <w:uiPriority w:val="9"/>
    <w:rPr>
      <w:rFonts w:ascii="Cambria" w:hAnsi="Cambria" w:eastAsia="宋体" w:cs="Times New Roman"/>
      <w:b/>
      <w:bCs/>
      <w:kern w:val="2"/>
      <w:sz w:val="32"/>
      <w:szCs w:val="32"/>
    </w:rPr>
  </w:style>
  <w:style w:type="character" w:customStyle="1" w:styleId="30">
    <w:name w:val="标题 3 Char"/>
    <w:basedOn w:val="24"/>
    <w:link w:val="6"/>
    <w:qFormat/>
    <w:locked/>
    <w:uiPriority w:val="9"/>
    <w:rPr>
      <w:rFonts w:ascii="Times New Roman" w:hAnsi="Times New Roman" w:cs="Times New Roman"/>
      <w:b/>
      <w:bCs/>
      <w:kern w:val="2"/>
      <w:sz w:val="32"/>
      <w:szCs w:val="32"/>
    </w:rPr>
  </w:style>
  <w:style w:type="character" w:customStyle="1" w:styleId="31">
    <w:name w:val="批注框文本 Char"/>
    <w:basedOn w:val="24"/>
    <w:link w:val="13"/>
    <w:semiHidden/>
    <w:qFormat/>
    <w:locked/>
    <w:uiPriority w:val="99"/>
    <w:rPr>
      <w:rFonts w:ascii="Times New Roman" w:hAnsi="Times New Roman" w:cs="Times New Roman"/>
      <w:kern w:val="2"/>
      <w:sz w:val="18"/>
      <w:szCs w:val="18"/>
    </w:rPr>
  </w:style>
  <w:style w:type="character" w:customStyle="1" w:styleId="32">
    <w:name w:val="页脚 Char"/>
    <w:link w:val="14"/>
    <w:qFormat/>
    <w:locked/>
    <w:uiPriority w:val="99"/>
    <w:rPr>
      <w:sz w:val="18"/>
    </w:rPr>
  </w:style>
  <w:style w:type="character" w:customStyle="1" w:styleId="33">
    <w:name w:val="页眉 Char"/>
    <w:link w:val="15"/>
    <w:semiHidden/>
    <w:qFormat/>
    <w:locked/>
    <w:uiPriority w:val="99"/>
    <w:rPr>
      <w:sz w:val="18"/>
    </w:rPr>
  </w:style>
  <w:style w:type="character" w:customStyle="1" w:styleId="34">
    <w:name w:val="Body Text Char"/>
    <w:basedOn w:val="24"/>
    <w:semiHidden/>
    <w:qFormat/>
    <w:uiPriority w:val="99"/>
    <w:rPr>
      <w:rFonts w:ascii="Times New Roman" w:hAnsi="Times New Roman" w:cs="Times New Roman"/>
      <w:sz w:val="24"/>
      <w:szCs w:val="24"/>
    </w:rPr>
  </w:style>
  <w:style w:type="character" w:customStyle="1" w:styleId="35">
    <w:name w:val="Footer Char"/>
    <w:basedOn w:val="24"/>
    <w:semiHidden/>
    <w:qFormat/>
    <w:uiPriority w:val="99"/>
    <w:rPr>
      <w:rFonts w:ascii="Times New Roman" w:hAnsi="Times New Roman" w:cs="Times New Roman"/>
      <w:sz w:val="18"/>
      <w:szCs w:val="18"/>
    </w:rPr>
  </w:style>
  <w:style w:type="character" w:customStyle="1" w:styleId="36">
    <w:name w:val="Header Char"/>
    <w:basedOn w:val="24"/>
    <w:semiHidden/>
    <w:qFormat/>
    <w:uiPriority w:val="99"/>
    <w:rPr>
      <w:rFonts w:ascii="Times New Roman" w:hAnsi="Times New Roman" w:cs="Times New Roman"/>
      <w:sz w:val="18"/>
      <w:szCs w:val="18"/>
    </w:rPr>
  </w:style>
  <w:style w:type="paragraph" w:customStyle="1" w:styleId="3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38">
    <w:name w:val="列表段落1"/>
    <w:basedOn w:val="1"/>
    <w:qFormat/>
    <w:uiPriority w:val="34"/>
    <w:pPr>
      <w:ind w:firstLine="420" w:firstLineChars="200"/>
    </w:pPr>
  </w:style>
  <w:style w:type="paragraph" w:customStyle="1" w:styleId="39">
    <w:name w:val="TOC 标题1"/>
    <w:basedOn w:val="4"/>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40">
    <w:name w:val="TOC Heading1"/>
    <w:basedOn w:val="4"/>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41">
    <w:name w:val="TOC 标题2"/>
    <w:basedOn w:val="4"/>
    <w:next w:val="1"/>
    <w:unhideWhenUsed/>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character" w:customStyle="1" w:styleId="42">
    <w:name w:val="NormalCharacter"/>
    <w:semiHidden/>
    <w:qFormat/>
    <w:uiPriority w:val="0"/>
    <w:rPr>
      <w:rFonts w:ascii="Calibri" w:hAnsi="Calibri" w:eastAsia="宋体" w:cs="Times New Roman"/>
      <w:kern w:val="2"/>
      <w:sz w:val="21"/>
      <w:szCs w:val="24"/>
      <w:lang w:val="en-US" w:eastAsia="zh-CN" w:bidi="ar-SA"/>
    </w:rPr>
  </w:style>
  <w:style w:type="paragraph" w:customStyle="1" w:styleId="43">
    <w:name w:val="列出段落1"/>
    <w:basedOn w:val="1"/>
    <w:qFormat/>
    <w:uiPriority w:val="34"/>
    <w:pPr>
      <w:ind w:firstLine="420" w:firstLineChars="200"/>
    </w:pPr>
    <w:rPr>
      <w:rFonts w:ascii="Calibri" w:hAnsi="Calibri" w:eastAsia="宋体" w:cs="Times New Roman"/>
    </w:rPr>
  </w:style>
  <w:style w:type="character" w:customStyle="1" w:styleId="44">
    <w:name w:val="15"/>
    <w:basedOn w:val="24"/>
    <w:qFormat/>
    <w:uiPriority w:val="0"/>
    <w:rPr>
      <w:rFonts w:hint="default" w:ascii="Times New Roman" w:hAnsi="Times New Roman" w:cs="Times New Roman"/>
    </w:rPr>
  </w:style>
  <w:style w:type="paragraph" w:customStyle="1" w:styleId="45">
    <w:name w:val="四号正文"/>
    <w:basedOn w:val="1"/>
    <w:uiPriority w:val="0"/>
    <w:pPr>
      <w:keepNext w:val="0"/>
      <w:keepLines w:val="0"/>
      <w:widowControl w:val="0"/>
      <w:suppressLineNumbers w:val="0"/>
      <w:spacing w:before="0" w:beforeAutospacing="0" w:after="0" w:afterAutospacing="0" w:line="360" w:lineRule="auto"/>
      <w:ind w:left="0" w:right="0"/>
      <w:jc w:val="both"/>
    </w:pPr>
    <w:rPr>
      <w:rFonts w:hint="default" w:ascii="??" w:hAnsi="??" w:eastAsia="宋体" w:cs="宋体"/>
      <w:color w:val="000000"/>
      <w:kern w:val="0"/>
      <w:sz w:val="28"/>
      <w:szCs w:val="28"/>
      <w:lang w:val="en-US" w:eastAsia="zh-CN" w:bidi="ar"/>
    </w:rPr>
  </w:style>
  <w:style w:type="character" w:customStyle="1" w:styleId="46">
    <w:name w:val="10"/>
    <w:basedOn w:val="24"/>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1.xml"/><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defTabSz="914400">
              <a:defRPr lang="zh-CN" sz="1400" b="0" i="0" u="none" strike="noStrike" kern="1200" spc="0" baseline="0">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t>收入决算结构图</a:t>
            </a:r>
          </a:p>
        </c:rich>
      </c:tx>
      <c:layout/>
      <c:overlay val="0"/>
      <c:spPr>
        <a:noFill/>
        <a:ln>
          <a:noFill/>
        </a:ln>
        <a:effectLst/>
      </c:spPr>
    </c:title>
    <c:autoTitleDeleted val="0"/>
    <c:plotArea>
      <c:layout/>
      <c:pieChart>
        <c:varyColors val="1"/>
        <c:ser>
          <c:idx val="0"/>
          <c:order val="0"/>
          <c:tx>
            <c:strRef>
              <c:f>Sheet1!$B$1</c:f>
              <c:strCache>
                <c:ptCount val="1"/>
                <c:pt idx="0">
                  <c:v>收入决算结构图
</c:v>
                </c:pt>
              </c:strCache>
            </c:strRef>
          </c:tx>
          <c:spPr>
            <a:solidFill>
              <a:srgbClr val="63B1EF">
                <a:alpha val="67000"/>
              </a:srgbClr>
            </a:solidFill>
            <a:ln w="19050" cap="rnd">
              <a:noFill/>
              <a:round/>
            </a:ln>
            <a:effectLst/>
          </c:spPr>
          <c:explosion val="0"/>
          <c:dPt>
            <c:idx val="0"/>
            <c:bubble3D val="0"/>
            <c:spPr>
              <a:solidFill>
                <a:srgbClr val="63B1EF">
                  <a:alpha val="67000"/>
                </a:srgbClr>
              </a:solidFill>
              <a:ln w="19050" cap="rnd">
                <a:noFill/>
                <a:round/>
              </a:ln>
              <a:effectLst/>
            </c:spPr>
          </c:dPt>
          <c:dPt>
            <c:idx val="1"/>
            <c:bubble3D val="0"/>
            <c:spPr>
              <a:solidFill>
                <a:srgbClr val="75D890">
                  <a:alpha val="67000"/>
                </a:srgbClr>
              </a:solidFill>
              <a:ln w="19050" cap="rnd">
                <a:noFill/>
                <a:round/>
              </a:ln>
              <a:effectLst/>
            </c:spPr>
          </c:dPt>
          <c:dPt>
            <c:idx val="2"/>
            <c:bubble3D val="0"/>
            <c:spPr>
              <a:solidFill>
                <a:srgbClr val="FB7E72">
                  <a:alpha val="67000"/>
                </a:srgbClr>
              </a:solidFill>
              <a:ln w="19050" cap="rnd">
                <a:noFill/>
                <a:round/>
              </a:ln>
              <a:effectLst/>
            </c:spPr>
          </c:dPt>
          <c:dPt>
            <c:idx val="3"/>
            <c:bubble3D val="0"/>
            <c:spPr>
              <a:solidFill>
                <a:srgbClr val="F8AC41">
                  <a:alpha val="67000"/>
                </a:srgbClr>
              </a:solidFill>
              <a:ln w="19050" cap="rnd">
                <a:noFill/>
                <a:round/>
              </a:ln>
              <a:effectLst/>
            </c:spPr>
          </c:dPt>
          <c:dPt>
            <c:idx val="4"/>
            <c:bubble3D val="0"/>
            <c:spPr>
              <a:solidFill>
                <a:srgbClr val="63B1EF">
                  <a:alpha val="67000"/>
                </a:srgbClr>
              </a:solidFill>
              <a:ln w="19050" cap="rnd">
                <a:noFill/>
                <a:round/>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一般公共预算财政拨款收入</c:v>
                </c:pt>
                <c:pt idx="1">
                  <c:v>政府性基金预算财政拨款收入</c:v>
                </c:pt>
                <c:pt idx="2">
                  <c:v>上级补助收入</c:v>
                </c:pt>
                <c:pt idx="3">
                  <c:v>事业收入</c:v>
                </c:pt>
                <c:pt idx="4">
                  <c:v>经营收入</c:v>
                </c:pt>
              </c:strCache>
            </c:strRef>
          </c:cat>
          <c:val>
            <c:numRef>
              <c:f>Sheet1!$B$2:$B$6</c:f>
              <c:numCache>
                <c:formatCode>0.00%</c:formatCode>
                <c:ptCount val="5"/>
                <c:pt idx="0">
                  <c:v>0.934</c:v>
                </c:pt>
                <c:pt idx="1">
                  <c:v>0.066</c:v>
                </c:pt>
                <c:pt idx="2" c:formatCode="0%">
                  <c:v>0</c:v>
                </c:pt>
                <c:pt idx="3" c:formatCode="0%">
                  <c:v>0</c:v>
                </c:pt>
                <c:pt idx="4" c:formatCode="0%">
                  <c:v>0</c:v>
                </c:pt>
              </c:numCache>
            </c:numRef>
          </c:val>
        </c:ser>
        <c:dLbls>
          <c:showLegendKey val="0"/>
          <c:showVal val="0"/>
          <c:showCatName val="1"/>
          <c:showSerName val="0"/>
          <c:showPercent val="1"/>
          <c:showBubbleSize val="0"/>
          <c:showLeaderLines val="1"/>
        </c:dLbls>
        <c:firstSliceAng val="0"/>
      </c:pieChart>
      <c:spPr>
        <a:pattFill prst="lgGrid">
          <a:fgClr>
            <a:srgbClr val="F8F8F8"/>
          </a:fgClr>
          <a:bgClr>
            <a:schemeClr val="bg1"/>
          </a:bgClr>
        </a:pattFill>
        <a:ln>
          <a:solidFill>
            <a:schemeClr val="bg1">
              <a:lumMod val="95000"/>
            </a:schemeClr>
          </a:solid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a:outerShdw blurRad="63500" dist="37357" dir="2700000" sx="0" sy="0" rotWithShape="0">
        <a:scrgbClr r="0" g="0" b="0"/>
      </a:outerShdw>
    </a:effectLst>
  </c:spPr>
  <c:txPr>
    <a:bodyPr/>
    <a:lstStyle/>
    <a:p>
      <a:pPr>
        <a:defRPr lang="zh-CN">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支出决算结构图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67.2</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32.8</a:t>
                    </a:r>
                    <a:r>
                      <a:t>%</a:t>
                    </a:r>
                  </a:p>
                </c:rich>
              </c:tx>
              <c:dLblPos val="inEnd"/>
              <c:showLegendKey val="0"/>
              <c:showVal val="0"/>
              <c:showCatName val="0"/>
              <c:showSerName val="0"/>
              <c:showPercent val="1"/>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基本支出（521.56万元）</c:v>
                </c:pt>
                <c:pt idx="1">
                  <c:v>项目支出（205.54万元）</c:v>
                </c:pt>
                <c:pt idx="2">
                  <c:v>上缴上级支出（0万元）</c:v>
                </c:pt>
                <c:pt idx="3">
                  <c:v>经营支出（0万元）</c:v>
                </c:pt>
                <c:pt idx="4">
                  <c:v>对附属单位补助支出（0万元）</c:v>
                </c:pt>
              </c:strCache>
            </c:strRef>
          </c:cat>
          <c:val>
            <c:numRef>
              <c:f>Sheet1!$B$2:$B$6</c:f>
              <c:numCache>
                <c:formatCode>General</c:formatCode>
                <c:ptCount val="5"/>
                <c:pt idx="0">
                  <c:v>521.56</c:v>
                </c:pt>
                <c:pt idx="1">
                  <c:v>205.54</c:v>
                </c:pt>
                <c:pt idx="2">
                  <c:v>0</c:v>
                </c:pt>
                <c:pt idx="3">
                  <c:v>0</c:v>
                </c:pt>
                <c:pt idx="4">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050"/>
              <a:t>财政拨款收、支决算总计变动情况（单位：万元）</a:t>
            </a:r>
            <a:endParaRPr sz="1050"/>
          </a:p>
        </c:rich>
      </c:tx>
      <c:layout>
        <c:manualLayout>
          <c:xMode val="edge"/>
          <c:yMode val="edge"/>
          <c:x val="0.127439352419783"/>
          <c:y val="0.0935661107802263"/>
        </c:manualLayout>
      </c:layout>
      <c:overlay val="0"/>
      <c:spPr>
        <a:noFill/>
        <a:ln>
          <a:noFill/>
        </a:ln>
        <a:effectLst/>
      </c:spPr>
    </c:title>
    <c:autoTitleDeleted val="0"/>
    <c:plotArea>
      <c:layout>
        <c:manualLayout>
          <c:layoutTarget val="inner"/>
          <c:xMode val="edge"/>
          <c:yMode val="edge"/>
          <c:x val="0.113492525723161"/>
          <c:y val="0.4125"/>
          <c:w val="0.835061153174141"/>
          <c:h val="0.293541666666667"/>
        </c:manualLayout>
      </c:layout>
      <c:barChart>
        <c:barDir val="col"/>
        <c:grouping val="clustered"/>
        <c:varyColors val="0"/>
        <c:ser>
          <c:idx val="0"/>
          <c:order val="0"/>
          <c:tx>
            <c:strRef>
              <c:f>Sheet1!$B$1</c:f>
              <c:strCache>
                <c:ptCount val="1"/>
                <c:pt idx="0">
                  <c:v>2020年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General</c:formatCode>
                <c:ptCount val="2"/>
                <c:pt idx="0">
                  <c:v>515.2</c:v>
                </c:pt>
                <c:pt idx="1">
                  <c:v>517.62</c:v>
                </c:pt>
              </c:numCache>
            </c:numRef>
          </c:val>
        </c:ser>
        <c:ser>
          <c:idx val="1"/>
          <c:order val="1"/>
          <c:tx>
            <c:strRef>
              <c:f>Sheet1!$C$1</c:f>
              <c:strCache>
                <c:ptCount val="1"/>
                <c:pt idx="0">
                  <c:v>2021年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General</c:formatCode>
                <c:ptCount val="2"/>
                <c:pt idx="0">
                  <c:v>624.56</c:v>
                </c:pt>
                <c:pt idx="1">
                  <c:v>627.1</c:v>
                </c:pt>
              </c:numCache>
            </c:numRef>
          </c:val>
        </c:ser>
        <c:dLbls>
          <c:showLegendKey val="0"/>
          <c:showVal val="1"/>
          <c:showCatName val="0"/>
          <c:showSerName val="0"/>
          <c:showPercent val="0"/>
          <c:showBubbleSize val="0"/>
        </c:dLbls>
        <c:gapWidth val="75"/>
        <c:overlap val="0"/>
        <c:axId val="986837617"/>
        <c:axId val="888170284"/>
      </c:barChart>
      <c:catAx>
        <c:axId val="986837617"/>
        <c:scaling>
          <c:orientation val="minMax"/>
        </c:scaling>
        <c:delete val="0"/>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88170284"/>
        <c:crosses val="autoZero"/>
        <c:auto val="1"/>
        <c:lblAlgn val="ctr"/>
        <c:lblOffset val="100"/>
        <c:noMultiLvlLbl val="0"/>
      </c:catAx>
      <c:valAx>
        <c:axId val="888170284"/>
        <c:scaling>
          <c:orientation val="minMax"/>
        </c:scaling>
        <c:delete val="0"/>
        <c:axPos val="l"/>
        <c:numFmt formatCode="General" sourceLinked="1"/>
        <c:majorTickMark val="out"/>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6837617"/>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a:t>
            </a:r>
          </a:p>
        </c:rich>
      </c:tx>
      <c:layout>
        <c:manualLayout>
          <c:xMode val="edge"/>
          <c:yMode val="edge"/>
          <c:x val="0.14263292096862"/>
          <c:y val="0.0122749590834697"/>
        </c:manualLayout>
      </c:layout>
      <c:overlay val="0"/>
      <c:spPr>
        <a:noFill/>
        <a:ln>
          <a:noFill/>
        </a:ln>
        <a:effectLst/>
      </c:spPr>
    </c:title>
    <c:autoTitleDeleted val="0"/>
    <c:plotArea>
      <c:layout>
        <c:manualLayout>
          <c:layoutTarget val="inner"/>
          <c:xMode val="edge"/>
          <c:yMode val="edge"/>
          <c:x val="0.112701030927835"/>
          <c:y val="0.192593466188022"/>
          <c:w val="0.881113402061856"/>
          <c:h val="0.610400916380298"/>
        </c:manualLayout>
      </c:layout>
      <c:barChart>
        <c:barDir val="col"/>
        <c:grouping val="clustered"/>
        <c:varyColors val="0"/>
        <c:ser>
          <c:idx val="0"/>
          <c:order val="0"/>
          <c:tx>
            <c:strRef>
              <c:f>Sheet1!$B$1</c:f>
              <c:strCache>
                <c:ptCount val="1"/>
                <c:pt idx="0">
                  <c:v>2020年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Sheet1!$B$2</c:f>
              <c:numCache>
                <c:formatCode>General</c:formatCode>
                <c:ptCount val="1"/>
                <c:pt idx="0">
                  <c:v>515.2</c:v>
                </c:pt>
              </c:numCache>
            </c:numRef>
          </c:val>
        </c:ser>
        <c:ser>
          <c:idx val="1"/>
          <c:order val="1"/>
          <c:tx>
            <c:strRef>
              <c:f>Sheet1!$C$1</c:f>
              <c:strCache>
                <c:ptCount val="1"/>
                <c:pt idx="0">
                  <c:v>2021年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Sheet1!$C$2</c:f>
              <c:numCache>
                <c:formatCode>General</c:formatCode>
                <c:ptCount val="1"/>
                <c:pt idx="0">
                  <c:v>624.56</c:v>
                </c:pt>
              </c:numCache>
            </c:numRef>
          </c:val>
        </c:ser>
        <c:dLbls>
          <c:showLegendKey val="0"/>
          <c:showVal val="1"/>
          <c:showCatName val="0"/>
          <c:showSerName val="0"/>
          <c:showPercent val="0"/>
          <c:showBubbleSize val="0"/>
        </c:dLbls>
        <c:gapWidth val="219"/>
        <c:overlap val="-27"/>
        <c:axId val="559913908"/>
        <c:axId val="298166492"/>
      </c:barChart>
      <c:catAx>
        <c:axId val="55991390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98166492"/>
        <c:crosses val="autoZero"/>
        <c:auto val="1"/>
        <c:lblAlgn val="ctr"/>
        <c:lblOffset val="100"/>
        <c:noMultiLvlLbl val="0"/>
      </c:catAx>
      <c:valAx>
        <c:axId val="2981664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59913908"/>
        <c:crosses val="autoZero"/>
        <c:crossBetween val="between"/>
      </c:valAx>
      <c:spPr>
        <a:noFill/>
        <a:ln>
          <a:noFill/>
        </a:ln>
        <a:effectLst/>
      </c:spPr>
    </c:plotArea>
    <c:legend>
      <c:legendPos val="b"/>
      <c:layout>
        <c:manualLayout>
          <c:xMode val="edge"/>
          <c:yMode val="edge"/>
          <c:x val="0.337323943661972"/>
          <c:y val="0.893973214285714"/>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一般公共预算财政拨款支出决算结构</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社会保障和就业</c:v>
                </c:pt>
                <c:pt idx="1">
                  <c:v>卫生健康支出</c:v>
                </c:pt>
                <c:pt idx="2">
                  <c:v>住房保障支出</c:v>
                </c:pt>
              </c:strCache>
            </c:strRef>
          </c:cat>
          <c:val>
            <c:numRef>
              <c:f>Sheet1!$B$2:$B$4</c:f>
              <c:numCache>
                <c:formatCode>General</c:formatCode>
                <c:ptCount val="3"/>
                <c:pt idx="0">
                  <c:v>361.24</c:v>
                </c:pt>
                <c:pt idx="1">
                  <c:v>194.46</c:v>
                </c:pt>
                <c:pt idx="2">
                  <c:v>30.78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"三公"经费财政拨款支出结构</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1"/>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88</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12</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v>0.48</c:v>
                </c:pt>
                <c:pt idx="2">
                  <c:v>0.16</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Company>四川省财政厅</Company>
  <Pages>38</Pages>
  <Words>14809</Words>
  <Characters>16038</Characters>
  <Lines>1</Lines>
  <Paragraphs>1</Paragraphs>
  <TotalTime>8</TotalTime>
  <ScaleCrop>false</ScaleCrop>
  <LinksUpToDate>false</LinksUpToDate>
  <CharactersWithSpaces>16916</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2021-08-06T09:38:00Z</dcterms:created>
  <dc:creator>曹颖</dc:creator>
  <cp:lastModifiedBy>丹</cp:lastModifiedBy>
  <cp:lastPrinted>2021-07-29T03:56:00Z</cp:lastPrinted>
  <dcterms:modified xsi:type="dcterms:W3CDTF">2023-09-17T03:44:47Z</dcterms:modified>
  <dc:title>阿坝州部门决算说明</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065AB7854AD8492EA3BD4DADA66FE6AC</vt:lpwstr>
  </property>
</Properties>
</file>