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方正小标宋_GBK" w:cs="Times New Roman"/>
          <w:sz w:val="44"/>
          <w:szCs w:val="44"/>
          <w:highlight w:val="none"/>
          <w:lang w:eastAsia="zh-CN"/>
        </w:rPr>
      </w:pPr>
    </w:p>
    <w:p>
      <w:pPr>
        <w:pStyle w:val="2"/>
        <w:keepNext w:val="0"/>
        <w:keepLines w:val="0"/>
        <w:pageBreakBefore w:val="0"/>
        <w:widowControl w:val="0"/>
        <w:kinsoku/>
        <w:wordWrap/>
        <w:overflowPunct/>
        <w:topLinePunct w:val="0"/>
        <w:autoSpaceDE/>
        <w:autoSpaceDN/>
        <w:bidi w:val="0"/>
        <w:snapToGrid/>
        <w:spacing w:line="576" w:lineRule="exact"/>
        <w:jc w:val="center"/>
        <w:textAlignment w:val="auto"/>
        <w:rPr>
          <w:rFonts w:hint="eastAsia" w:ascii="方正小标宋_GBK" w:hAnsi="方正小标宋_GBK" w:eastAsia="方正小标宋_GBK" w:cs="方正小标宋_GBK"/>
          <w:b w:val="0"/>
          <w:bCs w:val="0"/>
          <w:sz w:val="44"/>
          <w:szCs w:val="44"/>
          <w:highlight w:val="none"/>
          <w:lang w:val="en-US" w:eastAsia="zh-CN"/>
        </w:rPr>
      </w:pPr>
      <w:r>
        <w:rPr>
          <w:rFonts w:hint="eastAsia" w:ascii="方正小标宋_GBK" w:hAnsi="方正小标宋_GBK" w:eastAsia="方正小标宋_GBK" w:cs="方正小标宋_GBK"/>
          <w:b w:val="0"/>
          <w:bCs w:val="0"/>
          <w:sz w:val="44"/>
          <w:szCs w:val="44"/>
          <w:highlight w:val="none"/>
          <w:lang w:val="en-US" w:eastAsia="zh-CN"/>
        </w:rPr>
        <w:t>理县财政局</w:t>
      </w:r>
    </w:p>
    <w:p>
      <w:pPr>
        <w:pStyle w:val="2"/>
        <w:keepNext w:val="0"/>
        <w:keepLines w:val="0"/>
        <w:pageBreakBefore w:val="0"/>
        <w:widowControl w:val="0"/>
        <w:kinsoku/>
        <w:wordWrap/>
        <w:overflowPunct/>
        <w:topLinePunct w:val="0"/>
        <w:autoSpaceDE/>
        <w:autoSpaceDN/>
        <w:bidi w:val="0"/>
        <w:snapToGrid/>
        <w:spacing w:line="576" w:lineRule="exact"/>
        <w:jc w:val="center"/>
        <w:textAlignment w:val="auto"/>
        <w:rPr>
          <w:rFonts w:hint="eastAsia" w:ascii="方正小标宋_GBK" w:hAnsi="方正小标宋_GBK" w:eastAsia="方正小标宋_GBK" w:cs="方正小标宋_GBK"/>
          <w:b w:val="0"/>
          <w:bCs w:val="0"/>
          <w:sz w:val="44"/>
          <w:szCs w:val="44"/>
          <w:highlight w:val="none"/>
          <w:lang w:val="en-US" w:eastAsia="zh-CN"/>
        </w:rPr>
      </w:pPr>
      <w:r>
        <w:rPr>
          <w:rFonts w:hint="eastAsia" w:ascii="方正小标宋_GBK" w:hAnsi="方正小标宋_GBK" w:eastAsia="方正小标宋_GBK" w:cs="方正小标宋_GBK"/>
          <w:b w:val="0"/>
          <w:bCs w:val="0"/>
          <w:sz w:val="44"/>
          <w:szCs w:val="44"/>
          <w:highlight w:val="none"/>
          <w:lang w:val="en-US" w:eastAsia="zh-CN"/>
        </w:rPr>
        <w:t>关于2022年部门、政策和项目支出财政重点绩效评价工作的报告</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p>
    <w:p>
      <w:pPr>
        <w:pStyle w:val="2"/>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为进一步深化财政支出绩效评价改革，提高财政资金使用效益，根据《中共四川省委 四川省人民政府关于全面实施预算绩效管理的实施意见》（川委发〔2019〕8号）文件精神，遵循“全面覆盖、规范实施、确保质量、注重实效”的工作原则，我县全面落实推进预算绩效管理改革战略部署，现将我县 202</w:t>
      </w:r>
      <w:r>
        <w:rPr>
          <w:rFonts w:hint="eastAsia"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lang w:val="en-US" w:eastAsia="zh-CN"/>
        </w:rPr>
        <w:t xml:space="preserve"> 年重点财政支出项目资金支出绩效评价工作汇报如下，请审议:</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eastAsia" w:ascii="方正黑体_GBK" w:hAnsi="方正黑体_GBK" w:eastAsia="方正黑体_GBK" w:cs="方正黑体_GBK"/>
          <w:b w:val="0"/>
          <w:bCs w:val="0"/>
          <w:sz w:val="32"/>
          <w:szCs w:val="32"/>
          <w:highlight w:val="none"/>
          <w:lang w:val="en-US" w:eastAsia="zh-CN"/>
        </w:rPr>
      </w:pPr>
      <w:r>
        <w:rPr>
          <w:rFonts w:hint="eastAsia" w:ascii="方正黑体_GBK" w:hAnsi="方正黑体_GBK" w:eastAsia="方正黑体_GBK" w:cs="方正黑体_GBK"/>
          <w:b w:val="0"/>
          <w:bCs w:val="0"/>
          <w:sz w:val="32"/>
          <w:szCs w:val="32"/>
          <w:highlight w:val="none"/>
          <w:lang w:val="en-US" w:eastAsia="zh-CN"/>
        </w:rPr>
        <w:t>一、工作开展基本情况</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1.开展项目支出绩效评价。</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为切实推进我县预算绩效管理工作，加强对财政资金的“跟踪问效”管理，提高财政资金使用效益，按照“扩面增量、整体推进，深化完善、构建体系”的总体目标，选择确定了188个项目，涉及资金量2.47亿元。主要涉及：涉农整合类、教育、卫生、文化以及民生等领域的财政性资金投入项目。因项目未验收、未完工、未提供资料等原因，有22个项目未能开展绩效评价工作，故本次完成项目绩效评价项目为164个，涉及资金量2.19亿元，1个政府性基金项目40.50万元，1个社保资金项目12.90万元。</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方正楷体_GBK" w:hAnsi="方正楷体_GBK" w:eastAsia="方正楷体_GBK" w:cs="方正楷体_GBK"/>
          <w:b/>
          <w:bCs/>
          <w:sz w:val="32"/>
          <w:szCs w:val="32"/>
          <w:highlight w:val="none"/>
          <w:lang w:val="en-US" w:eastAsia="zh-CN"/>
        </w:rPr>
      </w:pPr>
      <w:r>
        <w:rPr>
          <w:rFonts w:hint="default" w:ascii="方正楷体_GBK" w:hAnsi="方正楷体_GBK" w:eastAsia="方正楷体_GBK" w:cs="方正楷体_GBK"/>
          <w:b/>
          <w:bCs/>
          <w:sz w:val="32"/>
          <w:szCs w:val="32"/>
          <w:highlight w:val="none"/>
          <w:lang w:val="en-US" w:eastAsia="zh-CN"/>
        </w:rPr>
        <w:t>2.开展部门整体预算绩效评价。</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按照“谁管理资金、谁负责绩效”的原则，扎实开展部门整体支出绩效评价，促进部门从整体提升预算绩效管理水平，强化部门支出责任，规范资金管理行为，提高财政资金使用绩效，保障部门更好地履行职责。全县一级预算部门对部门财政资金使用情况均开展了自评工作，并撰写了部门整体支出绩效评价报告，本次重点抽评6个单位开展整体支出绩效抽查复评工作。</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方正楷体_GBK" w:hAnsi="方正楷体_GBK" w:eastAsia="方正楷体_GBK" w:cs="方正楷体_GBK"/>
          <w:b/>
          <w:bCs/>
          <w:sz w:val="32"/>
          <w:szCs w:val="32"/>
          <w:highlight w:val="none"/>
          <w:lang w:val="en-US" w:eastAsia="zh-CN"/>
        </w:rPr>
      </w:pPr>
      <w:r>
        <w:rPr>
          <w:rFonts w:hint="default" w:ascii="方正楷体_GBK" w:hAnsi="方正楷体_GBK" w:eastAsia="方正楷体_GBK" w:cs="方正楷体_GBK"/>
          <w:b/>
          <w:bCs/>
          <w:sz w:val="32"/>
          <w:szCs w:val="32"/>
          <w:highlight w:val="none"/>
          <w:lang w:val="en-US" w:eastAsia="zh-CN"/>
        </w:rPr>
        <w:t>3.财政重点评价内容由一般公共预算拓展至政府性基金预算和社会保险基金预算。</w:t>
      </w:r>
    </w:p>
    <w:p>
      <w:pPr>
        <w:keepNext w:val="0"/>
        <w:keepLines w:val="0"/>
        <w:pageBreakBefore w:val="0"/>
        <w:numPr>
          <w:ilvl w:val="0"/>
          <w:numId w:val="0"/>
        </w:numPr>
        <w:kinsoku/>
        <w:wordWrap/>
        <w:overflowPunct/>
        <w:topLinePunct w:val="0"/>
        <w:autoSpaceDE/>
        <w:autoSpaceDN/>
        <w:bidi w:val="0"/>
        <w:snapToGrid/>
        <w:spacing w:line="576" w:lineRule="exact"/>
        <w:ind w:firstLine="640" w:firstLineChars="200"/>
        <w:jc w:val="both"/>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kern w:val="2"/>
          <w:sz w:val="32"/>
          <w:szCs w:val="32"/>
          <w:highlight w:val="none"/>
          <w:lang w:val="en-US" w:eastAsia="zh-CN" w:bidi="zh-CN"/>
        </w:rPr>
        <w:t>为进一步推动预算绩效评价工作范围，从一般公共预算拓展到“四本预算”，2022年我县开展了1个政府性基金项目和1个社会保险基金预算项目。将部门各单位预算收支全面纳入绩效管理，以预算资金管理为主线，衡量部门和单位整体及核心业务，提高部门和单位整体支出绩效水平。</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方正黑体_GBK" w:hAnsi="方正黑体_GBK" w:eastAsia="方正黑体_GBK" w:cs="方正黑体_GBK"/>
          <w:b w:val="0"/>
          <w:bCs w:val="0"/>
          <w:sz w:val="32"/>
          <w:szCs w:val="32"/>
          <w:highlight w:val="none"/>
          <w:lang w:val="en-US" w:eastAsia="zh-CN"/>
        </w:rPr>
      </w:pPr>
      <w:r>
        <w:rPr>
          <w:rFonts w:hint="default" w:ascii="方正黑体_GBK" w:hAnsi="方正黑体_GBK" w:eastAsia="方正黑体_GBK" w:cs="方正黑体_GBK"/>
          <w:b w:val="0"/>
          <w:bCs w:val="0"/>
          <w:sz w:val="32"/>
          <w:szCs w:val="32"/>
          <w:highlight w:val="none"/>
          <w:lang w:val="en-US" w:eastAsia="zh-CN"/>
        </w:rPr>
        <w:t>二、预算绩效评价工作情况。</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方正楷体_GBK" w:hAnsi="方正楷体_GBK" w:eastAsia="方正楷体_GBK" w:cs="方正楷体_GBK"/>
          <w:b/>
          <w:bCs/>
          <w:sz w:val="32"/>
          <w:szCs w:val="32"/>
          <w:highlight w:val="none"/>
          <w:lang w:val="en-US" w:eastAsia="zh-CN"/>
        </w:rPr>
        <w:t>（一）夯实评价基础。</w:t>
      </w:r>
      <w:r>
        <w:rPr>
          <w:rFonts w:hint="default" w:ascii="Times New Roman" w:hAnsi="Times New Roman" w:eastAsia="方正仿宋_GBK" w:cs="Times New Roman"/>
          <w:sz w:val="32"/>
          <w:szCs w:val="32"/>
          <w:highlight w:val="none"/>
          <w:lang w:val="en-US" w:eastAsia="zh-CN"/>
        </w:rPr>
        <w:t>为了推动绩效评价工作有序进行，我局提前向各预算单位下发了《理县财政局关于开展2022年部门、政策和项目支出绩效评价工作的通知》（理财〔2022〕147号）文件，明确了评价范围、对象等，在进行前期部署工作的同时，相关部门（单位）对项目、政策、部门整体绩效目标进行了绩效自评，为重点绩效评价的顺利开展奠定了基础。</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方正楷体_GBK" w:hAnsi="方正楷体_GBK" w:eastAsia="方正楷体_GBK" w:cs="方正楷体_GBK"/>
          <w:b/>
          <w:bCs/>
          <w:sz w:val="32"/>
          <w:szCs w:val="32"/>
          <w:highlight w:val="none"/>
          <w:lang w:val="en-US" w:eastAsia="zh-CN"/>
        </w:rPr>
        <w:t>（二）优化评价方式。</w:t>
      </w:r>
      <w:r>
        <w:rPr>
          <w:rFonts w:hint="default" w:ascii="Times New Roman" w:hAnsi="Times New Roman" w:eastAsia="方正仿宋_GBK" w:cs="Times New Roman"/>
          <w:sz w:val="32"/>
          <w:szCs w:val="32"/>
          <w:highlight w:val="none"/>
          <w:lang w:val="en-US" w:eastAsia="zh-CN"/>
        </w:rPr>
        <w:t>为积极推进我县预算绩效管理工作，提升绩效评价的客观性、公正性，按照绩效评价工作需求，委托了三家会计师事务所（四川中鑫恒德会计师事务所有限公司、四川锦程会计师事务所有限责任公司、四川驰诚会计师事务所有限责任）参与我县2022年绩效评价工作（项目绩效评价和部门整体绩效评价）。</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方正楷体_GBK" w:hAnsi="方正楷体_GBK" w:eastAsia="方正楷体_GBK" w:cs="方正楷体_GBK"/>
          <w:b/>
          <w:bCs/>
          <w:sz w:val="32"/>
          <w:szCs w:val="32"/>
          <w:highlight w:val="none"/>
          <w:lang w:val="en-US" w:eastAsia="zh-CN"/>
        </w:rPr>
      </w:pPr>
      <w:r>
        <w:rPr>
          <w:rFonts w:hint="default" w:ascii="方正楷体_GBK" w:hAnsi="方正楷体_GBK" w:eastAsia="方正楷体_GBK" w:cs="方正楷体_GBK"/>
          <w:b/>
          <w:bCs/>
          <w:sz w:val="32"/>
          <w:szCs w:val="32"/>
          <w:highlight w:val="none"/>
          <w:lang w:val="en-US" w:eastAsia="zh-CN"/>
        </w:rPr>
        <w:t>（三）评价工作开展及项目情况。</w:t>
      </w:r>
    </w:p>
    <w:p>
      <w:pPr>
        <w:pStyle w:val="2"/>
        <w:keepNext w:val="0"/>
        <w:keepLines w:val="0"/>
        <w:pageBreakBefore w:val="0"/>
        <w:widowControl w:val="0"/>
        <w:kinsoku/>
        <w:wordWrap/>
        <w:overflowPunct/>
        <w:topLinePunct w:val="0"/>
        <w:autoSpaceDE/>
        <w:autoSpaceDN/>
        <w:bidi w:val="0"/>
        <w:snapToGrid/>
        <w:spacing w:line="576" w:lineRule="exact"/>
        <w:ind w:firstLine="643" w:firstLineChars="200"/>
        <w:jc w:val="both"/>
        <w:textAlignment w:val="auto"/>
        <w:rPr>
          <w:rFonts w:hint="default" w:ascii="Times New Roman" w:hAnsi="Times New Roman" w:eastAsia="方正仿宋_GBK" w:cs="Times New Roman"/>
          <w:b/>
          <w:bCs/>
          <w:sz w:val="32"/>
          <w:szCs w:val="32"/>
          <w:highlight w:val="none"/>
          <w:lang w:val="en-US" w:eastAsia="zh-CN"/>
        </w:rPr>
      </w:pPr>
      <w:r>
        <w:rPr>
          <w:rFonts w:hint="default" w:ascii="Times New Roman" w:hAnsi="Times New Roman" w:eastAsia="方正仿宋_GBK" w:cs="Times New Roman"/>
          <w:b/>
          <w:bCs/>
          <w:kern w:val="2"/>
          <w:sz w:val="32"/>
          <w:szCs w:val="32"/>
          <w:highlight w:val="none"/>
          <w:lang w:val="en-US" w:eastAsia="zh-CN" w:bidi="zh-CN"/>
        </w:rPr>
        <w:t>1.评价目的。</w:t>
      </w: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auto"/>
        <w:rPr>
          <w:rFonts w:hint="default" w:ascii="Times New Roman" w:hAnsi="Times New Roman" w:eastAsia="方正仿宋_GBK" w:cs="Times New Roman"/>
          <w:kern w:val="2"/>
          <w:sz w:val="32"/>
          <w:szCs w:val="32"/>
          <w:highlight w:val="none"/>
          <w:lang w:val="en-US" w:eastAsia="zh-CN" w:bidi="zh-CN"/>
        </w:rPr>
      </w:pPr>
      <w:r>
        <w:rPr>
          <w:rFonts w:hint="default" w:ascii="Times New Roman" w:hAnsi="Times New Roman" w:eastAsia="方正仿宋_GBK" w:cs="Times New Roman"/>
          <w:kern w:val="2"/>
          <w:sz w:val="32"/>
          <w:szCs w:val="32"/>
          <w:highlight w:val="none"/>
          <w:lang w:val="en-US" w:eastAsia="zh-CN" w:bidi="zh-CN"/>
        </w:rPr>
        <w:t>全面实施预算绩效管理的决策部署，对标“三全”预算绩效管理体系工作要求，以强化预算约束和绩效管理为中心任务，进一步压紧压实各部门主体责任，持续加强制度机制、过程管控、考核监督和基础支撑建设，硬化绩效结果刚性约束，推动预算绩效管理水平进一步提升。</w:t>
      </w: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auto"/>
        <w:rPr>
          <w:rFonts w:hint="default" w:ascii="Times New Roman" w:hAnsi="Times New Roman" w:eastAsia="方正仿宋_GBK" w:cs="Times New Roman"/>
          <w:kern w:val="2"/>
          <w:sz w:val="32"/>
          <w:szCs w:val="32"/>
          <w:highlight w:val="none"/>
          <w:lang w:val="en-US" w:eastAsia="zh-CN" w:bidi="zh-CN"/>
        </w:rPr>
      </w:pPr>
      <w:r>
        <w:rPr>
          <w:rFonts w:hint="default" w:ascii="Times New Roman" w:hAnsi="Times New Roman" w:eastAsia="方正仿宋_GBK" w:cs="Times New Roman"/>
          <w:kern w:val="2"/>
          <w:sz w:val="32"/>
          <w:szCs w:val="32"/>
          <w:highlight w:val="none"/>
          <w:lang w:val="en-US" w:eastAsia="zh-CN" w:bidi="zh-CN"/>
        </w:rPr>
        <w:t>按照通用指标、共性指标、特性指标、个性指标四层指标，对资金支出及其效果进行综合评价和判断。评价资金使用的科学性、合理性和有效性，分析存在的问题，提出相关建议，为以后年度预算编制提供参考依据，促进资金使用绩效提高。</w:t>
      </w:r>
    </w:p>
    <w:p>
      <w:pPr>
        <w:pStyle w:val="2"/>
        <w:keepNext w:val="0"/>
        <w:keepLines w:val="0"/>
        <w:pageBreakBefore w:val="0"/>
        <w:widowControl w:val="0"/>
        <w:kinsoku/>
        <w:wordWrap/>
        <w:overflowPunct/>
        <w:topLinePunct w:val="0"/>
        <w:autoSpaceDE/>
        <w:autoSpaceDN/>
        <w:bidi w:val="0"/>
        <w:snapToGrid/>
        <w:spacing w:line="576" w:lineRule="exact"/>
        <w:ind w:firstLine="643" w:firstLineChars="200"/>
        <w:jc w:val="both"/>
        <w:textAlignment w:val="auto"/>
        <w:rPr>
          <w:rFonts w:hint="default" w:ascii="Times New Roman" w:hAnsi="Times New Roman" w:eastAsia="方正仿宋_GBK" w:cs="Times New Roman"/>
          <w:b/>
          <w:bCs/>
          <w:kern w:val="2"/>
          <w:sz w:val="32"/>
          <w:szCs w:val="32"/>
          <w:highlight w:val="none"/>
          <w:lang w:val="en-US" w:eastAsia="zh-CN" w:bidi="zh-CN"/>
        </w:rPr>
      </w:pPr>
      <w:r>
        <w:rPr>
          <w:rFonts w:hint="default" w:ascii="Times New Roman" w:hAnsi="Times New Roman" w:eastAsia="方正仿宋_GBK" w:cs="Times New Roman"/>
          <w:b/>
          <w:bCs/>
          <w:kern w:val="2"/>
          <w:sz w:val="32"/>
          <w:szCs w:val="32"/>
          <w:highlight w:val="none"/>
          <w:lang w:val="en-US" w:eastAsia="zh-CN" w:bidi="zh-CN"/>
        </w:rPr>
        <w:t>2.评价方法。</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本次评价过程分为前期调研、现场和非现场评价、评价情况汇总、报告撰写、报告审核与修改、意见征求、资料归档七个阶段。根据《项目支出绩效评价管理办法》(财预〔2020〕10号)及项目支出绩效评价的需求，本次评价采用综合评价、现场调查和访谈相结合的方式进行，主要运用比较分析法、因素分析法、公众评判法等方法。</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b/>
          <w:bCs/>
          <w:kern w:val="2"/>
          <w:sz w:val="32"/>
          <w:szCs w:val="32"/>
          <w:highlight w:val="none"/>
          <w:lang w:val="en-US" w:eastAsia="zh-CN" w:bidi="zh-CN"/>
        </w:rPr>
        <w:t>3.现场评价抽样选点情况。</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本次财政资金支出项目绩效评价涉及164个子项目，现场选点83个，占总项目50.61%，涉及44 个单位和 10个乡镇。</w:t>
      </w:r>
    </w:p>
    <w:p>
      <w:pPr>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Times New Roman" w:hAnsi="Times New Roman" w:eastAsia="方正仿宋_GBK" w:cs="Times New Roman"/>
          <w:b/>
          <w:bCs/>
          <w:kern w:val="2"/>
          <w:sz w:val="32"/>
          <w:szCs w:val="32"/>
          <w:highlight w:val="none"/>
          <w:lang w:val="en-US" w:eastAsia="zh-CN" w:bidi="zh-CN"/>
        </w:rPr>
      </w:pPr>
      <w:r>
        <w:rPr>
          <w:rFonts w:hint="default" w:ascii="Times New Roman" w:hAnsi="Times New Roman" w:eastAsia="方正仿宋_GBK" w:cs="Times New Roman"/>
          <w:b/>
          <w:bCs/>
          <w:kern w:val="2"/>
          <w:sz w:val="32"/>
          <w:szCs w:val="32"/>
          <w:highlight w:val="none"/>
          <w:lang w:val="en-US" w:eastAsia="zh-CN" w:bidi="zh-CN"/>
        </w:rPr>
        <w:t>4.数据采集方法及过程。</w:t>
      </w:r>
    </w:p>
    <w:p>
      <w:pPr>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kern w:val="2"/>
          <w:sz w:val="32"/>
          <w:szCs w:val="32"/>
          <w:highlight w:val="none"/>
          <w:lang w:val="en-US" w:eastAsia="zh-CN" w:bidi="zh-CN"/>
        </w:rPr>
      </w:pPr>
      <w:r>
        <w:rPr>
          <w:rFonts w:hint="default" w:ascii="Times New Roman" w:hAnsi="Times New Roman" w:eastAsia="方正仿宋_GBK" w:cs="Times New Roman"/>
          <w:kern w:val="2"/>
          <w:sz w:val="32"/>
          <w:szCs w:val="32"/>
          <w:highlight w:val="none"/>
          <w:lang w:val="en-US" w:eastAsia="zh-CN" w:bidi="zh-CN"/>
        </w:rPr>
        <w:t>通过走</w:t>
      </w:r>
      <w:bookmarkStart w:id="0" w:name="_GoBack"/>
      <w:bookmarkEnd w:id="0"/>
      <w:r>
        <w:rPr>
          <w:rFonts w:hint="default" w:ascii="Times New Roman" w:hAnsi="Times New Roman" w:eastAsia="方正仿宋_GBK" w:cs="Times New Roman"/>
          <w:kern w:val="2"/>
          <w:sz w:val="32"/>
          <w:szCs w:val="32"/>
          <w:highlight w:val="none"/>
          <w:lang w:val="en-US" w:eastAsia="zh-CN" w:bidi="zh-CN"/>
        </w:rPr>
        <w:t>访各项目主管部门，获取项目相关业务资料。业务资料包括但不限于政策文件、项目实施方案、项目招投标程序性资料、资金支付凭证等。通过与各项目主管部门负责人进行沟通，了解项目执行情况和实施效果，通过向受益群体发放调查问卷，获取项目受益方对本项目实施效果的整体满意度。综上，评价组从多方获取数据，并将目标值与完成值进行数据比对，从而得出评价结论。</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方正楷体_GBK" w:hAnsi="方正楷体_GBK" w:eastAsia="方正楷体_GBK" w:cs="方正楷体_GBK"/>
          <w:b/>
          <w:bCs/>
          <w:sz w:val="32"/>
          <w:szCs w:val="32"/>
          <w:highlight w:val="none"/>
          <w:lang w:val="en-US" w:eastAsia="zh-CN"/>
        </w:rPr>
      </w:pPr>
      <w:r>
        <w:rPr>
          <w:rFonts w:hint="default" w:ascii="方正楷体_GBK" w:hAnsi="方正楷体_GBK" w:eastAsia="方正楷体_GBK" w:cs="方正楷体_GBK"/>
          <w:b/>
          <w:bCs/>
          <w:sz w:val="32"/>
          <w:szCs w:val="32"/>
          <w:highlight w:val="none"/>
          <w:lang w:val="en-US" w:eastAsia="zh-CN"/>
        </w:rPr>
        <w:t>（三）项目资金使用情况分析。</w:t>
      </w:r>
    </w:p>
    <w:p>
      <w:pPr>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kern w:val="2"/>
          <w:sz w:val="32"/>
          <w:szCs w:val="32"/>
          <w:highlight w:val="none"/>
          <w:lang w:val="en-US" w:eastAsia="zh-CN" w:bidi="zh-CN"/>
        </w:rPr>
        <w:t>2019年涉农整合资金：项目资金总额为8597.68万元，涉及98个项目。其中有10个项目528.46万元未做绩效评价（6个项目单位未提供资料、3个项目资料在纪委、1个项目未实施资金被收回），剩余88个项目8069.22万元，截至评价日实现支付6694.51万元（其中5个项目未提供资金支付资料），剩余资金财政收回，资金支付率为100%。</w:t>
      </w:r>
    </w:p>
    <w:p>
      <w:pPr>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color w:val="auto"/>
          <w:kern w:val="2"/>
          <w:sz w:val="32"/>
          <w:szCs w:val="32"/>
          <w:highlight w:val="none"/>
          <w:lang w:val="en-US" w:eastAsia="zh-CN" w:bidi="zh-CN"/>
        </w:rPr>
      </w:pPr>
      <w:r>
        <w:rPr>
          <w:rFonts w:hint="default" w:ascii="Times New Roman" w:hAnsi="Times New Roman" w:eastAsia="方正仿宋_GBK" w:cs="Times New Roman"/>
          <w:kern w:val="2"/>
          <w:sz w:val="32"/>
          <w:szCs w:val="32"/>
          <w:highlight w:val="none"/>
          <w:lang w:val="en-US" w:eastAsia="zh-CN" w:bidi="zh-CN"/>
        </w:rPr>
        <w:t>2021年涉农整合资金：项目资金总额为10305.72万元，涉及54个项目。其中有4个项目1202万元项目未做绩效评价（3个项目资料在巡视组、1个项目未提供资料），剩余50个项目9103.72万元,截至评价日</w:t>
      </w:r>
      <w:r>
        <w:rPr>
          <w:rFonts w:hint="default" w:ascii="Times New Roman" w:hAnsi="Times New Roman" w:eastAsia="方正仿宋_GBK" w:cs="Times New Roman"/>
          <w:color w:val="auto"/>
          <w:kern w:val="2"/>
          <w:sz w:val="32"/>
          <w:szCs w:val="32"/>
          <w:highlight w:val="none"/>
          <w:lang w:val="en-US" w:eastAsia="zh-CN" w:bidi="zh-CN"/>
        </w:rPr>
        <w:t>实现支付7936.08万元，财政收回资金1167.64万元，资金支付率为100%。</w:t>
      </w:r>
    </w:p>
    <w:p>
      <w:pPr>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kern w:val="2"/>
          <w:sz w:val="32"/>
          <w:szCs w:val="32"/>
          <w:highlight w:val="none"/>
          <w:lang w:val="en-US" w:eastAsia="zh-CN" w:bidi="zh-CN"/>
        </w:rPr>
      </w:pPr>
      <w:r>
        <w:rPr>
          <w:rFonts w:hint="default" w:ascii="Times New Roman" w:hAnsi="Times New Roman" w:eastAsia="方正仿宋_GBK" w:cs="Times New Roman"/>
          <w:kern w:val="2"/>
          <w:sz w:val="32"/>
          <w:szCs w:val="32"/>
          <w:highlight w:val="none"/>
          <w:lang w:val="en-US" w:eastAsia="zh-CN" w:bidi="zh-CN"/>
        </w:rPr>
        <w:t>2021年遂宁援建资金: 项目资金总额758 万元，涉及10个项目，其中有3个项目217万元项目未完工验收未做绩效评价，剩余7个项目541万元，截至评价日实现支付 419.21万元，资金支付率为77.49%。</w:t>
      </w:r>
    </w:p>
    <w:p>
      <w:pPr>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kern w:val="2"/>
          <w:sz w:val="32"/>
          <w:szCs w:val="32"/>
          <w:highlight w:val="none"/>
          <w:lang w:val="en-US" w:eastAsia="zh-CN" w:bidi="zh-CN"/>
        </w:rPr>
      </w:pPr>
      <w:r>
        <w:rPr>
          <w:rFonts w:hint="default" w:ascii="Times New Roman" w:hAnsi="Times New Roman" w:eastAsia="方正仿宋_GBK" w:cs="Times New Roman"/>
          <w:kern w:val="2"/>
          <w:sz w:val="32"/>
          <w:szCs w:val="32"/>
          <w:highlight w:val="none"/>
          <w:lang w:val="en-US" w:eastAsia="zh-CN" w:bidi="zh-CN"/>
        </w:rPr>
        <w:t>2021年浙江援建资金: 项目资金总额4500万元，涉及16个项目。其中有4个项目670万元项目未完工验收未做绩效评价，剩余12个项目3830万元，截至评价日实现支付3511.20万元，资金支付率为91.67%。</w:t>
      </w:r>
    </w:p>
    <w:p>
      <w:pPr>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kern w:val="2"/>
          <w:sz w:val="32"/>
          <w:szCs w:val="32"/>
          <w:highlight w:val="none"/>
          <w:lang w:val="en-US" w:eastAsia="zh-CN" w:bidi="zh-CN"/>
        </w:rPr>
      </w:pPr>
      <w:r>
        <w:rPr>
          <w:rFonts w:hint="default" w:ascii="Times New Roman" w:hAnsi="Times New Roman" w:eastAsia="方正仿宋_GBK" w:cs="Times New Roman"/>
          <w:kern w:val="2"/>
          <w:sz w:val="32"/>
          <w:szCs w:val="32"/>
          <w:highlight w:val="none"/>
          <w:lang w:val="en-US" w:eastAsia="zh-CN" w:bidi="zh-CN"/>
        </w:rPr>
        <w:t>2021年县级财政支出项目：项目资金总额428.25万元，涉及8个项目，其中有1个项目46.25万元项目未实施，2021年年末由财政收回资金，故未做绩效评价，剩余7个项目382万元，截至评价日实现支付381.97万元，资金支付率为99.99%。</w:t>
      </w:r>
    </w:p>
    <w:p>
      <w:pPr>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kern w:val="2"/>
          <w:sz w:val="32"/>
          <w:szCs w:val="32"/>
          <w:highlight w:val="none"/>
          <w:lang w:val="en-US" w:eastAsia="zh-CN" w:bidi="zh-CN"/>
        </w:rPr>
      </w:pPr>
      <w:r>
        <w:rPr>
          <w:rFonts w:hint="default" w:ascii="Times New Roman" w:hAnsi="Times New Roman" w:eastAsia="方正仿宋_GBK" w:cs="Times New Roman"/>
          <w:kern w:val="2"/>
          <w:sz w:val="32"/>
          <w:szCs w:val="32"/>
          <w:highlight w:val="none"/>
          <w:lang w:val="en-US" w:eastAsia="zh-CN" w:bidi="zh-CN"/>
        </w:rPr>
        <w:t>政府性基金项目：项目资金总额40.50万元，涉及1个项目，</w:t>
      </w:r>
      <w:r>
        <w:rPr>
          <w:rFonts w:hint="default" w:ascii="Times New Roman" w:hAnsi="Times New Roman" w:eastAsia="方正仿宋_GBK" w:cs="Times New Roman"/>
          <w:color w:val="auto"/>
          <w:kern w:val="2"/>
          <w:sz w:val="32"/>
          <w:szCs w:val="32"/>
          <w:highlight w:val="none"/>
          <w:lang w:val="en-US" w:eastAsia="zh-CN" w:bidi="zh-CN"/>
        </w:rPr>
        <w:t>财政收回资金30.11万元</w:t>
      </w:r>
      <w:r>
        <w:rPr>
          <w:rFonts w:hint="default" w:ascii="Times New Roman" w:hAnsi="Times New Roman" w:eastAsia="方正仿宋_GBK" w:cs="Times New Roman"/>
          <w:kern w:val="2"/>
          <w:sz w:val="32"/>
          <w:szCs w:val="32"/>
          <w:highlight w:val="none"/>
          <w:lang w:val="en-US" w:eastAsia="zh-CN" w:bidi="zh-CN"/>
        </w:rPr>
        <w:t>，截至评价日实现支付10.39万元，资金支付率为100%。</w:t>
      </w:r>
    </w:p>
    <w:p>
      <w:pPr>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kern w:val="2"/>
          <w:sz w:val="32"/>
          <w:szCs w:val="32"/>
          <w:highlight w:val="none"/>
          <w:lang w:val="en-US" w:eastAsia="zh-CN" w:bidi="zh-CN"/>
        </w:rPr>
      </w:pPr>
      <w:r>
        <w:rPr>
          <w:rFonts w:hint="default" w:ascii="Times New Roman" w:hAnsi="Times New Roman" w:eastAsia="方正仿宋_GBK" w:cs="Times New Roman"/>
          <w:kern w:val="2"/>
          <w:sz w:val="32"/>
          <w:szCs w:val="32"/>
          <w:highlight w:val="none"/>
          <w:lang w:val="en-US" w:eastAsia="zh-CN" w:bidi="zh-CN"/>
        </w:rPr>
        <w:t>社保基金项目：项目资金总额12.90万元，涉及1个项目，截至评价日实现支付12.90万元，资金支付率为100%。</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方正黑体_GBK" w:hAnsi="方正黑体_GBK" w:eastAsia="方正黑体_GBK" w:cs="方正黑体_GBK"/>
          <w:b w:val="0"/>
          <w:bCs w:val="0"/>
          <w:sz w:val="32"/>
          <w:szCs w:val="32"/>
          <w:highlight w:val="none"/>
          <w:lang w:val="en-US" w:eastAsia="zh-CN"/>
        </w:rPr>
      </w:pPr>
      <w:r>
        <w:rPr>
          <w:rFonts w:hint="default" w:ascii="方正黑体_GBK" w:hAnsi="方正黑体_GBK" w:eastAsia="方正黑体_GBK" w:cs="方正黑体_GBK"/>
          <w:b w:val="0"/>
          <w:bCs w:val="0"/>
          <w:sz w:val="32"/>
          <w:szCs w:val="32"/>
          <w:highlight w:val="none"/>
          <w:lang w:val="en-US" w:eastAsia="zh-CN"/>
        </w:rPr>
        <w:t>三、绩效评价的总体效果</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方正楷体_GBK" w:hAnsi="方正楷体_GBK" w:eastAsia="方正楷体_GBK" w:cs="方正楷体_GBK"/>
          <w:b/>
          <w:bCs/>
          <w:sz w:val="32"/>
          <w:szCs w:val="32"/>
          <w:highlight w:val="none"/>
          <w:lang w:val="en-US" w:eastAsia="zh-CN"/>
        </w:rPr>
      </w:pPr>
      <w:r>
        <w:rPr>
          <w:rFonts w:hint="default" w:ascii="方正楷体_GBK" w:hAnsi="方正楷体_GBK" w:eastAsia="方正楷体_GBK" w:cs="方正楷体_GBK"/>
          <w:b/>
          <w:bCs/>
          <w:sz w:val="32"/>
          <w:szCs w:val="32"/>
          <w:highlight w:val="none"/>
          <w:lang w:val="en-US" w:eastAsia="zh-CN"/>
        </w:rPr>
        <w:t>（一）项目支出评价类。</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kern w:val="2"/>
          <w:sz w:val="32"/>
          <w:szCs w:val="32"/>
          <w:highlight w:val="none"/>
          <w:lang w:val="en-US" w:eastAsia="zh-CN" w:bidi="zh-CN"/>
        </w:rPr>
      </w:pPr>
      <w:r>
        <w:rPr>
          <w:rFonts w:hint="default" w:ascii="Times New Roman" w:hAnsi="Times New Roman" w:eastAsia="方正仿宋_GBK" w:cs="Times New Roman"/>
          <w:kern w:val="2"/>
          <w:sz w:val="32"/>
          <w:szCs w:val="32"/>
          <w:highlight w:val="none"/>
          <w:lang w:val="en-US" w:eastAsia="zh-CN" w:bidi="zh-CN"/>
        </w:rPr>
        <w:t>评价组通过数据采集、归纳、分析、问卷调查等方法对项目绩效进行客观评价，2019年涉农整合资金平均分为 88.65分，绩效评价等级为“良”；2021年涉农整合资金平均分为 89.11分，绩效评价等级为“良”；2021年遂宁援建资金最终评分为81.03分，绩效评价等级为“良”；2021年浙江援建资金评分的平均值为</w:t>
      </w:r>
      <w:r>
        <w:rPr>
          <w:rFonts w:hint="default" w:ascii="Times New Roman" w:hAnsi="Times New Roman" w:eastAsia="方正仿宋_GBK" w:cs="Times New Roman"/>
          <w:color w:val="auto"/>
          <w:kern w:val="2"/>
          <w:sz w:val="32"/>
          <w:szCs w:val="32"/>
          <w:highlight w:val="none"/>
          <w:lang w:val="en-US" w:eastAsia="zh-CN" w:bidi="zh-CN"/>
        </w:rPr>
        <w:t>88.01</w:t>
      </w:r>
      <w:r>
        <w:rPr>
          <w:rFonts w:hint="default" w:ascii="Times New Roman" w:hAnsi="Times New Roman" w:eastAsia="方正仿宋_GBK" w:cs="Times New Roman"/>
          <w:kern w:val="2"/>
          <w:sz w:val="32"/>
          <w:szCs w:val="32"/>
          <w:highlight w:val="none"/>
          <w:lang w:val="en-US" w:eastAsia="zh-CN" w:bidi="zh-CN"/>
        </w:rPr>
        <w:t>分，绩效评价等级为“良”；2021 年县本级项目资金平均分为88.56 分，绩效评价等级为“良”；政府性基金项目支出绩效评价评分86.19分，绩效评价等级为“良”；社保基金项目2021年城乡居民养老保险县级个人缴费财政补助资金项目财政政策支出绩效评价评分98分，绩效评价等级为“优”。</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方正楷体_GBK" w:hAnsi="方正楷体_GBK" w:eastAsia="方正楷体_GBK" w:cs="方正楷体_GBK"/>
          <w:b/>
          <w:bCs/>
          <w:sz w:val="32"/>
          <w:szCs w:val="32"/>
          <w:highlight w:val="none"/>
          <w:lang w:val="en-US" w:eastAsia="zh-CN"/>
        </w:rPr>
      </w:pPr>
      <w:r>
        <w:rPr>
          <w:rFonts w:hint="default" w:ascii="方正楷体_GBK" w:hAnsi="方正楷体_GBK" w:eastAsia="方正楷体_GBK" w:cs="方正楷体_GBK"/>
          <w:b/>
          <w:bCs/>
          <w:sz w:val="32"/>
          <w:szCs w:val="32"/>
          <w:highlight w:val="none"/>
          <w:lang w:val="en-US" w:eastAsia="zh-CN"/>
        </w:rPr>
        <w:t>（二）部门整体评价类。</w:t>
      </w:r>
    </w:p>
    <w:p>
      <w:pPr>
        <w:keepNext w:val="0"/>
        <w:keepLines w:val="0"/>
        <w:pageBreakBefore w:val="0"/>
        <w:widowControl w:val="0"/>
        <w:numPr>
          <w:ilvl w:val="0"/>
          <w:numId w:val="0"/>
        </w:numPr>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kern w:val="2"/>
          <w:sz w:val="32"/>
          <w:szCs w:val="32"/>
          <w:highlight w:val="none"/>
          <w:lang w:val="en-US" w:eastAsia="zh-CN" w:bidi="zh-CN"/>
        </w:rPr>
      </w:pPr>
      <w:r>
        <w:rPr>
          <w:rFonts w:hint="default" w:ascii="Times New Roman" w:hAnsi="Times New Roman" w:eastAsia="方正仿宋_GBK" w:cs="Times New Roman"/>
          <w:kern w:val="2"/>
          <w:sz w:val="32"/>
          <w:szCs w:val="32"/>
          <w:highlight w:val="none"/>
          <w:lang w:val="en-US" w:eastAsia="zh-CN" w:bidi="zh-CN"/>
        </w:rPr>
        <w:t>为了加强部门财政支出绩效管理，规范部门预算管理行为，提高部门财政资金使用效益，我县坚持部门整体绩效自评全覆盖，县财政局对县疾控中心、县交通局、县民宗局、县人大办、县退役士兵管理局和米亚罗镇人民政府作重点抽评。</w:t>
      </w:r>
    </w:p>
    <w:p>
      <w:pPr>
        <w:pStyle w:val="2"/>
        <w:keepNext w:val="0"/>
        <w:keepLines w:val="0"/>
        <w:pageBreakBefore w:val="0"/>
        <w:kinsoku/>
        <w:wordWrap/>
        <w:overflowPunct/>
        <w:topLinePunct w:val="0"/>
        <w:autoSpaceDE/>
        <w:autoSpaceDN/>
        <w:bidi w:val="0"/>
        <w:snapToGrid/>
        <w:spacing w:line="576" w:lineRule="exact"/>
        <w:ind w:firstLine="640" w:firstLineChars="200"/>
        <w:jc w:val="both"/>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kern w:val="2"/>
          <w:sz w:val="32"/>
          <w:szCs w:val="32"/>
          <w:highlight w:val="none"/>
          <w:lang w:val="en-US" w:eastAsia="zh-CN" w:bidi="zh-CN"/>
        </w:rPr>
        <w:t>部门整体支出绩效评价主要从部门预算管理、专项预算管理、绩效结果应用、自评质量四个大的方面进行评价，绩效评价方法采用高成本效益分析法、比较法、因素分析法、公众评判法及其他评价方法进行评价，评价采用百分制。评价结果如下：</w:t>
      </w:r>
    </w:p>
    <w:tbl>
      <w:tblPr>
        <w:tblStyle w:val="5"/>
        <w:tblpPr w:leftFromText="180" w:rightFromText="180" w:vertAnchor="text" w:horzAnchor="page" w:tblpX="1817" w:tblpY="189"/>
        <w:tblOverlap w:val="never"/>
        <w:tblW w:w="87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22"/>
        <w:gridCol w:w="2615"/>
        <w:gridCol w:w="26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735" w:type="dxa"/>
            <w:gridSpan w:val="3"/>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center"/>
              <w:textAlignment w:val="center"/>
              <w:rPr>
                <w:rFonts w:hint="default" w:ascii="Times New Roman" w:hAnsi="Times New Roman" w:eastAsia="方正仿宋_GBK" w:cs="Times New Roman"/>
                <w:b/>
                <w:bCs/>
                <w:i w:val="0"/>
                <w:iCs w:val="0"/>
                <w:color w:val="000000"/>
                <w:sz w:val="32"/>
                <w:szCs w:val="32"/>
                <w:highlight w:val="none"/>
                <w:u w:val="none"/>
              </w:rPr>
            </w:pPr>
            <w:r>
              <w:rPr>
                <w:rFonts w:hint="default" w:ascii="Times New Roman" w:hAnsi="Times New Roman" w:eastAsia="方正仿宋_GBK" w:cs="Times New Roman"/>
                <w:b/>
                <w:bCs/>
                <w:i w:val="0"/>
                <w:iCs w:val="0"/>
                <w:color w:val="000000"/>
                <w:kern w:val="0"/>
                <w:sz w:val="32"/>
                <w:szCs w:val="32"/>
                <w:highlight w:val="none"/>
                <w:u w:val="none"/>
                <w:lang w:val="en-US" w:eastAsia="zh-CN" w:bidi="ar"/>
              </w:rPr>
              <w:t>2021年部门整体绩效评价结果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3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b/>
                <w:bCs/>
                <w:i w:val="0"/>
                <w:iCs w:val="0"/>
                <w:color w:val="000000"/>
                <w:sz w:val="32"/>
                <w:szCs w:val="32"/>
                <w:highlight w:val="none"/>
                <w:u w:val="none"/>
              </w:rPr>
            </w:pPr>
            <w:r>
              <w:rPr>
                <w:rFonts w:hint="default" w:ascii="Times New Roman" w:hAnsi="Times New Roman" w:eastAsia="方正仿宋_GBK" w:cs="Times New Roman"/>
                <w:b/>
                <w:bCs/>
                <w:i w:val="0"/>
                <w:iCs w:val="0"/>
                <w:color w:val="000000"/>
                <w:kern w:val="0"/>
                <w:sz w:val="32"/>
                <w:szCs w:val="32"/>
                <w:highlight w:val="none"/>
                <w:u w:val="none"/>
                <w:lang w:val="en-US" w:eastAsia="zh-CN" w:bidi="ar"/>
              </w:rPr>
              <w:t>单位</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b/>
                <w:bCs/>
                <w:i w:val="0"/>
                <w:iCs w:val="0"/>
                <w:color w:val="000000"/>
                <w:sz w:val="32"/>
                <w:szCs w:val="32"/>
                <w:highlight w:val="none"/>
                <w:u w:val="none"/>
              </w:rPr>
            </w:pPr>
            <w:r>
              <w:rPr>
                <w:rFonts w:hint="default" w:ascii="Times New Roman" w:hAnsi="Times New Roman" w:eastAsia="方正仿宋_GBK" w:cs="Times New Roman"/>
                <w:b/>
                <w:bCs/>
                <w:i w:val="0"/>
                <w:iCs w:val="0"/>
                <w:color w:val="000000"/>
                <w:kern w:val="0"/>
                <w:sz w:val="32"/>
                <w:szCs w:val="32"/>
                <w:highlight w:val="none"/>
                <w:u w:val="none"/>
                <w:lang w:val="en-US" w:eastAsia="zh-CN" w:bidi="ar"/>
              </w:rPr>
              <w:t>第三方公司重点抽评得分</w:t>
            </w:r>
          </w:p>
        </w:tc>
        <w:tc>
          <w:tcPr>
            <w:tcW w:w="2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b/>
                <w:bCs/>
                <w:i w:val="0"/>
                <w:iCs w:val="0"/>
                <w:color w:val="000000"/>
                <w:sz w:val="32"/>
                <w:szCs w:val="32"/>
                <w:highlight w:val="none"/>
                <w:u w:val="none"/>
              </w:rPr>
            </w:pPr>
            <w:r>
              <w:rPr>
                <w:rFonts w:hint="default" w:ascii="Times New Roman" w:hAnsi="Times New Roman" w:eastAsia="方正仿宋_GBK" w:cs="Times New Roman"/>
                <w:b/>
                <w:bCs/>
                <w:i w:val="0"/>
                <w:iCs w:val="0"/>
                <w:color w:val="000000"/>
                <w:kern w:val="0"/>
                <w:sz w:val="32"/>
                <w:szCs w:val="32"/>
                <w:highlight w:val="none"/>
                <w:u w:val="none"/>
                <w:lang w:val="en-US" w:eastAsia="zh-CN" w:bidi="ar"/>
              </w:rPr>
              <w:t>绩效评价等级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县人大办</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85.88</w:t>
            </w:r>
          </w:p>
        </w:tc>
        <w:tc>
          <w:tcPr>
            <w:tcW w:w="2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县退役士兵管理局</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80.41</w:t>
            </w:r>
          </w:p>
        </w:tc>
        <w:tc>
          <w:tcPr>
            <w:tcW w:w="2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县民宗局</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80.5</w:t>
            </w:r>
          </w:p>
        </w:tc>
        <w:tc>
          <w:tcPr>
            <w:tcW w:w="2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县疾控中心</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86.15</w:t>
            </w:r>
          </w:p>
        </w:tc>
        <w:tc>
          <w:tcPr>
            <w:tcW w:w="2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县交通局</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77</w:t>
            </w:r>
          </w:p>
        </w:tc>
        <w:tc>
          <w:tcPr>
            <w:tcW w:w="2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4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米亚罗镇人民政府</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72.27</w:t>
            </w:r>
          </w:p>
        </w:tc>
        <w:tc>
          <w:tcPr>
            <w:tcW w:w="2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center"/>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3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widowControl/>
              <w:suppressLineNumbers w:val="0"/>
              <w:kinsoku/>
              <w:wordWrap/>
              <w:overflowPunct/>
              <w:topLinePunct w:val="0"/>
              <w:autoSpaceDE/>
              <w:autoSpaceDN/>
              <w:bidi w:val="0"/>
              <w:snapToGrid/>
              <w:spacing w:line="576" w:lineRule="exact"/>
              <w:jc w:val="both"/>
              <w:textAlignment w:val="auto"/>
              <w:rPr>
                <w:rFonts w:hint="default" w:ascii="Times New Roman" w:hAnsi="Times New Roman" w:eastAsia="方正仿宋_GBK" w:cs="Times New Roman"/>
                <w:i w:val="0"/>
                <w:iCs w:val="0"/>
                <w:color w:val="000000"/>
                <w:sz w:val="32"/>
                <w:szCs w:val="32"/>
                <w:highlight w:val="none"/>
                <w:u w:val="none"/>
              </w:rPr>
            </w:pPr>
            <w:r>
              <w:rPr>
                <w:rFonts w:hint="default" w:ascii="Times New Roman" w:hAnsi="Times New Roman" w:eastAsia="方正仿宋_GBK" w:cs="Times New Roman"/>
                <w:i w:val="0"/>
                <w:iCs w:val="0"/>
                <w:color w:val="000000"/>
                <w:kern w:val="0"/>
                <w:sz w:val="32"/>
                <w:szCs w:val="32"/>
                <w:highlight w:val="none"/>
                <w:u w:val="none"/>
                <w:lang w:val="en-US" w:eastAsia="zh-CN" w:bidi="ar"/>
              </w:rPr>
              <w:t>备注：评价计分90分（含）～100分对应的评价标准等级为“优”；80分（含）～90分对应的评价标准等级为“良”；60分（含）～80分对应的评价标准等级为“中”；60分以下对应的评价标准等级为“差”。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873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kinsoku/>
              <w:wordWrap/>
              <w:overflowPunct/>
              <w:topLinePunct w:val="0"/>
              <w:autoSpaceDE/>
              <w:autoSpaceDN/>
              <w:bidi w:val="0"/>
              <w:snapToGrid/>
              <w:spacing w:line="576" w:lineRule="exact"/>
              <w:jc w:val="both"/>
              <w:rPr>
                <w:rFonts w:hint="default" w:ascii="Times New Roman" w:hAnsi="Times New Roman" w:eastAsia="方正仿宋_GBK" w:cs="Times New Roman"/>
                <w:i w:val="0"/>
                <w:iCs w:val="0"/>
                <w:color w:val="000000"/>
                <w:sz w:val="32"/>
                <w:szCs w:val="32"/>
                <w:highlight w:val="none"/>
                <w:u w:val="none"/>
              </w:rPr>
            </w:pPr>
          </w:p>
        </w:tc>
      </w:tr>
    </w:tbl>
    <w:p>
      <w:pPr>
        <w:pStyle w:val="2"/>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方正黑体_GBK" w:hAnsi="方正黑体_GBK" w:eastAsia="方正黑体_GBK" w:cs="方正黑体_GBK"/>
          <w:b w:val="0"/>
          <w:bCs w:val="0"/>
          <w:sz w:val="32"/>
          <w:szCs w:val="32"/>
          <w:highlight w:val="none"/>
          <w:lang w:val="en-US" w:eastAsia="zh-CN"/>
        </w:rPr>
      </w:pPr>
      <w:r>
        <w:rPr>
          <w:rFonts w:hint="default" w:ascii="方正黑体_GBK" w:hAnsi="方正黑体_GBK" w:eastAsia="方正黑体_GBK" w:cs="方正黑体_GBK"/>
          <w:b w:val="0"/>
          <w:bCs w:val="0"/>
          <w:sz w:val="32"/>
          <w:szCs w:val="32"/>
          <w:highlight w:val="none"/>
          <w:lang w:val="en-US" w:eastAsia="zh-CN"/>
        </w:rPr>
        <w:t>四、存在的问题。</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方正楷体_GBK" w:hAnsi="方正楷体_GBK" w:eastAsia="方正楷体_GBK" w:cs="方正楷体_GBK"/>
          <w:b/>
          <w:bCs/>
          <w:sz w:val="32"/>
          <w:szCs w:val="32"/>
          <w:highlight w:val="none"/>
          <w:lang w:val="en-US" w:eastAsia="zh-CN"/>
        </w:rPr>
      </w:pPr>
      <w:r>
        <w:rPr>
          <w:rFonts w:hint="default" w:ascii="方正楷体_GBK" w:hAnsi="方正楷体_GBK" w:eastAsia="方正楷体_GBK" w:cs="方正楷体_GBK"/>
          <w:b/>
          <w:bCs/>
          <w:sz w:val="32"/>
          <w:szCs w:val="32"/>
          <w:highlight w:val="none"/>
          <w:lang w:val="en-US" w:eastAsia="zh-CN"/>
        </w:rPr>
        <w:t>1.项目支出评价类。</w:t>
      </w:r>
    </w:p>
    <w:p>
      <w:pPr>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bCs/>
          <w:sz w:val="32"/>
          <w:szCs w:val="32"/>
          <w:highlight w:val="none"/>
          <w:lang w:val="en-US" w:eastAsia="zh-CN"/>
        </w:rPr>
        <w:t>一是</w:t>
      </w:r>
      <w:r>
        <w:rPr>
          <w:rFonts w:hint="default" w:ascii="Times New Roman" w:hAnsi="Times New Roman" w:eastAsia="方正仿宋_GBK" w:cs="Times New Roman"/>
          <w:b w:val="0"/>
          <w:bCs w:val="0"/>
          <w:sz w:val="32"/>
          <w:szCs w:val="32"/>
          <w:highlight w:val="none"/>
          <w:lang w:val="en-US" w:eastAsia="zh-CN"/>
        </w:rPr>
        <w:t>绩效目标设置不明确，导致项目实施效益不清晰。</w:t>
      </w:r>
      <w:r>
        <w:rPr>
          <w:rFonts w:hint="default" w:ascii="Times New Roman" w:hAnsi="Times New Roman" w:eastAsia="方正仿宋_GBK" w:cs="Times New Roman"/>
          <w:b/>
          <w:bCs/>
          <w:sz w:val="32"/>
          <w:szCs w:val="32"/>
          <w:highlight w:val="none"/>
          <w:lang w:val="en-US" w:eastAsia="zh-CN"/>
        </w:rPr>
        <w:t>二是</w:t>
      </w:r>
      <w:r>
        <w:rPr>
          <w:rFonts w:hint="default" w:ascii="Times New Roman" w:hAnsi="Times New Roman" w:eastAsia="方正仿宋_GBK" w:cs="Times New Roman"/>
          <w:b w:val="0"/>
          <w:bCs w:val="0"/>
          <w:sz w:val="32"/>
          <w:szCs w:val="32"/>
          <w:highlight w:val="none"/>
          <w:lang w:val="en-US" w:eastAsia="zh-CN"/>
        </w:rPr>
        <w:t>项目管理制度不完善，项目实施过程管理不规范，导致部分项目资料缺失、项目变更资料不完整。</w:t>
      </w:r>
      <w:r>
        <w:rPr>
          <w:rFonts w:hint="default" w:ascii="Times New Roman" w:hAnsi="Times New Roman" w:eastAsia="方正仿宋_GBK" w:cs="Times New Roman"/>
          <w:b/>
          <w:bCs/>
          <w:sz w:val="32"/>
          <w:szCs w:val="32"/>
          <w:highlight w:val="none"/>
          <w:lang w:val="en-US" w:eastAsia="zh-CN"/>
        </w:rPr>
        <w:t>三是</w:t>
      </w:r>
      <w:r>
        <w:rPr>
          <w:rFonts w:hint="default" w:ascii="Times New Roman" w:hAnsi="Times New Roman" w:eastAsia="方正仿宋_GBK" w:cs="Times New Roman"/>
          <w:b w:val="0"/>
          <w:bCs w:val="0"/>
          <w:sz w:val="32"/>
          <w:szCs w:val="32"/>
          <w:highlight w:val="none"/>
          <w:lang w:val="en-US" w:eastAsia="zh-CN"/>
        </w:rPr>
        <w:t>财务管理不规范，项目资金使用凭证不完整。</w:t>
      </w:r>
      <w:r>
        <w:rPr>
          <w:rFonts w:hint="default" w:ascii="Times New Roman" w:hAnsi="Times New Roman" w:eastAsia="方正仿宋_GBK" w:cs="Times New Roman"/>
          <w:b/>
          <w:bCs/>
          <w:sz w:val="32"/>
          <w:szCs w:val="32"/>
          <w:highlight w:val="none"/>
          <w:lang w:val="en-US" w:eastAsia="zh-CN"/>
        </w:rPr>
        <w:t>四是</w:t>
      </w:r>
      <w:r>
        <w:rPr>
          <w:rFonts w:hint="default" w:ascii="Times New Roman" w:hAnsi="Times New Roman" w:eastAsia="方正仿宋_GBK" w:cs="Times New Roman"/>
          <w:b w:val="0"/>
          <w:bCs w:val="0"/>
          <w:sz w:val="32"/>
          <w:szCs w:val="32"/>
          <w:highlight w:val="none"/>
          <w:lang w:val="en-US" w:eastAsia="zh-CN"/>
        </w:rPr>
        <w:t>项目完成后未及时按照规定进行竣工决算审计。</w:t>
      </w:r>
      <w:r>
        <w:rPr>
          <w:rFonts w:hint="default" w:ascii="Times New Roman" w:hAnsi="Times New Roman" w:eastAsia="方正仿宋_GBK" w:cs="Times New Roman"/>
          <w:b/>
          <w:bCs/>
          <w:sz w:val="32"/>
          <w:szCs w:val="32"/>
          <w:highlight w:val="none"/>
          <w:lang w:val="en-US" w:eastAsia="zh-CN"/>
        </w:rPr>
        <w:t>五是</w:t>
      </w:r>
      <w:r>
        <w:rPr>
          <w:rFonts w:hint="default" w:ascii="Times New Roman" w:hAnsi="Times New Roman" w:eastAsia="方正仿宋_GBK" w:cs="Times New Roman"/>
          <w:b w:val="0"/>
          <w:bCs w:val="0"/>
          <w:sz w:val="32"/>
          <w:szCs w:val="32"/>
          <w:highlight w:val="none"/>
          <w:lang w:val="en-US" w:eastAsia="zh-CN"/>
        </w:rPr>
        <w:t>项目建成后后续管理不到位。</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方正楷体_GBK" w:hAnsi="方正楷体_GBK" w:eastAsia="方正楷体_GBK" w:cs="方正楷体_GBK"/>
          <w:b/>
          <w:bCs/>
          <w:sz w:val="32"/>
          <w:szCs w:val="32"/>
          <w:highlight w:val="none"/>
          <w:lang w:val="en-US" w:eastAsia="zh-CN"/>
        </w:rPr>
      </w:pPr>
      <w:r>
        <w:rPr>
          <w:rFonts w:hint="default" w:ascii="方正楷体_GBK" w:hAnsi="方正楷体_GBK" w:eastAsia="方正楷体_GBK" w:cs="方正楷体_GBK"/>
          <w:b/>
          <w:bCs/>
          <w:sz w:val="32"/>
          <w:szCs w:val="32"/>
          <w:highlight w:val="none"/>
          <w:lang w:val="en-US" w:eastAsia="zh-CN"/>
        </w:rPr>
        <w:t>2.部门整体评价类。</w:t>
      </w:r>
    </w:p>
    <w:p>
      <w:pPr>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bCs/>
          <w:sz w:val="32"/>
          <w:szCs w:val="32"/>
          <w:highlight w:val="none"/>
          <w:lang w:val="en-US" w:eastAsia="zh-CN"/>
        </w:rPr>
        <w:t>一是</w:t>
      </w:r>
      <w:r>
        <w:rPr>
          <w:rFonts w:hint="default" w:ascii="Times New Roman" w:hAnsi="Times New Roman" w:eastAsia="方正仿宋_GBK" w:cs="Times New Roman"/>
          <w:b w:val="0"/>
          <w:bCs w:val="0"/>
          <w:sz w:val="32"/>
          <w:szCs w:val="32"/>
          <w:highlight w:val="none"/>
          <w:lang w:val="en-US" w:eastAsia="zh-CN"/>
        </w:rPr>
        <w:t>部门绩效目标不明确，未细化量化。</w:t>
      </w:r>
      <w:r>
        <w:rPr>
          <w:rFonts w:hint="default" w:ascii="Times New Roman" w:hAnsi="Times New Roman" w:eastAsia="方正仿宋_GBK" w:cs="Times New Roman"/>
          <w:b/>
          <w:bCs/>
          <w:sz w:val="32"/>
          <w:szCs w:val="32"/>
          <w:highlight w:val="none"/>
          <w:lang w:val="en-US" w:eastAsia="zh-CN"/>
        </w:rPr>
        <w:t>二是</w:t>
      </w:r>
      <w:r>
        <w:rPr>
          <w:rFonts w:hint="default" w:ascii="Times New Roman" w:hAnsi="Times New Roman" w:eastAsia="方正仿宋_GBK" w:cs="Times New Roman"/>
          <w:b w:val="0"/>
          <w:bCs w:val="0"/>
          <w:sz w:val="32"/>
          <w:szCs w:val="32"/>
          <w:highlight w:val="none"/>
          <w:lang w:val="en-US" w:eastAsia="zh-CN"/>
        </w:rPr>
        <w:t>绩效评价职责不清，没有专人承担绩效管理职责，业务管理与绩效管理脱节。</w:t>
      </w:r>
      <w:r>
        <w:rPr>
          <w:rFonts w:hint="default" w:ascii="Times New Roman" w:hAnsi="Times New Roman" w:eastAsia="方正仿宋_GBK" w:cs="Times New Roman"/>
          <w:b/>
          <w:bCs/>
          <w:sz w:val="32"/>
          <w:szCs w:val="32"/>
          <w:highlight w:val="none"/>
          <w:lang w:val="en-US" w:eastAsia="zh-CN"/>
        </w:rPr>
        <w:t>三是</w:t>
      </w:r>
      <w:r>
        <w:rPr>
          <w:rFonts w:hint="default" w:ascii="Times New Roman" w:hAnsi="Times New Roman" w:eastAsia="方正仿宋_GBK" w:cs="Times New Roman"/>
          <w:b w:val="0"/>
          <w:bCs w:val="0"/>
          <w:sz w:val="32"/>
          <w:szCs w:val="32"/>
          <w:highlight w:val="none"/>
          <w:lang w:val="en-US" w:eastAsia="zh-CN"/>
        </w:rPr>
        <w:t>预算编制准确性不高，全年预算调剂金额与年初预算金额偏差过大。</w:t>
      </w:r>
      <w:r>
        <w:rPr>
          <w:rFonts w:hint="default" w:ascii="Times New Roman" w:hAnsi="Times New Roman" w:eastAsia="方正仿宋_GBK" w:cs="Times New Roman"/>
          <w:b/>
          <w:bCs/>
          <w:sz w:val="32"/>
          <w:szCs w:val="32"/>
          <w:highlight w:val="none"/>
          <w:lang w:val="en-US" w:eastAsia="zh-CN"/>
        </w:rPr>
        <w:t>四是</w:t>
      </w:r>
      <w:r>
        <w:rPr>
          <w:rFonts w:hint="default" w:ascii="Times New Roman" w:hAnsi="Times New Roman" w:eastAsia="方正仿宋_GBK" w:cs="Times New Roman"/>
          <w:b w:val="0"/>
          <w:bCs w:val="0"/>
          <w:sz w:val="32"/>
          <w:szCs w:val="32"/>
          <w:highlight w:val="none"/>
          <w:lang w:val="en-US" w:eastAsia="zh-CN"/>
        </w:rPr>
        <w:t>预算执行进度较缓慢，6月、9月、11月预算执行进度均未达到进度要求。</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方正黑体_GBK" w:hAnsi="方正黑体_GBK" w:eastAsia="方正黑体_GBK" w:cs="方正黑体_GBK"/>
          <w:b w:val="0"/>
          <w:bCs w:val="0"/>
          <w:sz w:val="32"/>
          <w:szCs w:val="32"/>
          <w:highlight w:val="none"/>
          <w:lang w:val="en-US" w:eastAsia="zh-CN"/>
        </w:rPr>
      </w:pPr>
      <w:r>
        <w:rPr>
          <w:rFonts w:hint="eastAsia" w:ascii="方正黑体_GBK" w:hAnsi="方正黑体_GBK" w:eastAsia="方正黑体_GBK" w:cs="方正黑体_GBK"/>
          <w:b w:val="0"/>
          <w:bCs w:val="0"/>
          <w:sz w:val="32"/>
          <w:szCs w:val="32"/>
          <w:highlight w:val="none"/>
          <w:lang w:val="en-US" w:eastAsia="zh-CN"/>
        </w:rPr>
        <w:t>五</w:t>
      </w:r>
      <w:r>
        <w:rPr>
          <w:rFonts w:hint="default" w:ascii="方正黑体_GBK" w:hAnsi="方正黑体_GBK" w:eastAsia="方正黑体_GBK" w:cs="方正黑体_GBK"/>
          <w:b w:val="0"/>
          <w:bCs w:val="0"/>
          <w:sz w:val="32"/>
          <w:szCs w:val="32"/>
          <w:highlight w:val="none"/>
          <w:lang w:val="en-US" w:eastAsia="zh-CN"/>
        </w:rPr>
        <w:t>、问题整改及结果运用。</w:t>
      </w:r>
    </w:p>
    <w:p>
      <w:pPr>
        <w:pStyle w:val="2"/>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方正楷体_GBK" w:hAnsi="方正楷体_GBK" w:eastAsia="方正楷体_GBK" w:cs="方正楷体_GBK"/>
          <w:b/>
          <w:bCs/>
          <w:sz w:val="32"/>
          <w:szCs w:val="32"/>
          <w:highlight w:val="none"/>
          <w:lang w:val="en-US" w:eastAsia="zh-CN"/>
        </w:rPr>
      </w:pPr>
      <w:r>
        <w:rPr>
          <w:rFonts w:hint="default" w:ascii="方正楷体_GBK" w:hAnsi="方正楷体_GBK" w:eastAsia="方正楷体_GBK" w:cs="方正楷体_GBK"/>
          <w:b/>
          <w:bCs/>
          <w:sz w:val="32"/>
          <w:szCs w:val="32"/>
          <w:highlight w:val="none"/>
          <w:lang w:val="en-US" w:eastAsia="zh-CN"/>
        </w:rPr>
        <w:t>（一）限时完成整改任务。</w:t>
      </w:r>
    </w:p>
    <w:p>
      <w:pPr>
        <w:keepNext w:val="0"/>
        <w:keepLines w:val="0"/>
        <w:pageBreakBefore w:val="0"/>
        <w:widowControl w:val="0"/>
        <w:numPr>
          <w:ilvl w:val="0"/>
          <w:numId w:val="0"/>
        </w:numPr>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kern w:val="2"/>
          <w:sz w:val="32"/>
          <w:szCs w:val="32"/>
          <w:highlight w:val="none"/>
          <w:lang w:val="en-US" w:eastAsia="zh-CN" w:bidi="zh-CN"/>
        </w:rPr>
      </w:pPr>
      <w:r>
        <w:rPr>
          <w:rFonts w:hint="default" w:ascii="Times New Roman" w:hAnsi="Times New Roman" w:eastAsia="方正仿宋_GBK" w:cs="Times New Roman"/>
          <w:kern w:val="2"/>
          <w:sz w:val="32"/>
          <w:szCs w:val="32"/>
          <w:highlight w:val="none"/>
          <w:lang w:val="en-US" w:eastAsia="zh-CN" w:bidi="zh-CN"/>
        </w:rPr>
        <w:t>我局已将评价结果反馈给相关责任单位，并要求对存在的问题，进行认真分析并制定切实可行的整改措施，整改落实情况经主要领导确认后，以书面和电子版形式在2023年4月30日前，报县财政局财政监督与绩效评价管理股。</w:t>
      </w:r>
    </w:p>
    <w:p>
      <w:pPr>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Times New Roman" w:hAnsi="Times New Roman" w:eastAsia="方正仿宋_GBK" w:cs="Times New Roman"/>
          <w:b/>
          <w:bCs/>
          <w:kern w:val="2"/>
          <w:sz w:val="32"/>
          <w:szCs w:val="32"/>
          <w:highlight w:val="none"/>
          <w:lang w:val="en-US" w:eastAsia="zh-CN" w:bidi="zh-CN"/>
        </w:rPr>
      </w:pPr>
      <w:r>
        <w:rPr>
          <w:rFonts w:hint="default" w:ascii="Times New Roman" w:hAnsi="Times New Roman" w:eastAsia="方正仿宋_GBK" w:cs="Times New Roman"/>
          <w:b/>
          <w:bCs/>
          <w:kern w:val="2"/>
          <w:sz w:val="32"/>
          <w:szCs w:val="32"/>
          <w:highlight w:val="none"/>
          <w:lang w:val="en-US" w:eastAsia="zh-CN" w:bidi="zh-CN"/>
        </w:rPr>
        <w:t>(</w:t>
      </w:r>
      <w:r>
        <w:rPr>
          <w:rFonts w:hint="default" w:ascii="方正楷体_GBK" w:hAnsi="方正楷体_GBK" w:eastAsia="方正楷体_GBK" w:cs="方正楷体_GBK"/>
          <w:b/>
          <w:bCs/>
          <w:kern w:val="2"/>
          <w:sz w:val="32"/>
          <w:szCs w:val="32"/>
          <w:highlight w:val="none"/>
          <w:lang w:val="en-US" w:eastAsia="zh-CN" w:bidi="zh-CN"/>
        </w:rPr>
        <w:t>二)继续完善绩效评价结果运用。</w:t>
      </w:r>
    </w:p>
    <w:p>
      <w:pPr>
        <w:keepNext w:val="0"/>
        <w:keepLines w:val="0"/>
        <w:pageBreakBefore w:val="0"/>
        <w:widowControl w:val="0"/>
        <w:numPr>
          <w:ilvl w:val="0"/>
          <w:numId w:val="0"/>
        </w:numPr>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kern w:val="2"/>
          <w:sz w:val="32"/>
          <w:szCs w:val="32"/>
          <w:highlight w:val="none"/>
          <w:lang w:val="en-US" w:eastAsia="zh-CN" w:bidi="zh-CN"/>
        </w:rPr>
        <w:t>运用绩效评价结果是绩效管理落到实处、取得实效的关键，也为切实提高财政资金使用效益，本次财政重点绩效评价结可在下一年项目预算增减、持平或取消做参考依据，</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jc w:val="both"/>
        <w:textAlignment w:val="auto"/>
        <w:rPr>
          <w:rFonts w:hint="default" w:ascii="方正黑体_GBK" w:hAnsi="方正黑体_GBK" w:eastAsia="方正黑体_GBK" w:cs="方正黑体_GBK"/>
          <w:b w:val="0"/>
          <w:bCs w:val="0"/>
          <w:sz w:val="32"/>
          <w:szCs w:val="32"/>
          <w:highlight w:val="none"/>
          <w:lang w:val="en-US" w:eastAsia="zh-CN"/>
        </w:rPr>
      </w:pPr>
      <w:r>
        <w:rPr>
          <w:rFonts w:hint="eastAsia" w:ascii="方正黑体_GBK" w:hAnsi="方正黑体_GBK" w:eastAsia="方正黑体_GBK" w:cs="方正黑体_GBK"/>
          <w:b w:val="0"/>
          <w:bCs w:val="0"/>
          <w:sz w:val="32"/>
          <w:szCs w:val="32"/>
          <w:highlight w:val="none"/>
          <w:lang w:val="en-US" w:eastAsia="zh-CN"/>
        </w:rPr>
        <w:t>六</w:t>
      </w:r>
      <w:r>
        <w:rPr>
          <w:rFonts w:hint="default" w:ascii="方正黑体_GBK" w:hAnsi="方正黑体_GBK" w:eastAsia="方正黑体_GBK" w:cs="方正黑体_GBK"/>
          <w:b w:val="0"/>
          <w:bCs w:val="0"/>
          <w:sz w:val="32"/>
          <w:szCs w:val="32"/>
          <w:highlight w:val="none"/>
          <w:lang w:val="en-US" w:eastAsia="zh-CN"/>
        </w:rPr>
        <w:t>、工作建议</w:t>
      </w:r>
    </w:p>
    <w:p>
      <w:pPr>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方正楷体_GBK" w:hAnsi="方正楷体_GBK" w:eastAsia="方正楷体_GBK" w:cs="方正楷体_GBK"/>
          <w:b/>
          <w:bCs/>
          <w:kern w:val="2"/>
          <w:sz w:val="32"/>
          <w:szCs w:val="32"/>
          <w:highlight w:val="none"/>
          <w:lang w:val="en-US" w:eastAsia="zh-CN" w:bidi="zh-CN"/>
        </w:rPr>
      </w:pPr>
      <w:r>
        <w:rPr>
          <w:rFonts w:hint="default" w:ascii="方正楷体_GBK" w:hAnsi="方正楷体_GBK" w:eastAsia="方正楷体_GBK" w:cs="方正楷体_GBK"/>
          <w:b/>
          <w:bCs/>
          <w:kern w:val="2"/>
          <w:sz w:val="32"/>
          <w:szCs w:val="32"/>
          <w:highlight w:val="none"/>
          <w:lang w:val="en-US" w:eastAsia="zh-CN" w:bidi="zh-CN"/>
        </w:rPr>
        <w:t>（一）进一步加强绩效目标管理。</w:t>
      </w:r>
    </w:p>
    <w:p>
      <w:pPr>
        <w:keepNext w:val="0"/>
        <w:keepLines w:val="0"/>
        <w:pageBreakBefore w:val="0"/>
        <w:widowControl w:val="0"/>
        <w:numPr>
          <w:ilvl w:val="0"/>
          <w:numId w:val="0"/>
        </w:numPr>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kern w:val="2"/>
          <w:sz w:val="32"/>
          <w:szCs w:val="32"/>
          <w:highlight w:val="none"/>
          <w:lang w:val="en-US" w:eastAsia="zh-CN" w:bidi="zh-CN"/>
        </w:rPr>
      </w:pPr>
      <w:r>
        <w:rPr>
          <w:rFonts w:hint="default" w:ascii="Times New Roman" w:hAnsi="Times New Roman" w:eastAsia="方正仿宋_GBK" w:cs="Times New Roman"/>
          <w:kern w:val="2"/>
          <w:sz w:val="32"/>
          <w:szCs w:val="32"/>
          <w:highlight w:val="none"/>
          <w:lang w:val="en-US" w:eastAsia="zh-CN" w:bidi="zh-CN"/>
        </w:rPr>
        <w:t>依据国家相关政策、财政支出方向和重点、部门职能及事业发展规划等对预算部门提出的绩效目标</w:t>
      </w:r>
      <w:r>
        <w:rPr>
          <w:rFonts w:hint="default" w:ascii="Times New Roman" w:hAnsi="Times New Roman" w:eastAsia="方正仿宋_GBK" w:cs="Times New Roman"/>
          <w:color w:val="auto"/>
          <w:kern w:val="2"/>
          <w:sz w:val="32"/>
          <w:szCs w:val="32"/>
          <w:highlight w:val="none"/>
          <w:lang w:val="en-US" w:eastAsia="zh-CN" w:bidi="zh-CN"/>
        </w:rPr>
        <w:t>进行审核，</w:t>
      </w:r>
      <w:r>
        <w:rPr>
          <w:rFonts w:hint="default" w:ascii="Times New Roman" w:hAnsi="Times New Roman" w:eastAsia="方正仿宋_GBK" w:cs="Times New Roman"/>
          <w:kern w:val="2"/>
          <w:sz w:val="32"/>
          <w:szCs w:val="32"/>
          <w:highlight w:val="none"/>
          <w:lang w:val="en-US" w:eastAsia="zh-CN" w:bidi="zh-CN"/>
        </w:rPr>
        <w:t>包括绩效目标与部门职能的相关性、绩效目标的实现所采取措施的可行性、实现绩效目标所需资金的合理性。定期采集绩效运行监控信息并汇总分析，对绩效目标运行情况进行跟踪管理和督促检查，纠偏扬长，促进绩效目标的顺利实现。</w:t>
      </w:r>
    </w:p>
    <w:p>
      <w:pPr>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方正楷体_GBK" w:hAnsi="方正楷体_GBK" w:eastAsia="方正楷体_GBK" w:cs="方正楷体_GBK"/>
          <w:b/>
          <w:bCs/>
          <w:kern w:val="2"/>
          <w:sz w:val="32"/>
          <w:szCs w:val="32"/>
          <w:highlight w:val="none"/>
          <w:lang w:val="en-US" w:eastAsia="zh-CN" w:bidi="zh-CN"/>
        </w:rPr>
      </w:pPr>
      <w:r>
        <w:rPr>
          <w:rFonts w:hint="default" w:ascii="方正楷体_GBK" w:hAnsi="方正楷体_GBK" w:eastAsia="方正楷体_GBK" w:cs="方正楷体_GBK"/>
          <w:b/>
          <w:bCs/>
          <w:kern w:val="2"/>
          <w:sz w:val="32"/>
          <w:szCs w:val="32"/>
          <w:highlight w:val="none"/>
          <w:lang w:val="en-US" w:eastAsia="zh-CN" w:bidi="zh-CN"/>
        </w:rPr>
        <w:t>（二）加强项目管理。</w:t>
      </w:r>
    </w:p>
    <w:p>
      <w:pPr>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b/>
          <w:bCs/>
          <w:sz w:val="32"/>
          <w:szCs w:val="32"/>
          <w:highlight w:val="none"/>
          <w:lang w:val="en-US" w:eastAsia="zh-CN"/>
        </w:rPr>
        <w:t>一是</w:t>
      </w:r>
      <w:r>
        <w:rPr>
          <w:rFonts w:hint="default" w:ascii="Times New Roman" w:hAnsi="Times New Roman" w:eastAsia="方正仿宋_GBK" w:cs="Times New Roman"/>
          <w:sz w:val="32"/>
          <w:szCs w:val="32"/>
          <w:highlight w:val="none"/>
          <w:lang w:val="en-US" w:eastAsia="zh-CN"/>
        </w:rPr>
        <w:t>建立完善项目实施管理办法、项目资金管理办法等管理制度；</w:t>
      </w:r>
      <w:r>
        <w:rPr>
          <w:rFonts w:hint="default" w:ascii="Times New Roman" w:hAnsi="Times New Roman" w:eastAsia="方正仿宋_GBK" w:cs="Times New Roman"/>
          <w:b/>
          <w:bCs/>
          <w:sz w:val="32"/>
          <w:szCs w:val="32"/>
          <w:highlight w:val="none"/>
          <w:lang w:val="en-US" w:eastAsia="zh-CN"/>
        </w:rPr>
        <w:t>二是</w:t>
      </w:r>
      <w:r>
        <w:rPr>
          <w:rFonts w:hint="default" w:ascii="Times New Roman" w:hAnsi="Times New Roman" w:eastAsia="方正仿宋_GBK" w:cs="Times New Roman"/>
          <w:sz w:val="32"/>
          <w:szCs w:val="32"/>
          <w:highlight w:val="none"/>
          <w:lang w:val="en-US" w:eastAsia="zh-CN"/>
        </w:rPr>
        <w:t>资金使用按照合同约定和相关管理制度执行；</w:t>
      </w:r>
      <w:r>
        <w:rPr>
          <w:rFonts w:hint="default" w:ascii="Times New Roman" w:hAnsi="Times New Roman" w:eastAsia="方正仿宋_GBK" w:cs="Times New Roman"/>
          <w:b/>
          <w:bCs/>
          <w:sz w:val="32"/>
          <w:szCs w:val="32"/>
          <w:highlight w:val="none"/>
          <w:lang w:val="en-US" w:eastAsia="zh-CN"/>
        </w:rPr>
        <w:t>三是</w:t>
      </w:r>
      <w:r>
        <w:rPr>
          <w:rFonts w:hint="default" w:ascii="Times New Roman" w:hAnsi="Times New Roman" w:eastAsia="方正仿宋_GBK" w:cs="Times New Roman"/>
          <w:sz w:val="32"/>
          <w:szCs w:val="32"/>
          <w:highlight w:val="none"/>
          <w:lang w:val="en-US" w:eastAsia="zh-CN"/>
        </w:rPr>
        <w:t>建议各项目实施单位制定实施方案或签订合同时，制定更符合实际情况的实施方案或协议；</w:t>
      </w:r>
      <w:r>
        <w:rPr>
          <w:rFonts w:hint="default" w:ascii="Times New Roman" w:hAnsi="Times New Roman" w:eastAsia="方正仿宋_GBK" w:cs="Times New Roman"/>
          <w:b/>
          <w:bCs/>
          <w:sz w:val="32"/>
          <w:szCs w:val="32"/>
          <w:highlight w:val="none"/>
          <w:lang w:val="en-US" w:eastAsia="zh-CN"/>
        </w:rPr>
        <w:t>四是</w:t>
      </w:r>
      <w:r>
        <w:rPr>
          <w:rFonts w:hint="default" w:ascii="Times New Roman" w:hAnsi="Times New Roman" w:eastAsia="方正仿宋_GBK" w:cs="Times New Roman"/>
          <w:sz w:val="32"/>
          <w:szCs w:val="32"/>
          <w:highlight w:val="none"/>
          <w:lang w:val="en-US" w:eastAsia="zh-CN"/>
        </w:rPr>
        <w:t>项目实施过程中，加强对项目的监管，督促项目实施进度，按照制定的项目规划执行，避免出现项目执行缓慢的情况；</w:t>
      </w:r>
      <w:r>
        <w:rPr>
          <w:rFonts w:hint="default" w:ascii="Times New Roman" w:hAnsi="Times New Roman" w:eastAsia="方正仿宋_GBK" w:cs="Times New Roman"/>
          <w:b/>
          <w:bCs/>
          <w:sz w:val="32"/>
          <w:szCs w:val="32"/>
          <w:highlight w:val="none"/>
          <w:lang w:val="en-US" w:eastAsia="zh-CN"/>
        </w:rPr>
        <w:t>五是</w:t>
      </w:r>
      <w:r>
        <w:rPr>
          <w:rFonts w:hint="default" w:ascii="Times New Roman" w:hAnsi="Times New Roman" w:eastAsia="方正仿宋_GBK" w:cs="Times New Roman"/>
          <w:sz w:val="32"/>
          <w:szCs w:val="32"/>
          <w:highlight w:val="none"/>
          <w:lang w:val="en-US" w:eastAsia="zh-CN"/>
        </w:rPr>
        <w:t>各项目实施单位加强对项目资料的审核和管理，避免出现同一项目内容矛盾的情况；</w:t>
      </w:r>
      <w:r>
        <w:rPr>
          <w:rFonts w:hint="default" w:ascii="Times New Roman" w:hAnsi="Times New Roman" w:eastAsia="方正仿宋_GBK" w:cs="Times New Roman"/>
          <w:b/>
          <w:bCs/>
          <w:sz w:val="32"/>
          <w:szCs w:val="32"/>
          <w:highlight w:val="none"/>
          <w:lang w:val="en-US" w:eastAsia="zh-CN"/>
        </w:rPr>
        <w:t>六是</w:t>
      </w:r>
      <w:r>
        <w:rPr>
          <w:rFonts w:hint="default" w:ascii="Times New Roman" w:hAnsi="Times New Roman" w:eastAsia="方正仿宋_GBK" w:cs="Times New Roman"/>
          <w:sz w:val="32"/>
          <w:szCs w:val="32"/>
          <w:highlight w:val="none"/>
          <w:lang w:val="en-US" w:eastAsia="zh-CN"/>
        </w:rPr>
        <w:t>项目实施完成后，项目资料及时整理归档，避免出现资料缺失的情况。</w:t>
      </w:r>
    </w:p>
    <w:p>
      <w:pPr>
        <w:keepNext w:val="0"/>
        <w:keepLines w:val="0"/>
        <w:pageBreakBefore w:val="0"/>
        <w:widowControl w:val="0"/>
        <w:numPr>
          <w:ilvl w:val="0"/>
          <w:numId w:val="0"/>
        </w:numPr>
        <w:kinsoku/>
        <w:wordWrap/>
        <w:overflowPunct/>
        <w:topLinePunct w:val="0"/>
        <w:autoSpaceDE/>
        <w:autoSpaceDN/>
        <w:bidi w:val="0"/>
        <w:snapToGrid/>
        <w:spacing w:line="576" w:lineRule="exact"/>
        <w:ind w:firstLine="643" w:firstLineChars="200"/>
        <w:jc w:val="both"/>
        <w:textAlignment w:val="auto"/>
        <w:rPr>
          <w:rFonts w:hint="default" w:ascii="方正楷体_GBK" w:hAnsi="方正楷体_GBK" w:eastAsia="方正楷体_GBK" w:cs="方正楷体_GBK"/>
          <w:b/>
          <w:bCs/>
          <w:kern w:val="2"/>
          <w:sz w:val="32"/>
          <w:szCs w:val="32"/>
          <w:highlight w:val="none"/>
          <w:lang w:val="en-US" w:eastAsia="zh-CN" w:bidi="zh-CN"/>
        </w:rPr>
      </w:pPr>
      <w:r>
        <w:rPr>
          <w:rFonts w:hint="default" w:ascii="方正楷体_GBK" w:hAnsi="方正楷体_GBK" w:eastAsia="方正楷体_GBK" w:cs="方正楷体_GBK"/>
          <w:b/>
          <w:bCs/>
          <w:kern w:val="2"/>
          <w:sz w:val="32"/>
          <w:szCs w:val="32"/>
          <w:highlight w:val="none"/>
          <w:lang w:val="en-US" w:eastAsia="zh-CN" w:bidi="zh-CN"/>
        </w:rPr>
        <w:t>（三）及时完成固定资产入账工作。</w:t>
      </w:r>
    </w:p>
    <w:p>
      <w:pPr>
        <w:keepNext w:val="0"/>
        <w:keepLines w:val="0"/>
        <w:pageBreakBefore w:val="0"/>
        <w:widowControl w:val="0"/>
        <w:numPr>
          <w:ilvl w:val="0"/>
          <w:numId w:val="0"/>
        </w:numPr>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项目建设完成后，按照相关规定及时进行竣工结算和竣工决算审计，为后续固定资产入账及管理工作打好基础，避免国有资产流失和财政资金的浪费。</w:t>
      </w:r>
    </w:p>
    <w:p>
      <w:pPr>
        <w:pStyle w:val="2"/>
        <w:keepNext w:val="0"/>
        <w:keepLines w:val="0"/>
        <w:pageBreakBefore w:val="0"/>
        <w:widowControl w:val="0"/>
        <w:kinsoku/>
        <w:wordWrap/>
        <w:overflowPunct/>
        <w:topLinePunct w:val="0"/>
        <w:autoSpaceDE/>
        <w:autoSpaceDN/>
        <w:bidi w:val="0"/>
        <w:snapToGrid/>
        <w:spacing w:line="576" w:lineRule="exact"/>
        <w:jc w:val="both"/>
        <w:textAlignment w:val="auto"/>
        <w:rPr>
          <w:rFonts w:hint="default" w:ascii="Times New Roman" w:hAnsi="Times New Roman" w:eastAsia="方正仿宋_GBK" w:cs="Times New Roman"/>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snapToGrid/>
        <w:spacing w:line="576" w:lineRule="exact"/>
        <w:jc w:val="both"/>
        <w:textAlignment w:val="auto"/>
        <w:rPr>
          <w:rFonts w:hint="default" w:ascii="Times New Roman" w:hAnsi="Times New Roman" w:eastAsia="方正仿宋_GBK" w:cs="Times New Roman"/>
          <w:sz w:val="32"/>
          <w:szCs w:val="32"/>
          <w:highlight w:val="none"/>
          <w:lang w:val="en-US" w:eastAsia="zh-CN"/>
        </w:rPr>
      </w:pPr>
    </w:p>
    <w:p>
      <w:pPr>
        <w:pStyle w:val="2"/>
        <w:keepNext w:val="0"/>
        <w:keepLines w:val="0"/>
        <w:pageBreakBefore w:val="0"/>
        <w:widowControl w:val="0"/>
        <w:kinsoku/>
        <w:wordWrap/>
        <w:overflowPunct/>
        <w:topLinePunct w:val="0"/>
        <w:autoSpaceDE/>
        <w:autoSpaceDN/>
        <w:bidi w:val="0"/>
        <w:snapToGrid/>
        <w:spacing w:line="576" w:lineRule="exact"/>
        <w:ind w:firstLine="2240" w:firstLineChars="700"/>
        <w:jc w:val="both"/>
        <w:textAlignment w:val="auto"/>
        <w:rPr>
          <w:rFonts w:hint="default" w:ascii="Times New Roman" w:hAnsi="Times New Roman" w:eastAsia="方正仿宋_GBK" w:cs="Times New Roman"/>
          <w:sz w:val="32"/>
          <w:szCs w:val="32"/>
          <w:highlight w:val="none"/>
          <w:lang w:val="en-US" w:eastAsia="zh-CN"/>
        </w:rPr>
      </w:pPr>
    </w:p>
    <w:p>
      <w:pPr>
        <w:pStyle w:val="2"/>
        <w:keepNext w:val="0"/>
        <w:keepLines w:val="0"/>
        <w:pageBreakBefore w:val="0"/>
        <w:widowControl w:val="0"/>
        <w:kinsoku/>
        <w:wordWrap/>
        <w:overflowPunct/>
        <w:topLinePunct w:val="0"/>
        <w:autoSpaceDE/>
        <w:autoSpaceDN/>
        <w:bidi w:val="0"/>
        <w:snapToGrid/>
        <w:spacing w:line="576" w:lineRule="exact"/>
        <w:ind w:firstLine="6080" w:firstLineChars="19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理县财政局</w:t>
      </w:r>
    </w:p>
    <w:p>
      <w:pPr>
        <w:pStyle w:val="2"/>
        <w:keepNext w:val="0"/>
        <w:keepLines w:val="0"/>
        <w:pageBreakBefore w:val="0"/>
        <w:widowControl w:val="0"/>
        <w:kinsoku/>
        <w:wordWrap/>
        <w:overflowPunct/>
        <w:topLinePunct w:val="0"/>
        <w:autoSpaceDE/>
        <w:autoSpaceDN/>
        <w:bidi w:val="0"/>
        <w:snapToGrid/>
        <w:spacing w:line="576" w:lineRule="exact"/>
        <w:ind w:firstLine="5440" w:firstLineChars="1700"/>
        <w:jc w:val="both"/>
        <w:textAlignment w:val="auto"/>
        <w:rPr>
          <w:sz w:val="28"/>
          <w:szCs w:val="28"/>
          <w:highlight w:val="none"/>
        </w:rPr>
      </w:pPr>
      <w:r>
        <w:rPr>
          <w:rFonts w:hint="default" w:ascii="Times New Roman" w:hAnsi="Times New Roman" w:eastAsia="方正仿宋_GBK" w:cs="Times New Roman"/>
          <w:sz w:val="32"/>
          <w:szCs w:val="32"/>
          <w:highlight w:val="none"/>
          <w:lang w:val="en-US" w:eastAsia="zh-CN"/>
        </w:rPr>
        <w:t>2023年3月24日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hMmI2Y2VhMmY1YjgxMmFlYjI5YjU1ZTUyMjAyY2YifQ=="/>
  </w:docVars>
  <w:rsids>
    <w:rsidRoot w:val="2AE14E3B"/>
    <w:rsid w:val="042054F5"/>
    <w:rsid w:val="05344CC4"/>
    <w:rsid w:val="053A3164"/>
    <w:rsid w:val="0707149D"/>
    <w:rsid w:val="099834FE"/>
    <w:rsid w:val="09EC7123"/>
    <w:rsid w:val="0B5E5DFE"/>
    <w:rsid w:val="0BD31B46"/>
    <w:rsid w:val="0DF16692"/>
    <w:rsid w:val="0E62693A"/>
    <w:rsid w:val="104761B9"/>
    <w:rsid w:val="15D25B0E"/>
    <w:rsid w:val="1A7016AA"/>
    <w:rsid w:val="268F110A"/>
    <w:rsid w:val="270D45FE"/>
    <w:rsid w:val="2AE14E3B"/>
    <w:rsid w:val="31E62971"/>
    <w:rsid w:val="33FD4D1B"/>
    <w:rsid w:val="34B93816"/>
    <w:rsid w:val="3BB014AF"/>
    <w:rsid w:val="3F975056"/>
    <w:rsid w:val="4E8D38D2"/>
    <w:rsid w:val="4EEB7124"/>
    <w:rsid w:val="534F6907"/>
    <w:rsid w:val="570A0D4E"/>
    <w:rsid w:val="585D266B"/>
    <w:rsid w:val="59DD3C80"/>
    <w:rsid w:val="5F9249F7"/>
    <w:rsid w:val="68205ECC"/>
    <w:rsid w:val="6B1275A1"/>
    <w:rsid w:val="71A52B5D"/>
    <w:rsid w:val="71DE606F"/>
    <w:rsid w:val="79FC5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eastAsia="宋体" w:cs="宋体"/>
      <w:sz w:val="28"/>
      <w:szCs w:val="28"/>
      <w:lang w:val="zh-CN" w:eastAsia="zh-CN" w:bidi="zh-CN"/>
    </w:rPr>
  </w:style>
  <w:style w:type="paragraph" w:styleId="3">
    <w:name w:val="Body Text Indent"/>
    <w:basedOn w:val="1"/>
    <w:next w:val="4"/>
    <w:unhideWhenUsed/>
    <w:qFormat/>
    <w:uiPriority w:val="99"/>
    <w:pPr>
      <w:spacing w:after="120"/>
      <w:ind w:left="420" w:leftChars="200"/>
    </w:pPr>
    <w:rPr>
      <w:rFonts w:ascii="Calibri" w:hAnsi="Calibri" w:eastAsia="宋体" w:cs="黑体"/>
      <w:szCs w:val="22"/>
    </w:rPr>
  </w:style>
  <w:style w:type="paragraph" w:styleId="4">
    <w:name w:val="Body Text First Indent 2"/>
    <w:basedOn w:val="3"/>
    <w:next w:val="1"/>
    <w:unhideWhenUsed/>
    <w:qFormat/>
    <w:uiPriority w:val="99"/>
    <w:pPr>
      <w:ind w:firstLine="420"/>
    </w:pPr>
    <w:rPr>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3994</Words>
  <Characters>4310</Characters>
  <Lines>0</Lines>
  <Paragraphs>0</Paragraphs>
  <TotalTime>14</TotalTime>
  <ScaleCrop>false</ScaleCrop>
  <LinksUpToDate>false</LinksUpToDate>
  <CharactersWithSpaces>4323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2022-11-02T02:37:00Z</dcterms:created>
  <dc:creator>郭清成</dc:creator>
  <cp:lastModifiedBy>HP</cp:lastModifiedBy>
  <dcterms:modified xsi:type="dcterms:W3CDTF">2024-05-29T02:20:16Z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EA8DE0B539D84748B2EFBB2A3381E5BF</vt:lpwstr>
  </property>
</Properties>
</file>