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overflowPunct w:val="0"/>
        <w:adjustRightInd w:val="0"/>
        <w:snapToGrid w:val="0"/>
        <w:spacing w:line="560" w:lineRule="exact"/>
        <w:ind w:firstLine="113"/>
        <w:jc w:val="center"/>
        <w:rPr>
          <w:rFonts w:ascii="Times New Roman" w:hAnsi="Times New Roman" w:eastAsia="方正小标宋_GBK"/>
          <w:snapToGrid w:val="0"/>
          <w:kern w:val="0"/>
          <w:sz w:val="44"/>
          <w:szCs w:val="44"/>
        </w:rPr>
      </w:pPr>
      <w:r>
        <w:rPr>
          <w:rFonts w:hint="eastAsia" w:ascii="Times New Roman" w:hAnsi="Times New Roman" w:eastAsia="方正小标宋_GBK"/>
          <w:snapToGrid w:val="0"/>
          <w:kern w:val="0"/>
          <w:sz w:val="44"/>
          <w:szCs w:val="44"/>
          <w:lang w:eastAsia="zh-CN"/>
        </w:rPr>
        <w:t>理</w:t>
      </w:r>
      <w:r>
        <w:rPr>
          <w:rFonts w:ascii="Times New Roman" w:hAnsi="Times New Roman" w:eastAsia="方正小标宋_GBK"/>
          <w:snapToGrid w:val="0"/>
          <w:kern w:val="0"/>
          <w:sz w:val="44"/>
          <w:szCs w:val="44"/>
        </w:rPr>
        <w:t>县202</w:t>
      </w:r>
      <w:r>
        <w:rPr>
          <w:rFonts w:hint="eastAsia" w:ascii="Times New Roman" w:hAnsi="Times New Roman" w:eastAsia="方正小标宋_GBK"/>
          <w:snapToGrid w:val="0"/>
          <w:kern w:val="0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_GBK"/>
          <w:snapToGrid w:val="0"/>
          <w:kern w:val="0"/>
          <w:sz w:val="44"/>
          <w:szCs w:val="44"/>
        </w:rPr>
        <w:t>年财政决算报告</w:t>
      </w:r>
    </w:p>
    <w:p>
      <w:pPr>
        <w:overflowPunct w:val="0"/>
        <w:adjustRightInd w:val="0"/>
        <w:snapToGrid w:val="0"/>
        <w:spacing w:line="560" w:lineRule="exact"/>
        <w:jc w:val="center"/>
        <w:rPr>
          <w:rFonts w:ascii="Times New Roman" w:hAnsi="Times New Roman" w:eastAsia="楷体_GB2312"/>
          <w:b/>
          <w:bCs/>
          <w:sz w:val="32"/>
          <w:szCs w:val="32"/>
        </w:rPr>
      </w:pPr>
      <w:r>
        <w:rPr>
          <w:rFonts w:ascii="Times New Roman" w:hAnsi="Times New Roman" w:eastAsia="楷体_GB2312"/>
          <w:b/>
          <w:bCs/>
          <w:sz w:val="32"/>
          <w:szCs w:val="32"/>
        </w:rPr>
        <w:t>在</w:t>
      </w:r>
      <w:r>
        <w:rPr>
          <w:rFonts w:hint="eastAsia" w:ascii="Times New Roman" w:hAnsi="Times New Roman" w:eastAsia="楷体_GB2312"/>
          <w:b/>
          <w:bCs/>
          <w:sz w:val="32"/>
          <w:szCs w:val="32"/>
          <w:lang w:eastAsia="zh-CN"/>
        </w:rPr>
        <w:t>理</w:t>
      </w:r>
      <w:r>
        <w:rPr>
          <w:rFonts w:ascii="Times New Roman" w:hAnsi="Times New Roman" w:eastAsia="楷体_GB2312"/>
          <w:b/>
          <w:bCs/>
          <w:sz w:val="32"/>
          <w:szCs w:val="32"/>
        </w:rPr>
        <w:t>县第十</w:t>
      </w:r>
      <w:r>
        <w:rPr>
          <w:rFonts w:hint="eastAsia" w:ascii="Times New Roman" w:hAnsi="Times New Roman" w:eastAsia="楷体_GB2312"/>
          <w:b/>
          <w:bCs/>
          <w:sz w:val="32"/>
          <w:szCs w:val="32"/>
          <w:lang w:eastAsia="zh-CN"/>
        </w:rPr>
        <w:t>四</w:t>
      </w:r>
      <w:r>
        <w:rPr>
          <w:rFonts w:ascii="Times New Roman" w:hAnsi="Times New Roman" w:eastAsia="楷体_GB2312"/>
          <w:b/>
          <w:bCs/>
          <w:sz w:val="32"/>
          <w:szCs w:val="32"/>
        </w:rPr>
        <w:t>届人大常委会第</w:t>
      </w:r>
      <w:r>
        <w:rPr>
          <w:rFonts w:hint="eastAsia" w:ascii="Times New Roman" w:hAnsi="Times New Roman" w:eastAsia="楷体_GB2312"/>
          <w:b/>
          <w:bCs/>
          <w:sz w:val="32"/>
          <w:szCs w:val="32"/>
          <w:lang w:eastAsia="zh-CN"/>
        </w:rPr>
        <w:t>三十六</w:t>
      </w:r>
      <w:bookmarkStart w:id="0" w:name="_GoBack"/>
      <w:bookmarkEnd w:id="0"/>
      <w:r>
        <w:rPr>
          <w:rFonts w:ascii="Times New Roman" w:hAnsi="Times New Roman" w:eastAsia="楷体_GB2312"/>
          <w:b/>
          <w:bCs/>
          <w:sz w:val="32"/>
          <w:szCs w:val="32"/>
        </w:rPr>
        <w:t>次会议上</w:t>
      </w:r>
    </w:p>
    <w:p>
      <w:pPr>
        <w:overflowPunct w:val="0"/>
        <w:adjustRightInd w:val="0"/>
        <w:snapToGrid w:val="0"/>
        <w:spacing w:line="560" w:lineRule="exact"/>
        <w:ind w:firstLine="113"/>
        <w:jc w:val="center"/>
        <w:rPr>
          <w:rFonts w:hint="eastAsia" w:ascii="Times New Roman" w:hAnsi="Times New Roman" w:eastAsia="楷体_GB2312"/>
          <w:bCs/>
          <w:snapToGrid w:val="0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  <w:lang w:eastAsia="zh-CN"/>
        </w:rPr>
        <w:t>理</w:t>
      </w:r>
      <w:r>
        <w:rPr>
          <w:rFonts w:ascii="Times New Roman" w:hAnsi="Times New Roman" w:eastAsia="楷体_GB2312"/>
          <w:b/>
          <w:bCs/>
          <w:sz w:val="32"/>
          <w:szCs w:val="32"/>
        </w:rPr>
        <w:t xml:space="preserve">县财政局局长  </w:t>
      </w:r>
      <w:r>
        <w:rPr>
          <w:rFonts w:hint="eastAsia" w:ascii="Times New Roman" w:hAnsi="Times New Roman" w:eastAsia="楷体_GB2312"/>
          <w:b/>
          <w:bCs/>
          <w:sz w:val="32"/>
          <w:szCs w:val="32"/>
          <w:lang w:eastAsia="zh-CN"/>
        </w:rPr>
        <w:t>雍娟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="0" w:leftChars="0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76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2025年，在县委、县政府的坚强领导下，在县人大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、县政协的监督支持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下，县财政局坚定不移地以习近平新时代中国特色社会主义思想为引领，深入学习贯彻党的二十大和二十届历次全会精神，以及中央经济工作会议、省委经济工作会议、全国财政工作会议和全省财政工作会议的决策部署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全县财政工作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坚持稳中求进工作总基调，聚焦稳增长、保民生、防风险、促发展核心任务，严格执行县人大审议通过的年度预算方案，统筹盘活财政资源、优化收支结构、严控运行风险，全县财政收支运行总体平稳、质效稳步提升，有力保障了全县经济社会高质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76" w:lineRule="exact"/>
        <w:ind w:leftChars="0"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  <w:t>一、2025年财政决算情况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（一）一般公共预算收支决算情况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财政收入情况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：2025年全县完成财政总收入154598万元，为预算的189%，较上年实现2.46%的稳健增长。完成地方一般公共预算收入18092万元，为预算收入目标任务的142%，增长49.82%，其中：完成税收收入16494万元，增长86.75%，税收占一般公共预算收入91.17%；完成非税收入1598万元，增长50.74%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财政支出情况：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2025年财政总支出154598万元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，其中：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2025年全县一般公共预算支出138538万元，为预算的184.69%，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较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上年下降0.61%。其中：一般公共服务支出21994万元，增长2.78%；国防支出198万元，增长15.79%；公共安全支出6428万元，增长6.25%；教育支出17795万元，增长0.28%；科学技术支出676万元，增长41.41%，文化旅游体育与传媒支出2829万元，减少32.26%；社会保障和就业支出14262万元，增长4.46%；卫生健康支出13453万元，增加5.89%；节能环保支出3701万元，增长333.88%；城乡社区支出6044万元，增长132.46%；农林水支出37647万元，增长0.01%；交通运输支出1774万元，减少55.3%；资源勘探工业信息等支出353万元，下降56.15%；商业服务业等支出688万元，增长203.08%；金融支出9万元，增长800%；自然资源海洋气象等支出712万元，减少0.42%；住房保障支出4960万元，增长5.24%；粮油物资储备支出164万元，下降54.06%；灾害防治及应急管理支出4512万元，减少58.32%，其他支出0万元，债务付息支出333万元，增加11.74%。债务发行费用支出6万元，增长500%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一般公共预算收支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平衡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情况：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2025年财政总收入154598万元，其中：地方一般公共预算收入18092万元，上级补助收入115851万元，上年结余收入5838万元，国有资本经营预算调入65万元，债务转贷收入8728万元，动用预算稳定调节基金1471万元，接受其他地区援助收入4553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2025年财政总支出154598万元，其中：一般公共预算支出138538万元，上解上级支出3610万元，债务还本支出4142万元，补充预算稳定调节基金5352万元，结转下年使用2956万元。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实现年度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收支平衡。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（二）政府性基金预算收支决算情况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2025年政府性基金收入总计17580万元，其中：本级政府性基金收入1218万元，上级补助收入4194万元，调入资金2348万元，债务转贷收入9388万元。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2025年政府性基金支出总计14284万元，其中：本级政府性基金支出11996万元，债务还本支出2288万元，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结转下年使用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3296万元。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实现年度收支平衡。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（三）国有资本经营预算收支决算情况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2025年国有资本经营预算收入67万元，上年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结转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收入2万元，其他国有资本经营预算企业利润收入65万元。国有资本经营预算支出67万元,调出资金65万元，国有企业退休人员社会化管理补助支出2万元。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实现年度收支平衡。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 xml:space="preserve">（四）政府债务情况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省财政厅核定我县2025年政府债务限额为41567.5万元，其中：一般债务限额15591.5万元，专项债务限额25976万元。经批准，2025年我县新增地方政府转贷债券资金共计18116万元，其中：地方政府一般债务转贷收入8728万元（再融资3728万元、新增一般债5000万元）、新增地方政府专项债务转贷收入9388万元（理县特色农产品批发市场建设项目2500万元，政府存量项目6888万元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2025年年末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，我县地方政府债务余额为40675万元，其中：一般债务余额14987万元、专项债务余额25688万元，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政府债务率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19%，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政府债务风险总体可控。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二、2025年财政重点工作推进情况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（一）抓实收入征管，财力保障更加坚实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扩财源促增量、提高财政保障能力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持续深化与税务、非税征管部门协同联动，聚焦重点行业、重点税源及重大项目强化征管力度，做实存量税源、深挖潜在税源、培育增量税源，推动税收应收尽收、非税收入应缴尽缴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。2025年，完成税收收入16494万元，较上年同比增长86.75%，为财政稳定运行筑牢根基。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643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聚力对上争资，夯实财政能力支撑。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专项安排500万元项目前期经费，充分激发各部门向上争取资金的主动性，全年累计争取竞争性资金13209万元、专项转移支付资金12031万元，有效减轻本级财政支出压力，为全县稳增长、扩投资、保民生提供坚实资金支撑。同时抢抓政策机遇，联合发改等部门加大项目谋划力度，成功争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超长期国债资金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1699万元，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地方政府债券资金14388万元为县域高质量发展注入强劲动能。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（二）财政支出有为，保障能力不断提高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eastAsia="zh-CN"/>
        </w:rPr>
        <w:t>全力兜牢民生底线，民生投入持续加码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始终坚守民生优先导向，在收支矛盾较为突出的情况下，优先保障民生支出，推动各项民生实事落地见效。2025年，全县民生支出达104750万元，占一般公共预算支出比重75.58%，以实实在在的投入筑牢民生保障底线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牢固树立过紧日子思想，严格落实中央压减一般性支出要求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。2025年在年初预算基础上，共计压减一般性支出161.7万元，压减率5%，确保财政资金向关键领域集中，用在发展“刀刃”上。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  <w:t>全力支持乡村振兴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lang w:eastAsia="zh-CN"/>
        </w:rPr>
        <w:t>，赋能乡村提质增效。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坚持农业农村优先发展导向，持续巩固脱贫攻坚成果与乡村振兴有效衔接，全年累计专项投入10225万元，其中县本级财力安排1100万元，保持投入“只增不减”。精准投向51个乡村振兴建设项目，推动农村基础设施升级与社会事业发展，助力宜居宜业美丽乡村建设。落实强农惠农政策，通过“一卡通”发放耕地地力保护、农机购置补贴、草原生态奖补等资金640.94万元；安排714.79万元用于森林防火补助、国有林管护、国土绿化等工作，全方位支撑乡村全面振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yellow"/>
          <w:lang w:eastAsia="zh-CN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eastAsia="zh-CN"/>
        </w:rPr>
        <w:t>优先保障教育事业，夯实教育公平基础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持续加大教育投入，严格落实教育支出“两个只增不减”要求，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教育发展质量稳步提升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全年投入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17795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万元，支持改善办学条件，大力推进校园基础设施标准化建设，实现校园AI智慧教学系统全覆盖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切实提高教育经费使用绩效，教育教学质量稳步提升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eastAsia="zh-CN"/>
        </w:rPr>
        <w:t>兜牢社保兜底屏障，健全社会保障体系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。不断完善社会救助与保障体系，提升民生兜底能力。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2025年为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28696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名城乡居民基本医疗保险参保人员补助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87.12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万元；为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6348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名城乡居民养老保险缴费人员补贴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51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万元，为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6.7万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人次发放基础养老金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1213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万元；为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190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人发放丧葬抚恤金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40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万元。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zh-CN"/>
        </w:rPr>
        <w:t>同时，向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1525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zh-CN"/>
        </w:rPr>
        <w:t>名八十周岁以上老人发放高龄津贴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153.895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zh-CN"/>
        </w:rPr>
        <w:t>万元，为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233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zh-CN"/>
        </w:rPr>
        <w:t>名困难残疾人发放补贴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29.449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zh-CN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全面覆盖特殊群体保障需求。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eastAsia="zh-CN"/>
        </w:rPr>
        <w:t>强化公共卫生保障，提升基层服务能力。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以紧密型医共体建设为抓手，强化公共卫生体系投入，2025年公共卫生支出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12678.94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万元，同比增长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8.81%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。其中：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357.12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万元用于基本公共卫生服务，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110.3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万元支持基本药物制度改革，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25.57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zh-CN"/>
        </w:rPr>
        <w:t>万元专项保障农村适龄妇女“两癌”免费检查、免费婚检及孕产妇免费产前筛查，切实增强公共卫生服务普惠性。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eastAsia="zh-CN"/>
        </w:rPr>
        <w:t>精准保障就业创业，稳住民生基本盘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强化公共就业服务支撑，全面推进就业促进行动，落实就业补助资金657.4万元，发放就业创业激励资金627.4万元。通过创业担保贷款政策支持重点群体创业，全年新增创业担保贷款105.7万元，发放相关补贴12.9万元，以政策红利激发就业创业内生动力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优架构深改革，激活国企发展动能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聚力推动国资国企提质增效。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一是国企架构重塑，理顺治理机制。构建“1+5+N”架构，组建瑞启建筑公司并整合两家子公司，农开与文旅公司人资业务融合，国投公司三大部门完成人员配置；二是深化改革提质增效，增强内生动力。2025年改革深化提升行动已全部完成；三是推进地企合作共赢，拓宽发展空间。实现国企竞争力与地方经济发展双提升。县农开、文旅公司分别与遂宁企业签约，合资组建的四川源润能源开发有限责任公司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/>
        </w:rPr>
        <w:t>已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办理工商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/>
        </w:rPr>
        <w:t>登记手续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。县国投公司全年收入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18661.52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万元，利润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510.28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万元；全年上缴税收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1083.09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万元，同比增长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53.09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76" w:lineRule="exact"/>
        <w:ind w:leftChars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（四）强支撑优保障，跑出金融保险加速度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76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大力强化金融信贷支撑作用。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加强财政与金融协作，以政府投资有效带动社会投资。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一是聚焦信贷投放精准发力。加大对实体经济、涉农领域的信贷倾斜力度，通过简化审批流程、创新信贷产品等举措，切实降低企业融资门槛与成本，有效缓解企业融资压力。2025年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我县贷款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增速为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8.67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%；二是深化农业保险政策落地。优化政策性农业保险险种，扩大承保覆盖面，提升理赔效率，为农业生产筑牢风险“防护网”，稳定农业经营主体预期。2025年保险机构保费收入3375.2万元，完成全年目标任务103.54%；三是普惠金融精准落地。2025年上级下达普惠金融资金20.64万元，累计拨付6.29万元，主要用于返乡创业人员贷款贴息等方面，确保资金及时服务基层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（五）强化监督管理，提升财政管理效能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实现绩效管理全覆盖。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秉持“花钱必问效、无效必问责”理念，构建全过程、全覆盖的预算绩效管理体系。积极开展绩效目标会审工作，会审53个单位，476个项目，资金36997万元，共计审减资金20275万元。按照时间节点完成绩效监控、自评工作，实现了县级部门预算绩效目标全覆盖。积极开展财政重点资金绩效评价，评价涉及32个重点项目，评价资金18200万元；1个政策绩效评价，涉及资金75万元；6个部门整体，涉及资金5674万元；二是加强财会监督。全年共开展监督检查20余次，重点对乡镇财政资金使用情况、政府会计准则制度执行情况、国有企业会计准则执行情况等领域开展了监督检查，督促相关单位进行整改，进一步规范了我县的财经秩序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shd w:val="clear" w:color="auto" w:fill="FFFFFF"/>
        </w:rPr>
        <w:t>推动采购管理规范化。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强化政府采购全流程监管，严格执行事前备案制度，从源头规范采购程序；对照集中采购目录，在省政采网实施全流程电子化采购，确保各环节信息公开透明。邀请第三方机构开展公共交易领域政策法规及流程培训，强化采购人主体责任，提升采购效率。全年政府采购项目125宗，预算金额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12272.27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万元，实际采购金额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11717.71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万元，节约资金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554.56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万元，资金节约率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4.51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%。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FFFFFF"/>
        </w:rPr>
        <w:t>强化项目评审专业性</w:t>
      </w:r>
      <w:r>
        <w:rPr>
          <w:rFonts w:hint="default" w:ascii="Times New Roman" w:hAnsi="Times New Roman" w:eastAsia="仿宋_GB2312" w:cs="Times New Roman"/>
          <w:color w:val="auto"/>
          <w:w w:val="95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严格落实《理县政府投资管理办法》，依托财政评审综合系统推动评审业务规范化、科学化。2025全年完成财政评审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154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个项目，送审金额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62585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万元，审减额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6036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万元，审减率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9.64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%；全年完成结算审计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42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个项目，送审金额合计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33547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万元，审减金额合计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2080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万元，综合审减率为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6.2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%。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FFFFFF"/>
        </w:rPr>
        <w:t>筑牢风险防控底线强。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坚持底线思维，严格政府债务预算管理与限额管理，合理控制债务规模，强化债务统计分析与风险监控。规范专项债券管理，确保资金专款专用，加快项目建设进度以提升使用效益，保障债券资金投向精准、使用高效，切实防范化解财政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年，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县财政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将在县委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、县政府的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坚强领导下，自觉接受县人大及其常委会的监督指导，持续提升财政管理水平，全力稳收支、保民生、促发展、防风险，为全县经济社会高质量发展提供更加坚实的财政保障！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drawing>
          <wp:inline distT="0" distB="0" distL="114300" distR="114300">
            <wp:extent cx="152400" cy="152400"/>
            <wp:effectExtent l="0" t="0" r="0" b="0"/>
            <wp:docPr id="1" name="图片 1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instrText xml:space="preserve"> HYPERLINK "http://www.ablixian.gov.cn/lxrmzf/c102221/202210/19282dcbf3364a3c9437ff4eb53b2828/files/4c626f7b799c4cde84e38fac78dfc61f.xls" \t "http://www.ablixian.gov.cn/lxrmzf/c102221/202210/_blank" </w:instrTex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附件1：理县202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的政府决算信息公开表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drawing>
          <wp:inline distT="0" distB="0" distL="114300" distR="114300">
            <wp:extent cx="152400" cy="152400"/>
            <wp:effectExtent l="0" t="0" r="0" b="0"/>
            <wp:docPr id="2" name="图片 2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7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instrText xml:space="preserve"> HYPERLINK "http://www.ablixian.gov.cn/lxrmzf/c102221/202210/19282dcbf3364a3c9437ff4eb53b2828/files/9504e294bafd4785bdf58174aba02b46.doc" \t "http://www.ablixian.gov.cn/lxrmzf/c102221/202210/_blank" </w:instrTex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附件2：理县202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转移支付执行情况说明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drawing>
          <wp:inline distT="0" distB="0" distL="114300" distR="114300">
            <wp:extent cx="152400" cy="152400"/>
            <wp:effectExtent l="0" t="0" r="0" b="0"/>
            <wp:docPr id="3" name="图片 3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7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instrText xml:space="preserve"> HYPERLINK "http://www.ablixian.gov.cn/lxrmzf/c102221/202210/19282dcbf3364a3c9437ff4eb53b2828/files/c734e6200fab46b19bb617f736512d8a.doc" \t "http://www.ablixian.gov.cn/lxrmzf/c102221/202210/_blank" </w:instrTex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附件3：理县202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年举债政府债务情况说明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drawing>
          <wp:inline distT="0" distB="0" distL="114300" distR="114300">
            <wp:extent cx="152400" cy="152400"/>
            <wp:effectExtent l="0" t="0" r="0" b="0"/>
            <wp:docPr id="4" name="图片 4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7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instrText xml:space="preserve"> HYPERLINK "http://www.ablixian.gov.cn/lxrmzf/c102221/202210/19282dcbf3364a3c9437ff4eb53b2828/files/f114736942d5496c96d199627314d0b5.doc" \t "http://www.ablixian.gov.cn/lxrmzf/c102221/202210/_blank" </w:instrTex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附件4：理县202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年预算绩效工作开展情况说明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drawing>
          <wp:inline distT="0" distB="0" distL="114300" distR="114300">
            <wp:extent cx="152400" cy="152400"/>
            <wp:effectExtent l="0" t="0" r="0" b="0"/>
            <wp:docPr id="5" name="图片 5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7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instrText xml:space="preserve"> HYPERLINK "http://www.ablixian.gov.cn/lxrmzf/c102221/202210/19282dcbf3364a3c9437ff4eb53b2828/files/19b1a0f0b04646aabd4afdc3b16c61f0.doc" \t "http://www.ablixian.gov.cn/lxrmzf/c102221/202210/_blank" </w:instrTex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附件5：理县202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年一般公共预算“三公经费”决算执行情况说明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drawing>
          <wp:inline distT="0" distB="0" distL="114300" distR="114300">
            <wp:extent cx="152400" cy="152400"/>
            <wp:effectExtent l="0" t="0" r="0" b="0"/>
            <wp:docPr id="6" name="图片 6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7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instrText xml:space="preserve"> HYPERLINK "http://www.ablixian.gov.cn/lxrmzf/c102221/202210/19282dcbf3364a3c9437ff4eb53b2828/files/459186384e1e496aaa8982b3b17d776d.docx" \t "http://www.ablixian.gov.cn/lxrmzf/c102221/202210/_blank" </w:instrTex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附件6：理县202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年财政决算情况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fldChar w:fldCharType="end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841EA"/>
    <w:rsid w:val="0E7009DB"/>
    <w:rsid w:val="0ED268B3"/>
    <w:rsid w:val="137B67D9"/>
    <w:rsid w:val="1DE30432"/>
    <w:rsid w:val="2B4402B8"/>
    <w:rsid w:val="30AD10B9"/>
    <w:rsid w:val="50717B26"/>
    <w:rsid w:val="587E2B17"/>
    <w:rsid w:val="64B33657"/>
    <w:rsid w:val="76B0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2025-11-27T07:05:00Z</dcterms:created>
  <dc:creator>HP</dc:creator>
  <cp:lastModifiedBy>HP</cp:lastModifiedBy>
  <dcterms:modified xsi:type="dcterms:W3CDTF">2026-10-26T02:17:57Z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