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76" w:lineRule="exact"/>
        <w:ind w:left="0" w:leftChars="0" w:firstLine="0" w:firstLineChars="0"/>
        <w:jc w:val="center"/>
        <w:rPr>
          <w:rFonts w:eastAsia="方正小标宋_GBK"/>
          <w:color w:val="000000"/>
          <w:sz w:val="44"/>
          <w:szCs w:val="44"/>
        </w:rPr>
      </w:pPr>
      <w:r>
        <w:rPr>
          <w:rFonts w:hint="default" w:ascii="Times New Roman" w:hAnsi="Times New Roman" w:eastAsia="仿宋_GB2312" w:cs="Times New Roman"/>
          <w:sz w:val="32"/>
          <w:szCs w:val="32"/>
          <w:lang w:val="en-US" w:eastAsia="zh-CN" w:bidi="ar-SA"/>
        </w:rPr>
        <w:drawing>
          <wp:anchor distT="0" distB="0" distL="114300" distR="114300" simplePos="0" relativeHeight="251659264" behindDoc="1" locked="0" layoutInCell="1" allowOverlap="1">
            <wp:simplePos x="0" y="0"/>
            <wp:positionH relativeFrom="column">
              <wp:posOffset>-1184910</wp:posOffset>
            </wp:positionH>
            <wp:positionV relativeFrom="paragraph">
              <wp:posOffset>-2186305</wp:posOffset>
            </wp:positionV>
            <wp:extent cx="7698105" cy="10734675"/>
            <wp:effectExtent l="0" t="0" r="17145" b="9525"/>
            <wp:wrapNone/>
            <wp:docPr id="2" name="图片 1" descr="理府办（理府办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理府办（理府办发）"/>
                    <pic:cNvPicPr>
                      <a:picLocks noChangeAspect="1"/>
                    </pic:cNvPicPr>
                  </pic:nvPicPr>
                  <pic:blipFill>
                    <a:blip r:embed="rId5"/>
                    <a:stretch>
                      <a:fillRect/>
                    </a:stretch>
                  </pic:blipFill>
                  <pic:spPr>
                    <a:xfrm>
                      <a:off x="0" y="0"/>
                      <a:ext cx="7698105" cy="10734675"/>
                    </a:xfrm>
                    <a:prstGeom prst="rect">
                      <a:avLst/>
                    </a:prstGeom>
                    <a:noFill/>
                    <a:ln>
                      <a:noFill/>
                    </a:ln>
                  </pic:spPr>
                </pic:pic>
              </a:graphicData>
            </a:graphic>
          </wp:anchor>
        </w:drawing>
      </w:r>
    </w:p>
    <w:p>
      <w:pPr>
        <w:pStyle w:val="7"/>
        <w:spacing w:line="576" w:lineRule="exact"/>
        <w:ind w:left="0" w:leftChars="0" w:firstLine="0" w:firstLineChars="0"/>
        <w:jc w:val="center"/>
        <w:rPr>
          <w:rFonts w:eastAsia="方正小标宋_GBK"/>
          <w:color w:val="000000"/>
          <w:sz w:val="44"/>
          <w:szCs w:val="44"/>
        </w:rPr>
      </w:pPr>
    </w:p>
    <w:p>
      <w:pPr>
        <w:pStyle w:val="8"/>
        <w:spacing w:line="576" w:lineRule="exact"/>
        <w:rPr>
          <w:rFonts w:ascii="Times New Roman" w:hAnsi="Times New Roman" w:eastAsia="方正小标宋_GBK" w:cs="Times New Roman"/>
          <w:color w:val="000000"/>
          <w:sz w:val="44"/>
          <w:szCs w:val="44"/>
        </w:rPr>
      </w:pPr>
    </w:p>
    <w:p>
      <w:pPr>
        <w:pStyle w:val="4"/>
        <w:spacing w:line="576" w:lineRule="exact"/>
        <w:rPr>
          <w:rFonts w:ascii="Times New Roman" w:hAnsi="Times New Roman" w:cs="Times New Roman"/>
        </w:rPr>
      </w:pPr>
    </w:p>
    <w:p>
      <w:pPr>
        <w:pStyle w:val="7"/>
        <w:spacing w:line="576" w:lineRule="exact"/>
        <w:ind w:left="0" w:leftChars="0" w:firstLine="2880" w:firstLineChars="900"/>
        <w:jc w:val="left"/>
        <w:rPr>
          <w:rFonts w:eastAsia="方正仿宋_GBK"/>
          <w:sz w:val="32"/>
          <w:szCs w:val="32"/>
        </w:rPr>
      </w:pPr>
    </w:p>
    <w:p>
      <w:pPr>
        <w:pStyle w:val="7"/>
        <w:spacing w:line="576" w:lineRule="exact"/>
        <w:ind w:left="0" w:leftChars="0" w:firstLine="0" w:firstLineChars="0"/>
        <w:jc w:val="center"/>
        <w:rPr>
          <w:rFonts w:eastAsia="方正仿宋_GBK"/>
          <w:sz w:val="32"/>
          <w:szCs w:val="32"/>
        </w:rPr>
      </w:pPr>
      <w:r>
        <w:rPr>
          <w:rFonts w:eastAsia="方正仿宋_GBK"/>
          <w:sz w:val="32"/>
          <w:szCs w:val="32"/>
        </w:rPr>
        <w:t>理府办发</w:t>
      </w:r>
      <w:r>
        <w:rPr>
          <w:rFonts w:eastAsia="仿宋_GB2312"/>
          <w:sz w:val="32"/>
          <w:szCs w:val="32"/>
        </w:rPr>
        <w:t>〔202</w:t>
      </w:r>
      <w:r>
        <w:rPr>
          <w:rFonts w:hint="eastAsia" w:eastAsia="仿宋_GB2312"/>
          <w:sz w:val="32"/>
          <w:szCs w:val="32"/>
        </w:rPr>
        <w:t>2</w:t>
      </w:r>
      <w:r>
        <w:rPr>
          <w:rFonts w:eastAsia="仿宋_GB2312"/>
          <w:sz w:val="32"/>
          <w:szCs w:val="32"/>
        </w:rPr>
        <w:t>〕</w:t>
      </w:r>
      <w:r>
        <w:rPr>
          <w:rFonts w:hint="eastAsia" w:eastAsia="方正仿宋_GBK"/>
          <w:sz w:val="32"/>
          <w:szCs w:val="32"/>
          <w:lang w:val="en-US" w:eastAsia="zh-CN"/>
        </w:rPr>
        <w:t>135</w:t>
      </w:r>
      <w:r>
        <w:rPr>
          <w:rFonts w:eastAsia="方正仿宋_GBK"/>
          <w:sz w:val="32"/>
          <w:szCs w:val="32"/>
        </w:rPr>
        <w:t>号</w:t>
      </w:r>
    </w:p>
    <w:p>
      <w:pPr>
        <w:pStyle w:val="4"/>
        <w:spacing w:line="576" w:lineRule="exact"/>
        <w:ind w:left="0"/>
        <w:rPr>
          <w:rFonts w:ascii="Times New Roman" w:hAnsi="Times New Roman" w:cs="Times New Roman"/>
        </w:rPr>
      </w:pPr>
    </w:p>
    <w:p>
      <w:pPr>
        <w:pStyle w:val="7"/>
        <w:spacing w:line="576" w:lineRule="exact"/>
        <w:ind w:left="0" w:leftChars="0" w:firstLine="0" w:firstLineChars="0"/>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理县人民政府办公室</w:t>
      </w:r>
    </w:p>
    <w:p>
      <w:pPr>
        <w:spacing w:line="576"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z w:val="44"/>
          <w:szCs w:val="44"/>
        </w:rPr>
        <w:t>关于印发《</w:t>
      </w:r>
      <w:r>
        <w:rPr>
          <w:rFonts w:hint="eastAsia" w:ascii="方正小标宋简体" w:hAnsi="方正小标宋简体" w:eastAsia="方正小标宋简体" w:cs="方正小标宋简体"/>
          <w:sz w:val="44"/>
          <w:szCs w:val="44"/>
        </w:rPr>
        <w:t>理县“十四五”公共法律服务</w:t>
      </w:r>
    </w:p>
    <w:p>
      <w:pPr>
        <w:spacing w:line="576" w:lineRule="exact"/>
        <w:jc w:val="center"/>
        <w:rPr>
          <w:rFonts w:hint="eastAsia" w:ascii="方正小标宋简体" w:hAnsi="方正小标宋简体" w:eastAsia="方正小标宋简体" w:cs="方正小标宋简体"/>
          <w:color w:val="000000"/>
          <w:sz w:val="44"/>
          <w:szCs w:val="44"/>
        </w:rPr>
      </w:pPr>
      <w:bookmarkStart w:id="37" w:name="_GoBack"/>
      <w:bookmarkEnd w:id="37"/>
      <w:r>
        <w:rPr>
          <w:rFonts w:hint="eastAsia" w:ascii="方正小标宋简体" w:hAnsi="方正小标宋简体" w:eastAsia="方正小标宋简体" w:cs="方正小标宋简体"/>
          <w:sz w:val="44"/>
          <w:szCs w:val="44"/>
        </w:rPr>
        <w:t>体系建设规划（2021-2025）</w:t>
      </w:r>
      <w:r>
        <w:rPr>
          <w:rFonts w:hint="eastAsia" w:ascii="方正小标宋简体" w:hAnsi="方正小标宋简体" w:eastAsia="方正小标宋简体" w:cs="方正小标宋简体"/>
          <w:color w:val="000000"/>
          <w:sz w:val="44"/>
          <w:szCs w:val="44"/>
        </w:rPr>
        <w:t>》的通知</w:t>
      </w:r>
    </w:p>
    <w:p>
      <w:pPr>
        <w:pStyle w:val="8"/>
        <w:spacing w:line="576" w:lineRule="exact"/>
        <w:rPr>
          <w:rFonts w:ascii="Times New Roman" w:hAnsi="Times New Roman" w:eastAsia="方正仿宋_GBK" w:cs="Times New Roman"/>
          <w:sz w:val="32"/>
          <w:szCs w:val="32"/>
        </w:rPr>
      </w:pPr>
    </w:p>
    <w:p>
      <w:pPr>
        <w:pStyle w:val="8"/>
        <w:spacing w:line="576"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各乡镇人民政府、县级各部门：</w:t>
      </w:r>
    </w:p>
    <w:p>
      <w:pPr>
        <w:pStyle w:val="7"/>
        <w:spacing w:line="576" w:lineRule="exact"/>
        <w:ind w:left="0" w:leftChars="0" w:firstLine="640"/>
        <w:jc w:val="left"/>
        <w:rPr>
          <w:rFonts w:eastAsia="仿宋_GB2312"/>
          <w:color w:val="000000"/>
          <w:sz w:val="32"/>
          <w:szCs w:val="32"/>
        </w:rPr>
      </w:pPr>
      <w:r>
        <w:rPr>
          <w:rFonts w:eastAsia="仿宋_GB2312"/>
          <w:sz w:val="32"/>
          <w:szCs w:val="32"/>
        </w:rPr>
        <w:t>经县十四届人民政府第9次常务会议审议通过，现将《理县“十四五”公共法律服务体系建设规划（2021-2025）》</w:t>
      </w:r>
      <w:r>
        <w:rPr>
          <w:rFonts w:eastAsia="仿宋_GB2312"/>
          <w:color w:val="000000"/>
          <w:sz w:val="32"/>
          <w:szCs w:val="32"/>
        </w:rPr>
        <w:t>印发你们，请结合工作实际，认真组织实施。</w:t>
      </w:r>
    </w:p>
    <w:p>
      <w:pPr>
        <w:pStyle w:val="8"/>
        <w:spacing w:line="576" w:lineRule="exact"/>
        <w:rPr>
          <w:rFonts w:ascii="Times New Roman" w:hAnsi="Times New Roman" w:eastAsia="仿宋_GB2312" w:cs="Times New Roman"/>
          <w:color w:val="000000"/>
          <w:sz w:val="32"/>
          <w:szCs w:val="32"/>
        </w:rPr>
      </w:pPr>
    </w:p>
    <w:p>
      <w:pPr>
        <w:pStyle w:val="4"/>
        <w:spacing w:line="576" w:lineRule="exact"/>
        <w:rPr>
          <w:rFonts w:ascii="Times New Roman" w:hAnsi="Times New Roman" w:eastAsia="仿宋_GB2312" w:cs="Times New Roman"/>
          <w:sz w:val="32"/>
          <w:szCs w:val="32"/>
        </w:rPr>
      </w:pPr>
    </w:p>
    <w:p>
      <w:pPr>
        <w:pStyle w:val="4"/>
        <w:spacing w:line="576" w:lineRule="exact"/>
        <w:ind w:left="0"/>
        <w:jc w:val="center"/>
        <w:rPr>
          <w:rFonts w:ascii="Times New Roman" w:hAnsi="Times New Roman" w:eastAsia="仿宋_GB2312" w:cs="Times New Roman"/>
          <w:color w:val="000000"/>
          <w:sz w:val="32"/>
          <w:szCs w:val="32"/>
        </w:rPr>
      </w:pPr>
    </w:p>
    <w:p>
      <w:pPr>
        <w:spacing w:line="576" w:lineRule="exact"/>
        <w:jc w:val="center"/>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理县人民政府办公室</w:t>
      </w:r>
    </w:p>
    <w:p>
      <w:pPr>
        <w:pStyle w:val="20"/>
        <w:spacing w:line="576" w:lineRule="exact"/>
        <w:jc w:val="center"/>
        <w:rPr>
          <w:rFonts w:ascii="Times New Roman" w:hAnsi="Times New Roman" w:eastAsia="仿宋_GB2312"/>
          <w:sz w:val="32"/>
          <w:szCs w:val="32"/>
        </w:rPr>
      </w:pPr>
      <w:r>
        <w:rPr>
          <w:rFonts w:ascii="Times New Roman" w:hAnsi="Times New Roman" w:eastAsia="仿宋_GB2312"/>
          <w:sz w:val="32"/>
          <w:szCs w:val="32"/>
        </w:rPr>
        <w:t xml:space="preserve">                     2022年10月1</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日</w:t>
      </w:r>
    </w:p>
    <w:p>
      <w:pPr>
        <w:pStyle w:val="20"/>
        <w:spacing w:line="576" w:lineRule="exact"/>
        <w:jc w:val="center"/>
        <w:rPr>
          <w:rFonts w:ascii="Times New Roman" w:hAnsi="Times New Roman" w:eastAsia="方正仿宋_GBK"/>
          <w:sz w:val="32"/>
          <w:szCs w:val="32"/>
        </w:rPr>
      </w:pPr>
    </w:p>
    <w:p>
      <w:pPr>
        <w:rPr>
          <w:rFonts w:ascii="方正小标宋简体" w:hAnsi="方正小标宋简体" w:eastAsia="方正小标宋简体" w:cs="方正小标宋简体"/>
          <w:sz w:val="32"/>
          <w:szCs w:val="32"/>
        </w:rPr>
      </w:pPr>
    </w:p>
    <w:p>
      <w:pPr>
        <w:pStyle w:val="12"/>
        <w:ind w:left="1060" w:hanging="640"/>
        <w:rPr>
          <w:rFonts w:ascii="方正小标宋简体" w:hAnsi="方正小标宋简体" w:eastAsia="方正小标宋简体" w:cs="方正小标宋简体"/>
          <w:sz w:val="32"/>
          <w:szCs w:val="32"/>
        </w:rPr>
      </w:pPr>
    </w:p>
    <w:p>
      <w:pPr>
        <w:ind w:firstLine="440" w:firstLineChars="100"/>
        <w:rPr>
          <w:rFonts w:ascii="方正小标宋简体" w:hAnsi="方正小标宋简体" w:eastAsia="方正小标宋简体" w:cs="方正小标宋简体"/>
          <w:sz w:val="44"/>
          <w:szCs w:val="44"/>
        </w:rPr>
      </w:pPr>
    </w:p>
    <w:p>
      <w:pPr>
        <w:ind w:firstLine="440" w:firstLineChars="1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理县“十四五”公共法律服务体系</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建设规划（2021-2025）</w:t>
      </w:r>
    </w:p>
    <w:sdt>
      <w:sdtPr>
        <w:rPr>
          <w:rFonts w:hint="eastAsia" w:ascii="黑体" w:hAnsi="黑体" w:eastAsia="黑体" w:cs="黑体"/>
          <w:b/>
          <w:bCs/>
          <w:sz w:val="32"/>
          <w:szCs w:val="32"/>
        </w:rPr>
        <w:id w:val="147474552"/>
        <w:docPartObj>
          <w:docPartGallery w:val="Table of Contents"/>
          <w:docPartUnique/>
        </w:docPartObj>
      </w:sdtPr>
      <w:sdtEndPr>
        <w:rPr>
          <w:rFonts w:hint="eastAsia" w:ascii="黑体" w:hAnsi="黑体" w:eastAsia="黑体" w:cs="黑体"/>
          <w:b/>
          <w:bCs/>
          <w:sz w:val="21"/>
          <w:szCs w:val="32"/>
        </w:rPr>
      </w:sdtEndPr>
      <w:sdtContent>
        <w:p>
          <w:pPr>
            <w:jc w:val="center"/>
            <w:rPr>
              <w:rFonts w:ascii="黑体" w:hAnsi="黑体" w:eastAsia="黑体" w:cs="黑体"/>
              <w:b/>
              <w:bCs/>
              <w:sz w:val="32"/>
              <w:szCs w:val="32"/>
            </w:rPr>
          </w:pPr>
          <w:r>
            <w:rPr>
              <w:rFonts w:hint="eastAsia" w:ascii="黑体" w:hAnsi="黑体" w:eastAsia="黑体" w:cs="黑体"/>
              <w:b/>
              <w:bCs/>
              <w:sz w:val="32"/>
              <w:szCs w:val="32"/>
            </w:rPr>
            <w:t>目录</w:t>
          </w:r>
        </w:p>
        <w:p>
          <w:pPr>
            <w:pStyle w:val="18"/>
            <w:tabs>
              <w:tab w:val="right" w:leader="dot" w:pos="8306"/>
            </w:tabs>
            <w:rPr>
              <w:b/>
              <w:sz w:val="32"/>
              <w:szCs w:val="32"/>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TOC \o "1-2" \h \u </w:instrText>
          </w:r>
          <w:r>
            <w:rPr>
              <w:rFonts w:hint="eastAsia" w:ascii="黑体" w:hAnsi="黑体" w:eastAsia="黑体" w:cs="黑体"/>
              <w:sz w:val="32"/>
              <w:szCs w:val="32"/>
            </w:rPr>
            <w:fldChar w:fldCharType="separate"/>
          </w:r>
          <w:r>
            <w:fldChar w:fldCharType="begin"/>
          </w:r>
          <w:r>
            <w:instrText xml:space="preserve"> HYPERLINK \l "_Toc16920" </w:instrText>
          </w:r>
          <w:r>
            <w:fldChar w:fldCharType="separate"/>
          </w:r>
          <w:r>
            <w:rPr>
              <w:rFonts w:hint="eastAsia" w:ascii="黑体" w:hAnsi="黑体" w:eastAsia="黑体" w:cs="黑体"/>
              <w:b/>
              <w:bCs/>
              <w:sz w:val="32"/>
              <w:szCs w:val="32"/>
            </w:rPr>
            <w:t>第一章 规划背景</w:t>
          </w:r>
          <w:r>
            <w:rPr>
              <w:b/>
              <w:sz w:val="32"/>
              <w:szCs w:val="32"/>
            </w:rPr>
            <w:tab/>
          </w:r>
          <w:r>
            <w:rPr>
              <w:rFonts w:hint="eastAsia"/>
              <w:b/>
              <w:sz w:val="32"/>
              <w:szCs w:val="32"/>
            </w:rPr>
            <w:t>4</w:t>
          </w:r>
          <w:r>
            <w:rPr>
              <w:rFonts w:hint="eastAsia"/>
              <w:b/>
              <w:sz w:val="32"/>
              <w:szCs w:val="32"/>
            </w:rPr>
            <w:fldChar w:fldCharType="end"/>
          </w:r>
        </w:p>
        <w:p>
          <w:pPr>
            <w:pStyle w:val="19"/>
            <w:tabs>
              <w:tab w:val="right" w:leader="dot" w:pos="8306"/>
            </w:tabs>
            <w:ind w:left="420"/>
            <w:rPr>
              <w:sz w:val="32"/>
              <w:szCs w:val="32"/>
            </w:rPr>
          </w:pPr>
          <w:r>
            <w:fldChar w:fldCharType="begin"/>
          </w:r>
          <w:r>
            <w:instrText xml:space="preserve"> HYPERLINK \l "_Toc10766" </w:instrText>
          </w:r>
          <w:r>
            <w:fldChar w:fldCharType="separate"/>
          </w:r>
          <w:r>
            <w:rPr>
              <w:rFonts w:hint="eastAsia" w:ascii="楷体" w:hAnsi="楷体" w:eastAsia="楷体" w:cs="楷体"/>
              <w:bCs/>
              <w:sz w:val="32"/>
              <w:szCs w:val="32"/>
            </w:rPr>
            <w:t>第一节 发展基础</w:t>
          </w:r>
          <w:r>
            <w:rPr>
              <w:sz w:val="32"/>
              <w:szCs w:val="32"/>
            </w:rPr>
            <w:tab/>
          </w:r>
          <w:r>
            <w:rPr>
              <w:rFonts w:hint="eastAsia"/>
              <w:sz w:val="32"/>
              <w:szCs w:val="32"/>
            </w:rPr>
            <w:t>4</w:t>
          </w:r>
          <w:r>
            <w:rPr>
              <w:rFonts w:hint="eastAsia"/>
              <w:sz w:val="32"/>
              <w:szCs w:val="32"/>
            </w:rPr>
            <w:fldChar w:fldCharType="end"/>
          </w:r>
        </w:p>
        <w:p>
          <w:pPr>
            <w:pStyle w:val="19"/>
            <w:tabs>
              <w:tab w:val="right" w:leader="dot" w:pos="8306"/>
            </w:tabs>
            <w:ind w:left="420"/>
            <w:rPr>
              <w:sz w:val="32"/>
              <w:szCs w:val="32"/>
            </w:rPr>
          </w:pPr>
          <w:r>
            <w:fldChar w:fldCharType="begin"/>
          </w:r>
          <w:r>
            <w:instrText xml:space="preserve"> HYPERLINK \l "_Toc4106" </w:instrText>
          </w:r>
          <w:r>
            <w:fldChar w:fldCharType="separate"/>
          </w:r>
          <w:r>
            <w:rPr>
              <w:rFonts w:hint="eastAsia" w:ascii="楷体" w:hAnsi="楷体" w:eastAsia="楷体" w:cs="楷体"/>
              <w:bCs/>
              <w:sz w:val="32"/>
              <w:szCs w:val="32"/>
            </w:rPr>
            <w:t>第二节 面临形势</w:t>
          </w:r>
          <w:r>
            <w:rPr>
              <w:sz w:val="32"/>
              <w:szCs w:val="32"/>
            </w:rPr>
            <w:tab/>
          </w:r>
          <w:r>
            <w:rPr>
              <w:rFonts w:hint="eastAsia"/>
              <w:sz w:val="32"/>
              <w:szCs w:val="32"/>
            </w:rPr>
            <w:t>6</w:t>
          </w:r>
          <w:r>
            <w:rPr>
              <w:rFonts w:hint="eastAsia"/>
              <w:sz w:val="32"/>
              <w:szCs w:val="32"/>
            </w:rPr>
            <w:fldChar w:fldCharType="end"/>
          </w:r>
        </w:p>
        <w:p>
          <w:pPr>
            <w:pStyle w:val="18"/>
            <w:tabs>
              <w:tab w:val="right" w:leader="dot" w:pos="8306"/>
            </w:tabs>
            <w:rPr>
              <w:b/>
              <w:sz w:val="32"/>
              <w:szCs w:val="32"/>
            </w:rPr>
          </w:pPr>
          <w:r>
            <w:fldChar w:fldCharType="begin"/>
          </w:r>
          <w:r>
            <w:instrText xml:space="preserve"> HYPERLINK \l "_Toc11763" </w:instrText>
          </w:r>
          <w:r>
            <w:fldChar w:fldCharType="separate"/>
          </w:r>
          <w:r>
            <w:rPr>
              <w:rFonts w:hint="eastAsia" w:ascii="黑体" w:hAnsi="黑体" w:eastAsia="黑体" w:cs="黑体"/>
              <w:b/>
              <w:bCs/>
              <w:sz w:val="32"/>
              <w:szCs w:val="32"/>
            </w:rPr>
            <w:t>第二章  总体要求</w:t>
          </w:r>
          <w:r>
            <w:rPr>
              <w:b/>
              <w:sz w:val="32"/>
              <w:szCs w:val="32"/>
            </w:rPr>
            <w:tab/>
          </w:r>
          <w:r>
            <w:rPr>
              <w:rFonts w:hint="eastAsia"/>
              <w:b/>
              <w:sz w:val="32"/>
              <w:szCs w:val="32"/>
            </w:rPr>
            <w:t>7</w:t>
          </w:r>
          <w:r>
            <w:rPr>
              <w:rFonts w:hint="eastAsia"/>
              <w:b/>
              <w:sz w:val="32"/>
              <w:szCs w:val="32"/>
            </w:rPr>
            <w:fldChar w:fldCharType="end"/>
          </w:r>
        </w:p>
        <w:p>
          <w:pPr>
            <w:pStyle w:val="19"/>
            <w:tabs>
              <w:tab w:val="right" w:leader="dot" w:pos="8306"/>
            </w:tabs>
            <w:ind w:left="420"/>
            <w:rPr>
              <w:sz w:val="32"/>
              <w:szCs w:val="32"/>
            </w:rPr>
          </w:pPr>
          <w:r>
            <w:fldChar w:fldCharType="begin"/>
          </w:r>
          <w:r>
            <w:instrText xml:space="preserve"> HYPERLINK \l "_Toc10321" </w:instrText>
          </w:r>
          <w:r>
            <w:fldChar w:fldCharType="separate"/>
          </w:r>
          <w:r>
            <w:rPr>
              <w:rFonts w:hint="eastAsia" w:ascii="楷体" w:hAnsi="楷体" w:eastAsia="楷体" w:cs="楷体"/>
              <w:bCs/>
              <w:sz w:val="32"/>
              <w:szCs w:val="32"/>
            </w:rPr>
            <w:t>第一节  指导思想</w:t>
          </w:r>
          <w:r>
            <w:rPr>
              <w:sz w:val="32"/>
              <w:szCs w:val="32"/>
            </w:rPr>
            <w:tab/>
          </w:r>
          <w:r>
            <w:rPr>
              <w:rFonts w:hint="eastAsia"/>
              <w:sz w:val="32"/>
              <w:szCs w:val="32"/>
            </w:rPr>
            <w:t>7</w:t>
          </w:r>
          <w:r>
            <w:rPr>
              <w:rFonts w:hint="eastAsia"/>
              <w:sz w:val="32"/>
              <w:szCs w:val="32"/>
            </w:rPr>
            <w:fldChar w:fldCharType="end"/>
          </w:r>
        </w:p>
        <w:p>
          <w:pPr>
            <w:pStyle w:val="19"/>
            <w:tabs>
              <w:tab w:val="right" w:leader="dot" w:pos="8306"/>
            </w:tabs>
            <w:ind w:left="420"/>
            <w:rPr>
              <w:sz w:val="32"/>
              <w:szCs w:val="32"/>
            </w:rPr>
          </w:pPr>
          <w:r>
            <w:fldChar w:fldCharType="begin"/>
          </w:r>
          <w:r>
            <w:instrText xml:space="preserve"> HYPERLINK \l "_Toc12765" </w:instrText>
          </w:r>
          <w:r>
            <w:fldChar w:fldCharType="separate"/>
          </w:r>
          <w:r>
            <w:rPr>
              <w:rFonts w:hint="eastAsia" w:ascii="楷体" w:hAnsi="楷体" w:eastAsia="楷体" w:cs="楷体"/>
              <w:bCs/>
              <w:sz w:val="32"/>
              <w:szCs w:val="32"/>
            </w:rPr>
            <w:t>第二节  基本原则</w:t>
          </w:r>
          <w:r>
            <w:rPr>
              <w:sz w:val="32"/>
              <w:szCs w:val="32"/>
            </w:rPr>
            <w:tab/>
          </w:r>
          <w:r>
            <w:rPr>
              <w:rFonts w:hint="eastAsia"/>
              <w:sz w:val="32"/>
              <w:szCs w:val="32"/>
            </w:rPr>
            <w:t>7</w:t>
          </w:r>
          <w:r>
            <w:rPr>
              <w:rFonts w:hint="eastAsia"/>
              <w:sz w:val="32"/>
              <w:szCs w:val="32"/>
            </w:rPr>
            <w:fldChar w:fldCharType="end"/>
          </w:r>
        </w:p>
        <w:p>
          <w:pPr>
            <w:pStyle w:val="19"/>
            <w:tabs>
              <w:tab w:val="right" w:leader="dot" w:pos="8306"/>
            </w:tabs>
            <w:ind w:left="420"/>
            <w:rPr>
              <w:sz w:val="32"/>
              <w:szCs w:val="32"/>
            </w:rPr>
          </w:pPr>
          <w:r>
            <w:fldChar w:fldCharType="begin"/>
          </w:r>
          <w:r>
            <w:instrText xml:space="preserve"> HYPERLINK \l "_Toc3188" </w:instrText>
          </w:r>
          <w:r>
            <w:fldChar w:fldCharType="separate"/>
          </w:r>
          <w:r>
            <w:rPr>
              <w:rFonts w:hint="eastAsia" w:ascii="楷体" w:hAnsi="楷体" w:eastAsia="楷体" w:cs="楷体"/>
              <w:bCs/>
              <w:sz w:val="32"/>
              <w:szCs w:val="32"/>
            </w:rPr>
            <w:t>第三节  主要目标</w:t>
          </w:r>
          <w:r>
            <w:rPr>
              <w:sz w:val="32"/>
              <w:szCs w:val="32"/>
            </w:rPr>
            <w:tab/>
          </w:r>
          <w:r>
            <w:rPr>
              <w:rFonts w:hint="eastAsia"/>
              <w:sz w:val="32"/>
              <w:szCs w:val="32"/>
            </w:rPr>
            <w:t>8</w:t>
          </w:r>
          <w:r>
            <w:rPr>
              <w:rFonts w:hint="eastAsia"/>
              <w:sz w:val="32"/>
              <w:szCs w:val="32"/>
            </w:rPr>
            <w:fldChar w:fldCharType="end"/>
          </w:r>
        </w:p>
        <w:p>
          <w:pPr>
            <w:pStyle w:val="18"/>
            <w:tabs>
              <w:tab w:val="right" w:leader="dot" w:pos="8306"/>
            </w:tabs>
            <w:rPr>
              <w:b/>
              <w:sz w:val="32"/>
              <w:szCs w:val="32"/>
            </w:rPr>
          </w:pPr>
          <w:r>
            <w:fldChar w:fldCharType="begin"/>
          </w:r>
          <w:r>
            <w:instrText xml:space="preserve"> HYPERLINK \l "_Toc13163" </w:instrText>
          </w:r>
          <w:r>
            <w:fldChar w:fldCharType="separate"/>
          </w:r>
          <w:r>
            <w:rPr>
              <w:rFonts w:hint="eastAsia" w:ascii="方正黑体_GBK" w:hAnsi="方正黑体_GBK" w:eastAsia="方正黑体_GBK" w:cs="方正黑体_GBK"/>
              <w:b/>
              <w:bCs/>
              <w:sz w:val="32"/>
              <w:szCs w:val="32"/>
            </w:rPr>
            <w:t>第三章  夯实公共法律服务体系基层基础</w:t>
          </w:r>
          <w:r>
            <w:rPr>
              <w:b/>
              <w:sz w:val="32"/>
              <w:szCs w:val="32"/>
            </w:rPr>
            <w:tab/>
          </w:r>
          <w:r>
            <w:rPr>
              <w:rFonts w:hint="eastAsia"/>
              <w:b/>
              <w:sz w:val="32"/>
              <w:szCs w:val="32"/>
            </w:rPr>
            <w:t>9</w:t>
          </w:r>
          <w:r>
            <w:rPr>
              <w:rFonts w:hint="eastAsia"/>
              <w:b/>
              <w:sz w:val="32"/>
              <w:szCs w:val="32"/>
            </w:rPr>
            <w:fldChar w:fldCharType="end"/>
          </w:r>
        </w:p>
        <w:p>
          <w:pPr>
            <w:pStyle w:val="19"/>
            <w:tabs>
              <w:tab w:val="right" w:leader="dot" w:pos="8306"/>
            </w:tabs>
            <w:ind w:left="420"/>
            <w:rPr>
              <w:sz w:val="32"/>
              <w:szCs w:val="32"/>
            </w:rPr>
          </w:pPr>
          <w:r>
            <w:fldChar w:fldCharType="begin"/>
          </w:r>
          <w:r>
            <w:instrText xml:space="preserve"> HYPERLINK \l "_Toc1286" </w:instrText>
          </w:r>
          <w:r>
            <w:fldChar w:fldCharType="separate"/>
          </w:r>
          <w:r>
            <w:rPr>
              <w:rFonts w:hint="eastAsia" w:ascii="楷体" w:hAnsi="楷体" w:eastAsia="楷体" w:cs="楷体"/>
              <w:bCs/>
              <w:sz w:val="32"/>
              <w:szCs w:val="32"/>
            </w:rPr>
            <w:t>第一节  加强公共法律服务中心（平台）建设</w:t>
          </w:r>
          <w:r>
            <w:rPr>
              <w:sz w:val="32"/>
              <w:szCs w:val="32"/>
            </w:rPr>
            <w:tab/>
          </w:r>
          <w:r>
            <w:rPr>
              <w:rFonts w:hint="eastAsia"/>
              <w:sz w:val="32"/>
              <w:szCs w:val="32"/>
            </w:rPr>
            <w:t>9</w:t>
          </w:r>
          <w:r>
            <w:rPr>
              <w:rFonts w:hint="eastAsia"/>
              <w:sz w:val="32"/>
              <w:szCs w:val="32"/>
            </w:rPr>
            <w:fldChar w:fldCharType="end"/>
          </w:r>
        </w:p>
        <w:p>
          <w:pPr>
            <w:pStyle w:val="19"/>
            <w:tabs>
              <w:tab w:val="right" w:leader="dot" w:pos="8306"/>
            </w:tabs>
            <w:ind w:left="420"/>
            <w:rPr>
              <w:sz w:val="32"/>
              <w:szCs w:val="32"/>
            </w:rPr>
          </w:pPr>
          <w:r>
            <w:fldChar w:fldCharType="begin"/>
          </w:r>
          <w:r>
            <w:instrText xml:space="preserve"> HYPERLINK \l "_Toc15527" </w:instrText>
          </w:r>
          <w:r>
            <w:fldChar w:fldCharType="separate"/>
          </w:r>
          <w:r>
            <w:rPr>
              <w:rFonts w:hint="eastAsia" w:ascii="楷体" w:hAnsi="楷体" w:eastAsia="楷体" w:cs="楷体"/>
              <w:bCs/>
              <w:sz w:val="32"/>
              <w:szCs w:val="32"/>
            </w:rPr>
            <w:t>第二节  加强公共法律服务热线建设</w:t>
          </w:r>
          <w:r>
            <w:rPr>
              <w:sz w:val="32"/>
              <w:szCs w:val="32"/>
            </w:rPr>
            <w:tab/>
          </w:r>
          <w:r>
            <w:rPr>
              <w:rFonts w:hint="eastAsia"/>
              <w:sz w:val="32"/>
              <w:szCs w:val="32"/>
            </w:rPr>
            <w:t>1</w:t>
          </w:r>
          <w:r>
            <w:rPr>
              <w:rFonts w:hint="eastAsia"/>
              <w:sz w:val="32"/>
              <w:szCs w:val="32"/>
            </w:rPr>
            <w:fldChar w:fldCharType="end"/>
          </w:r>
          <w:r>
            <w:rPr>
              <w:rFonts w:hint="eastAsia" w:ascii="黑体" w:hAnsi="黑体" w:eastAsia="黑体" w:cs="黑体"/>
              <w:sz w:val="32"/>
              <w:szCs w:val="32"/>
            </w:rPr>
            <w:t>0</w:t>
          </w:r>
        </w:p>
        <w:p>
          <w:pPr>
            <w:pStyle w:val="19"/>
            <w:tabs>
              <w:tab w:val="right" w:leader="dot" w:pos="8306"/>
            </w:tabs>
            <w:ind w:left="420"/>
            <w:rPr>
              <w:sz w:val="32"/>
              <w:szCs w:val="32"/>
            </w:rPr>
          </w:pPr>
          <w:r>
            <w:fldChar w:fldCharType="begin"/>
          </w:r>
          <w:r>
            <w:instrText xml:space="preserve"> HYPERLINK \l "_Toc20636" </w:instrText>
          </w:r>
          <w:r>
            <w:fldChar w:fldCharType="separate"/>
          </w:r>
          <w:r>
            <w:rPr>
              <w:rFonts w:hint="eastAsia" w:ascii="楷体" w:hAnsi="楷体" w:eastAsia="楷体" w:cs="楷体"/>
              <w:bCs/>
              <w:sz w:val="32"/>
              <w:szCs w:val="32"/>
            </w:rPr>
            <w:t>第三节  加强公共法律服务网络平台建设</w:t>
          </w:r>
          <w:r>
            <w:rPr>
              <w:sz w:val="32"/>
              <w:szCs w:val="32"/>
            </w:rPr>
            <w:tab/>
          </w:r>
          <w:r>
            <w:rPr>
              <w:rFonts w:hint="eastAsia"/>
              <w:sz w:val="32"/>
              <w:szCs w:val="32"/>
            </w:rPr>
            <w:t>1</w:t>
          </w:r>
          <w:r>
            <w:rPr>
              <w:rFonts w:hint="eastAsia"/>
              <w:sz w:val="32"/>
              <w:szCs w:val="32"/>
            </w:rPr>
            <w:fldChar w:fldCharType="end"/>
          </w:r>
          <w:r>
            <w:rPr>
              <w:rFonts w:hint="eastAsia" w:ascii="黑体" w:hAnsi="黑体" w:eastAsia="黑体" w:cs="黑体"/>
              <w:sz w:val="32"/>
              <w:szCs w:val="32"/>
            </w:rPr>
            <w:t>0</w:t>
          </w:r>
        </w:p>
        <w:p>
          <w:pPr>
            <w:pStyle w:val="19"/>
            <w:tabs>
              <w:tab w:val="right" w:leader="dot" w:pos="8306"/>
            </w:tabs>
            <w:ind w:left="420"/>
            <w:rPr>
              <w:sz w:val="32"/>
              <w:szCs w:val="32"/>
            </w:rPr>
          </w:pPr>
          <w:r>
            <w:fldChar w:fldCharType="begin"/>
          </w:r>
          <w:r>
            <w:instrText xml:space="preserve"> HYPERLINK \l "_Toc25505" </w:instrText>
          </w:r>
          <w:r>
            <w:fldChar w:fldCharType="separate"/>
          </w:r>
          <w:r>
            <w:rPr>
              <w:rFonts w:hint="eastAsia" w:ascii="楷体" w:hAnsi="楷体" w:eastAsia="楷体" w:cs="楷体"/>
              <w:bCs/>
              <w:sz w:val="32"/>
              <w:szCs w:val="32"/>
            </w:rPr>
            <w:t>第四节  加快推进公共法律服务融合发展</w:t>
          </w:r>
          <w:r>
            <w:rPr>
              <w:sz w:val="32"/>
              <w:szCs w:val="32"/>
            </w:rPr>
            <w:tab/>
          </w:r>
          <w:r>
            <w:rPr>
              <w:rFonts w:hint="eastAsia"/>
              <w:sz w:val="32"/>
              <w:szCs w:val="32"/>
            </w:rPr>
            <w:t xml:space="preserve">11 </w:t>
          </w:r>
          <w:r>
            <w:rPr>
              <w:rFonts w:hint="eastAsia"/>
              <w:sz w:val="32"/>
              <w:szCs w:val="32"/>
            </w:rPr>
            <w:fldChar w:fldCharType="end"/>
          </w:r>
        </w:p>
        <w:p>
          <w:pPr>
            <w:pStyle w:val="19"/>
            <w:tabs>
              <w:tab w:val="right" w:leader="dot" w:pos="8306"/>
            </w:tabs>
            <w:ind w:left="420"/>
            <w:rPr>
              <w:sz w:val="32"/>
              <w:szCs w:val="32"/>
            </w:rPr>
          </w:pPr>
          <w:r>
            <w:fldChar w:fldCharType="begin"/>
          </w:r>
          <w:r>
            <w:instrText xml:space="preserve"> HYPERLINK \l "_Toc32660" </w:instrText>
          </w:r>
          <w:r>
            <w:fldChar w:fldCharType="separate"/>
          </w:r>
          <w:r>
            <w:rPr>
              <w:rFonts w:hint="eastAsia" w:ascii="楷体" w:hAnsi="楷体" w:eastAsia="楷体" w:cs="楷体"/>
              <w:bCs/>
              <w:sz w:val="32"/>
              <w:szCs w:val="32"/>
            </w:rPr>
            <w:t>第五节  加强公共法律服务科技信息化建设</w:t>
          </w:r>
          <w:r>
            <w:rPr>
              <w:sz w:val="32"/>
              <w:szCs w:val="32"/>
            </w:rPr>
            <w:tab/>
          </w:r>
          <w:r>
            <w:rPr>
              <w:rFonts w:hint="eastAsia"/>
              <w:sz w:val="32"/>
              <w:szCs w:val="32"/>
            </w:rPr>
            <w:t>1</w:t>
          </w:r>
          <w:r>
            <w:rPr>
              <w:rFonts w:hint="eastAsia"/>
              <w:sz w:val="32"/>
              <w:szCs w:val="32"/>
            </w:rPr>
            <w:fldChar w:fldCharType="end"/>
          </w:r>
          <w:r>
            <w:rPr>
              <w:rFonts w:hint="eastAsia" w:ascii="黑体" w:hAnsi="黑体" w:eastAsia="黑体" w:cs="黑体"/>
              <w:sz w:val="32"/>
              <w:szCs w:val="32"/>
            </w:rPr>
            <w:t>2</w:t>
          </w:r>
        </w:p>
        <w:p>
          <w:pPr>
            <w:pStyle w:val="18"/>
            <w:tabs>
              <w:tab w:val="right" w:leader="dot" w:pos="8306"/>
            </w:tabs>
            <w:rPr>
              <w:b/>
              <w:sz w:val="32"/>
              <w:szCs w:val="32"/>
            </w:rPr>
          </w:pPr>
          <w:r>
            <w:fldChar w:fldCharType="begin"/>
          </w:r>
          <w:r>
            <w:instrText xml:space="preserve"> HYPERLINK \l "_Toc2788" </w:instrText>
          </w:r>
          <w:r>
            <w:fldChar w:fldCharType="separate"/>
          </w:r>
          <w:r>
            <w:rPr>
              <w:rFonts w:hint="eastAsia" w:ascii="方正黑体_GBK" w:hAnsi="方正黑体_GBK" w:eastAsia="方正黑体_GBK" w:cs="方正黑体_GBK"/>
              <w:b/>
              <w:bCs/>
              <w:sz w:val="32"/>
              <w:szCs w:val="32"/>
            </w:rPr>
            <w:t>第四章  创新公共法律服务产品供给</w:t>
          </w:r>
          <w:r>
            <w:rPr>
              <w:b/>
              <w:sz w:val="32"/>
              <w:szCs w:val="32"/>
            </w:rPr>
            <w:tab/>
          </w:r>
          <w:r>
            <w:rPr>
              <w:b/>
              <w:sz w:val="32"/>
              <w:szCs w:val="32"/>
            </w:rPr>
            <w:fldChar w:fldCharType="begin"/>
          </w:r>
          <w:r>
            <w:rPr>
              <w:b/>
              <w:sz w:val="32"/>
              <w:szCs w:val="32"/>
            </w:rPr>
            <w:instrText xml:space="preserve"> PAGEREF _Toc2788 \h </w:instrText>
          </w:r>
          <w:r>
            <w:rPr>
              <w:b/>
              <w:sz w:val="32"/>
              <w:szCs w:val="32"/>
            </w:rPr>
            <w:fldChar w:fldCharType="separate"/>
          </w:r>
          <w:r>
            <w:rPr>
              <w:b/>
              <w:sz w:val="32"/>
              <w:szCs w:val="32"/>
            </w:rPr>
            <w:t>1</w:t>
          </w:r>
          <w:r>
            <w:rPr>
              <w:rFonts w:hint="eastAsia"/>
              <w:b/>
              <w:sz w:val="32"/>
              <w:szCs w:val="32"/>
            </w:rPr>
            <w:t>4</w:t>
          </w:r>
          <w:r>
            <w:rPr>
              <w:b/>
              <w:sz w:val="32"/>
              <w:szCs w:val="32"/>
            </w:rPr>
            <w:fldChar w:fldCharType="end"/>
          </w:r>
          <w:r>
            <w:rPr>
              <w:b/>
              <w:sz w:val="32"/>
              <w:szCs w:val="32"/>
            </w:rPr>
            <w:fldChar w:fldCharType="end"/>
          </w:r>
        </w:p>
        <w:p>
          <w:pPr>
            <w:pStyle w:val="19"/>
            <w:tabs>
              <w:tab w:val="right" w:leader="dot" w:pos="8306"/>
            </w:tabs>
            <w:ind w:left="420"/>
            <w:rPr>
              <w:sz w:val="32"/>
              <w:szCs w:val="32"/>
            </w:rPr>
          </w:pPr>
          <w:r>
            <w:fldChar w:fldCharType="begin"/>
          </w:r>
          <w:r>
            <w:instrText xml:space="preserve"> HYPERLINK \l "_Toc8514" </w:instrText>
          </w:r>
          <w:r>
            <w:fldChar w:fldCharType="separate"/>
          </w:r>
          <w:r>
            <w:rPr>
              <w:rFonts w:hint="eastAsia" w:ascii="楷体" w:hAnsi="楷体" w:eastAsia="楷体" w:cs="楷体"/>
              <w:bCs/>
              <w:sz w:val="32"/>
              <w:szCs w:val="32"/>
            </w:rPr>
            <w:t>第一节  提升普法工作质效</w:t>
          </w:r>
          <w:r>
            <w:rPr>
              <w:sz w:val="32"/>
              <w:szCs w:val="32"/>
            </w:rPr>
            <w:tab/>
          </w:r>
          <w:r>
            <w:rPr>
              <w:sz w:val="32"/>
              <w:szCs w:val="32"/>
            </w:rPr>
            <w:fldChar w:fldCharType="begin"/>
          </w:r>
          <w:r>
            <w:rPr>
              <w:sz w:val="32"/>
              <w:szCs w:val="32"/>
            </w:rPr>
            <w:instrText xml:space="preserve"> PAGEREF _Toc8514 \h </w:instrText>
          </w:r>
          <w:r>
            <w:rPr>
              <w:sz w:val="32"/>
              <w:szCs w:val="32"/>
            </w:rPr>
            <w:fldChar w:fldCharType="separate"/>
          </w:r>
          <w:r>
            <w:rPr>
              <w:sz w:val="32"/>
              <w:szCs w:val="32"/>
            </w:rPr>
            <w:t>1</w:t>
          </w:r>
          <w:r>
            <w:rPr>
              <w:rFonts w:hint="eastAsia"/>
              <w:sz w:val="32"/>
              <w:szCs w:val="32"/>
            </w:rPr>
            <w:t>4</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"_Toc25480" </w:instrText>
          </w:r>
          <w:r>
            <w:fldChar w:fldCharType="separate"/>
          </w:r>
          <w:r>
            <w:rPr>
              <w:rFonts w:hint="eastAsia" w:ascii="楷体" w:hAnsi="楷体" w:eastAsia="楷体" w:cs="楷体"/>
              <w:bCs/>
              <w:sz w:val="32"/>
              <w:szCs w:val="32"/>
            </w:rPr>
            <w:t>第二节  加强法律援助工作</w:t>
          </w:r>
          <w:r>
            <w:rPr>
              <w:sz w:val="32"/>
              <w:szCs w:val="32"/>
            </w:rPr>
            <w:tab/>
          </w:r>
          <w:r>
            <w:rPr>
              <w:sz w:val="32"/>
              <w:szCs w:val="32"/>
            </w:rPr>
            <w:fldChar w:fldCharType="begin"/>
          </w:r>
          <w:r>
            <w:rPr>
              <w:sz w:val="32"/>
              <w:szCs w:val="32"/>
            </w:rPr>
            <w:instrText xml:space="preserve"> PAGEREF _Toc25480 \h </w:instrText>
          </w:r>
          <w:r>
            <w:rPr>
              <w:sz w:val="32"/>
              <w:szCs w:val="32"/>
            </w:rPr>
            <w:fldChar w:fldCharType="separate"/>
          </w:r>
          <w:r>
            <w:rPr>
              <w:sz w:val="32"/>
              <w:szCs w:val="32"/>
            </w:rPr>
            <w:t>1</w:t>
          </w:r>
          <w:r>
            <w:rPr>
              <w:rFonts w:hint="eastAsia"/>
              <w:sz w:val="32"/>
              <w:szCs w:val="32"/>
            </w:rPr>
            <w:t>7</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"_Toc8218" </w:instrText>
          </w:r>
          <w:r>
            <w:fldChar w:fldCharType="separate"/>
          </w:r>
          <w:r>
            <w:rPr>
              <w:rFonts w:hint="eastAsia" w:ascii="楷体" w:hAnsi="楷体" w:eastAsia="楷体" w:cs="楷体"/>
              <w:bCs/>
              <w:sz w:val="32"/>
              <w:szCs w:val="32"/>
            </w:rPr>
            <w:t>第三节  创新升级新时代人民调解工作</w:t>
          </w:r>
          <w:r>
            <w:rPr>
              <w:sz w:val="32"/>
              <w:szCs w:val="32"/>
            </w:rPr>
            <w:tab/>
          </w:r>
          <w:r>
            <w:rPr>
              <w:sz w:val="32"/>
              <w:szCs w:val="32"/>
            </w:rPr>
            <w:fldChar w:fldCharType="begin"/>
          </w:r>
          <w:r>
            <w:rPr>
              <w:sz w:val="32"/>
              <w:szCs w:val="32"/>
            </w:rPr>
            <w:instrText xml:space="preserve"> PAGEREF _Toc8218 \h </w:instrText>
          </w:r>
          <w:r>
            <w:rPr>
              <w:sz w:val="32"/>
              <w:szCs w:val="32"/>
            </w:rPr>
            <w:fldChar w:fldCharType="separate"/>
          </w:r>
          <w:r>
            <w:rPr>
              <w:sz w:val="32"/>
              <w:szCs w:val="32"/>
            </w:rPr>
            <w:t>1</w:t>
          </w:r>
          <w:r>
            <w:rPr>
              <w:rFonts w:hint="eastAsia"/>
              <w:sz w:val="32"/>
              <w:szCs w:val="32"/>
            </w:rPr>
            <w:t>8</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"_Toc8715" </w:instrText>
          </w:r>
          <w:r>
            <w:fldChar w:fldCharType="separate"/>
          </w:r>
          <w:r>
            <w:rPr>
              <w:rFonts w:hint="eastAsia" w:ascii="楷体" w:hAnsi="楷体" w:eastAsia="楷体" w:cs="楷体"/>
              <w:bCs/>
              <w:sz w:val="32"/>
              <w:szCs w:val="32"/>
            </w:rPr>
            <w:t>第四节  优化律师法律服务</w:t>
          </w:r>
          <w:r>
            <w:rPr>
              <w:sz w:val="32"/>
              <w:szCs w:val="32"/>
            </w:rPr>
            <w:tab/>
          </w:r>
          <w:r>
            <w:rPr>
              <w:rFonts w:hint="eastAsia"/>
              <w:sz w:val="32"/>
              <w:szCs w:val="32"/>
            </w:rPr>
            <w:t>1</w:t>
          </w:r>
          <w:r>
            <w:rPr>
              <w:rFonts w:hint="eastAsia"/>
              <w:sz w:val="32"/>
              <w:szCs w:val="32"/>
            </w:rPr>
            <w:fldChar w:fldCharType="end"/>
          </w:r>
          <w:r>
            <w:rPr>
              <w:rFonts w:hint="eastAsia" w:ascii="黑体" w:hAnsi="黑体" w:eastAsia="黑体" w:cs="黑体"/>
              <w:sz w:val="32"/>
              <w:szCs w:val="32"/>
            </w:rPr>
            <w:t>9</w:t>
          </w:r>
        </w:p>
        <w:p>
          <w:pPr>
            <w:pStyle w:val="19"/>
            <w:tabs>
              <w:tab w:val="right" w:leader="dot" w:pos="8306"/>
            </w:tabs>
            <w:ind w:left="420"/>
            <w:rPr>
              <w:sz w:val="32"/>
              <w:szCs w:val="32"/>
            </w:rPr>
          </w:pPr>
          <w:r>
            <w:fldChar w:fldCharType="begin"/>
          </w:r>
          <w:r>
            <w:instrText xml:space="preserve"> HYPERLINK \l "_Toc27927" </w:instrText>
          </w:r>
          <w:r>
            <w:fldChar w:fldCharType="separate"/>
          </w:r>
          <w:r>
            <w:rPr>
              <w:rFonts w:hint="eastAsia" w:ascii="楷体" w:hAnsi="楷体" w:eastAsia="楷体" w:cs="楷体"/>
              <w:bCs/>
              <w:sz w:val="32"/>
              <w:szCs w:val="32"/>
            </w:rPr>
            <w:t>第五节  拓展公证服务业务领域</w:t>
          </w:r>
          <w:r>
            <w:rPr>
              <w:sz w:val="32"/>
              <w:szCs w:val="32"/>
            </w:rPr>
            <w:tab/>
          </w:r>
          <w:r>
            <w:rPr>
              <w:rFonts w:hint="eastAsia"/>
              <w:sz w:val="32"/>
              <w:szCs w:val="32"/>
            </w:rPr>
            <w:t>2</w:t>
          </w:r>
          <w:r>
            <w:rPr>
              <w:rFonts w:hint="eastAsia"/>
              <w:sz w:val="32"/>
              <w:szCs w:val="32"/>
            </w:rPr>
            <w:fldChar w:fldCharType="end"/>
          </w:r>
          <w:r>
            <w:rPr>
              <w:rFonts w:hint="eastAsia" w:ascii="黑体" w:hAnsi="黑体" w:eastAsia="黑体" w:cs="黑体"/>
              <w:sz w:val="32"/>
              <w:szCs w:val="32"/>
            </w:rPr>
            <w:t>0</w:t>
          </w:r>
        </w:p>
        <w:p>
          <w:pPr>
            <w:pStyle w:val="19"/>
            <w:tabs>
              <w:tab w:val="right" w:leader="dot" w:pos="8306"/>
            </w:tabs>
            <w:ind w:left="420"/>
            <w:rPr>
              <w:rFonts w:ascii="黑体" w:hAnsi="黑体" w:eastAsia="黑体" w:cs="黑体"/>
              <w:sz w:val="32"/>
              <w:szCs w:val="32"/>
            </w:rPr>
          </w:pPr>
          <w:r>
            <w:fldChar w:fldCharType="begin"/>
          </w:r>
          <w:r>
            <w:instrText xml:space="preserve"> HYPERLINK \l "_Toc5771" </w:instrText>
          </w:r>
          <w:r>
            <w:fldChar w:fldCharType="separate"/>
          </w:r>
          <w:r>
            <w:fldChar w:fldCharType="end"/>
          </w:r>
          <w:r>
            <w:fldChar w:fldCharType="begin"/>
          </w:r>
          <w:r>
            <w:instrText xml:space="preserve"> HYPERLINK \l "_Toc14617" </w:instrText>
          </w:r>
          <w:r>
            <w:fldChar w:fldCharType="separate"/>
          </w:r>
          <w:r>
            <w:rPr>
              <w:rFonts w:hint="eastAsia" w:ascii="楷体" w:hAnsi="楷体" w:eastAsia="楷体" w:cs="楷体"/>
              <w:bCs/>
              <w:sz w:val="32"/>
              <w:szCs w:val="32"/>
            </w:rPr>
            <w:t>第六节  推进司法鉴定行业高质量发展</w:t>
          </w:r>
          <w:r>
            <w:rPr>
              <w:sz w:val="32"/>
              <w:szCs w:val="32"/>
            </w:rPr>
            <w:tab/>
          </w:r>
          <w:r>
            <w:rPr>
              <w:rFonts w:hint="eastAsia"/>
              <w:sz w:val="32"/>
              <w:szCs w:val="32"/>
            </w:rPr>
            <w:t>2</w:t>
          </w:r>
          <w:r>
            <w:rPr>
              <w:rFonts w:hint="eastAsia"/>
              <w:sz w:val="32"/>
              <w:szCs w:val="32"/>
            </w:rPr>
            <w:fldChar w:fldCharType="end"/>
          </w:r>
          <w:r>
            <w:rPr>
              <w:rFonts w:hint="eastAsia" w:ascii="黑体" w:hAnsi="黑体" w:eastAsia="黑体" w:cs="黑体"/>
              <w:sz w:val="32"/>
              <w:szCs w:val="32"/>
            </w:rPr>
            <w:t>0</w:t>
          </w:r>
        </w:p>
        <w:p>
          <w:pPr>
            <w:pStyle w:val="19"/>
            <w:tabs>
              <w:tab w:val="right" w:leader="dot" w:pos="8306"/>
            </w:tabs>
            <w:ind w:left="420"/>
            <w:rPr>
              <w:sz w:val="32"/>
              <w:szCs w:val="32"/>
            </w:rPr>
          </w:pPr>
          <w:r>
            <w:fldChar w:fldCharType="begin"/>
          </w:r>
          <w:r>
            <w:instrText xml:space="preserve"> HYPERLINK \l "_Toc17112" </w:instrText>
          </w:r>
          <w:r>
            <w:fldChar w:fldCharType="separate"/>
          </w:r>
          <w:r>
            <w:rPr>
              <w:rFonts w:hint="eastAsia" w:ascii="楷体" w:hAnsi="楷体" w:eastAsia="楷体" w:cs="楷体"/>
              <w:bCs/>
              <w:sz w:val="32"/>
              <w:szCs w:val="32"/>
            </w:rPr>
            <w:t>第七节  深化仲裁机构发展改革</w:t>
          </w:r>
          <w:r>
            <w:rPr>
              <w:sz w:val="32"/>
              <w:szCs w:val="32"/>
            </w:rPr>
            <w:tab/>
          </w:r>
          <w:r>
            <w:rPr>
              <w:sz w:val="32"/>
              <w:szCs w:val="32"/>
            </w:rPr>
            <w:fldChar w:fldCharType="end"/>
          </w:r>
          <w:r>
            <w:rPr>
              <w:rFonts w:hint="eastAsia" w:ascii="黑体" w:hAnsi="黑体" w:eastAsia="黑体" w:cs="黑体"/>
              <w:sz w:val="32"/>
              <w:szCs w:val="32"/>
            </w:rPr>
            <w:t>20</w:t>
          </w:r>
        </w:p>
        <w:p>
          <w:pPr>
            <w:pStyle w:val="19"/>
            <w:tabs>
              <w:tab w:val="right" w:leader="dot" w:pos="8306"/>
            </w:tabs>
            <w:ind w:left="420"/>
            <w:rPr>
              <w:rFonts w:ascii="黑体" w:hAnsi="黑体" w:eastAsia="黑体" w:cs="黑体"/>
              <w:sz w:val="32"/>
              <w:szCs w:val="32"/>
            </w:rPr>
          </w:pPr>
          <w:r>
            <w:fldChar w:fldCharType="begin"/>
          </w:r>
          <w:r>
            <w:instrText xml:space="preserve"> HYPERLINK \l "_Toc14617" </w:instrText>
          </w:r>
          <w:r>
            <w:fldChar w:fldCharType="separate"/>
          </w:r>
          <w:r>
            <w:rPr>
              <w:rFonts w:hint="eastAsia" w:ascii="楷体" w:hAnsi="楷体" w:eastAsia="楷体" w:cs="楷体"/>
              <w:bCs/>
              <w:sz w:val="32"/>
              <w:szCs w:val="32"/>
            </w:rPr>
            <w:t>第八节  服务基层依法治理</w:t>
          </w:r>
          <w:r>
            <w:rPr>
              <w:sz w:val="32"/>
              <w:szCs w:val="32"/>
            </w:rPr>
            <w:tab/>
          </w:r>
          <w:r>
            <w:rPr>
              <w:rFonts w:hint="eastAsia"/>
              <w:sz w:val="32"/>
              <w:szCs w:val="32"/>
            </w:rPr>
            <w:t>2</w:t>
          </w:r>
          <w:r>
            <w:rPr>
              <w:rFonts w:hint="eastAsia"/>
              <w:sz w:val="32"/>
              <w:szCs w:val="32"/>
            </w:rPr>
            <w:fldChar w:fldCharType="end"/>
          </w:r>
          <w:r>
            <w:rPr>
              <w:rFonts w:hint="eastAsia" w:ascii="黑体" w:hAnsi="黑体" w:eastAsia="黑体" w:cs="黑体"/>
              <w:sz w:val="32"/>
              <w:szCs w:val="32"/>
            </w:rPr>
            <w:t>1</w:t>
          </w:r>
        </w:p>
        <w:p>
          <w:pPr>
            <w:pStyle w:val="18"/>
            <w:tabs>
              <w:tab w:val="right" w:leader="dot" w:pos="8306"/>
            </w:tabs>
            <w:rPr>
              <w:b/>
              <w:sz w:val="32"/>
              <w:szCs w:val="32"/>
            </w:rPr>
          </w:pPr>
          <w:r>
            <w:fldChar w:fldCharType="begin"/>
          </w:r>
          <w:r>
            <w:instrText xml:space="preserve"> HYPERLINK \l "_Toc1553" </w:instrText>
          </w:r>
          <w:r>
            <w:fldChar w:fldCharType="separate"/>
          </w:r>
          <w:r>
            <w:rPr>
              <w:rFonts w:hint="eastAsia" w:ascii="方正黑体_GBK" w:hAnsi="方正黑体_GBK" w:eastAsia="方正黑体_GBK" w:cs="方正黑体_GBK"/>
              <w:b/>
              <w:bCs/>
              <w:sz w:val="32"/>
              <w:szCs w:val="32"/>
            </w:rPr>
            <w:t>第五章  推进公共法律服务均衡发展</w:t>
          </w:r>
          <w:r>
            <w:rPr>
              <w:b/>
              <w:sz w:val="32"/>
              <w:szCs w:val="32"/>
            </w:rPr>
            <w:tab/>
          </w:r>
          <w:r>
            <w:rPr>
              <w:rFonts w:hint="eastAsia"/>
              <w:b/>
              <w:sz w:val="32"/>
              <w:szCs w:val="32"/>
            </w:rPr>
            <w:t>2</w:t>
          </w:r>
          <w:r>
            <w:rPr>
              <w:rFonts w:hint="eastAsia"/>
              <w:b/>
              <w:sz w:val="32"/>
              <w:szCs w:val="32"/>
            </w:rPr>
            <w:fldChar w:fldCharType="end"/>
          </w:r>
          <w:r>
            <w:rPr>
              <w:rFonts w:hint="eastAsia" w:ascii="黑体" w:hAnsi="黑体" w:eastAsia="黑体" w:cs="黑体"/>
              <w:b/>
              <w:sz w:val="32"/>
              <w:szCs w:val="32"/>
            </w:rPr>
            <w:t>2</w:t>
          </w:r>
        </w:p>
        <w:p>
          <w:pPr>
            <w:pStyle w:val="19"/>
            <w:tabs>
              <w:tab w:val="right" w:leader="dot" w:pos="8306"/>
            </w:tabs>
            <w:ind w:left="420"/>
            <w:rPr>
              <w:sz w:val="32"/>
              <w:szCs w:val="32"/>
            </w:rPr>
          </w:pPr>
          <w:r>
            <w:fldChar w:fldCharType="begin"/>
          </w:r>
          <w:r>
            <w:instrText xml:space="preserve"> HYPERLINK \l "_Toc22559" </w:instrText>
          </w:r>
          <w:r>
            <w:fldChar w:fldCharType="separate"/>
          </w:r>
          <w:r>
            <w:rPr>
              <w:rFonts w:hint="eastAsia" w:ascii="楷体" w:hAnsi="楷体" w:eastAsia="楷体" w:cs="楷体"/>
              <w:bCs/>
              <w:sz w:val="32"/>
              <w:szCs w:val="32"/>
            </w:rPr>
            <w:t>第一节  加强公共法律服务能力建设</w:t>
          </w:r>
          <w:r>
            <w:rPr>
              <w:sz w:val="32"/>
              <w:szCs w:val="32"/>
            </w:rPr>
            <w:tab/>
          </w:r>
          <w:r>
            <w:rPr>
              <w:sz w:val="32"/>
              <w:szCs w:val="32"/>
            </w:rPr>
            <w:fldChar w:fldCharType="begin"/>
          </w:r>
          <w:r>
            <w:rPr>
              <w:sz w:val="32"/>
              <w:szCs w:val="32"/>
            </w:rPr>
            <w:instrText xml:space="preserve"> PAGEREF _Toc22559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"_Toc6005" </w:instrText>
          </w:r>
          <w:r>
            <w:fldChar w:fldCharType="separate"/>
          </w:r>
          <w:r>
            <w:rPr>
              <w:rFonts w:hint="eastAsia" w:ascii="楷体" w:hAnsi="楷体" w:eastAsia="楷体" w:cs="楷体"/>
              <w:bCs/>
              <w:sz w:val="32"/>
              <w:szCs w:val="32"/>
            </w:rPr>
            <w:t>第二节  拓宽公共法律服务供给领域</w:t>
          </w:r>
          <w:r>
            <w:rPr>
              <w:sz w:val="32"/>
              <w:szCs w:val="32"/>
            </w:rPr>
            <w:tab/>
          </w:r>
          <w:r>
            <w:rPr>
              <w:rFonts w:hint="eastAsia"/>
              <w:sz w:val="32"/>
              <w:szCs w:val="32"/>
            </w:rPr>
            <w:t>2</w:t>
          </w:r>
          <w:r>
            <w:rPr>
              <w:rFonts w:hint="eastAsia"/>
              <w:sz w:val="32"/>
              <w:szCs w:val="32"/>
            </w:rPr>
            <w:fldChar w:fldCharType="end"/>
          </w:r>
          <w:r>
            <w:rPr>
              <w:rFonts w:hint="eastAsia" w:ascii="黑体" w:hAnsi="黑体" w:eastAsia="黑体" w:cs="黑体"/>
              <w:sz w:val="32"/>
              <w:szCs w:val="32"/>
            </w:rPr>
            <w:t>3</w:t>
          </w:r>
        </w:p>
        <w:p>
          <w:pPr>
            <w:pStyle w:val="18"/>
            <w:tabs>
              <w:tab w:val="right" w:leader="dot" w:pos="8306"/>
            </w:tabs>
            <w:rPr>
              <w:b/>
              <w:sz w:val="32"/>
              <w:szCs w:val="32"/>
            </w:rPr>
          </w:pPr>
          <w:r>
            <w:fldChar w:fldCharType="begin"/>
          </w:r>
          <w:r>
            <w:instrText xml:space="preserve"> HYPERLINK \l "_Toc7303" </w:instrText>
          </w:r>
          <w:r>
            <w:fldChar w:fldCharType="separate"/>
          </w:r>
          <w:r>
            <w:rPr>
              <w:rFonts w:hint="eastAsia" w:ascii="方正黑体_GBK" w:hAnsi="方正黑体_GBK" w:eastAsia="方正黑体_GBK" w:cs="方正黑体_GBK"/>
              <w:b/>
              <w:bCs/>
              <w:sz w:val="32"/>
              <w:szCs w:val="32"/>
            </w:rPr>
            <w:t>第六章  健全实施保障</w:t>
          </w:r>
          <w:r>
            <w:rPr>
              <w:b/>
              <w:sz w:val="32"/>
              <w:szCs w:val="32"/>
            </w:rPr>
            <w:tab/>
          </w:r>
          <w:r>
            <w:rPr>
              <w:b/>
              <w:sz w:val="32"/>
              <w:szCs w:val="32"/>
            </w:rPr>
            <w:fldChar w:fldCharType="begin"/>
          </w:r>
          <w:r>
            <w:rPr>
              <w:b/>
              <w:sz w:val="32"/>
              <w:szCs w:val="32"/>
            </w:rPr>
            <w:instrText xml:space="preserve"> PAGEREF _Toc7303 \h </w:instrText>
          </w:r>
          <w:r>
            <w:rPr>
              <w:b/>
              <w:sz w:val="32"/>
              <w:szCs w:val="32"/>
            </w:rPr>
            <w:fldChar w:fldCharType="separate"/>
          </w:r>
          <w:r>
            <w:rPr>
              <w:b/>
              <w:sz w:val="32"/>
              <w:szCs w:val="32"/>
            </w:rPr>
            <w:t>2</w:t>
          </w:r>
          <w:r>
            <w:rPr>
              <w:rFonts w:hint="eastAsia"/>
              <w:b/>
              <w:sz w:val="32"/>
              <w:szCs w:val="32"/>
            </w:rPr>
            <w:t>5</w:t>
          </w:r>
          <w:r>
            <w:rPr>
              <w:b/>
              <w:sz w:val="32"/>
              <w:szCs w:val="32"/>
            </w:rPr>
            <w:fldChar w:fldCharType="end"/>
          </w:r>
          <w:r>
            <w:rPr>
              <w:b/>
              <w:sz w:val="32"/>
              <w:szCs w:val="32"/>
            </w:rPr>
            <w:fldChar w:fldCharType="end"/>
          </w:r>
        </w:p>
        <w:p>
          <w:pPr>
            <w:pStyle w:val="19"/>
            <w:tabs>
              <w:tab w:val="right" w:leader="dot" w:pos="8306"/>
            </w:tabs>
            <w:ind w:left="420"/>
            <w:rPr>
              <w:sz w:val="32"/>
              <w:szCs w:val="32"/>
            </w:rPr>
          </w:pPr>
          <w:r>
            <w:fldChar w:fldCharType="begin"/>
          </w:r>
          <w:r>
            <w:instrText xml:space="preserve"> HYPERLINK \l "_Toc7369" </w:instrText>
          </w:r>
          <w:r>
            <w:fldChar w:fldCharType="separate"/>
          </w:r>
          <w:r>
            <w:rPr>
              <w:rFonts w:hint="eastAsia" w:ascii="楷体" w:hAnsi="楷体" w:eastAsia="楷体" w:cs="楷体"/>
              <w:bCs/>
              <w:sz w:val="32"/>
              <w:szCs w:val="32"/>
            </w:rPr>
            <w:t>第一节  加强组织领导</w:t>
          </w:r>
          <w:r>
            <w:rPr>
              <w:sz w:val="32"/>
              <w:szCs w:val="32"/>
            </w:rPr>
            <w:tab/>
          </w:r>
          <w:r>
            <w:rPr>
              <w:sz w:val="32"/>
              <w:szCs w:val="32"/>
            </w:rPr>
            <w:fldChar w:fldCharType="begin"/>
          </w:r>
          <w:r>
            <w:rPr>
              <w:sz w:val="32"/>
              <w:szCs w:val="32"/>
            </w:rPr>
            <w:instrText xml:space="preserve"> PAGEREF _Toc7369 \h </w:instrText>
          </w:r>
          <w:r>
            <w:rPr>
              <w:sz w:val="32"/>
              <w:szCs w:val="32"/>
            </w:rPr>
            <w:fldChar w:fldCharType="separate"/>
          </w:r>
          <w:r>
            <w:rPr>
              <w:sz w:val="32"/>
              <w:szCs w:val="32"/>
            </w:rPr>
            <w:t>2</w:t>
          </w:r>
          <w:r>
            <w:rPr>
              <w:rFonts w:hint="eastAsia"/>
              <w:sz w:val="32"/>
              <w:szCs w:val="32"/>
            </w:rPr>
            <w:t>5</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"_Toc20888" </w:instrText>
          </w:r>
          <w:r>
            <w:fldChar w:fldCharType="separate"/>
          </w:r>
          <w:r>
            <w:rPr>
              <w:rFonts w:hint="eastAsia" w:ascii="楷体" w:hAnsi="楷体" w:eastAsia="楷体" w:cs="楷体"/>
              <w:bCs/>
              <w:sz w:val="32"/>
              <w:szCs w:val="32"/>
            </w:rPr>
            <w:t>第二节  加强统筹协调</w:t>
          </w:r>
          <w:r>
            <w:rPr>
              <w:sz w:val="32"/>
              <w:szCs w:val="32"/>
            </w:rPr>
            <w:tab/>
          </w:r>
          <w:r>
            <w:rPr>
              <w:rFonts w:hint="eastAsia"/>
              <w:sz w:val="32"/>
              <w:szCs w:val="32"/>
            </w:rPr>
            <w:t>2</w:t>
          </w:r>
          <w:r>
            <w:rPr>
              <w:rFonts w:hint="eastAsia"/>
              <w:sz w:val="32"/>
              <w:szCs w:val="32"/>
            </w:rPr>
            <w:fldChar w:fldCharType="end"/>
          </w:r>
          <w:r>
            <w:rPr>
              <w:rFonts w:hint="eastAsia" w:ascii="黑体" w:hAnsi="黑体" w:eastAsia="黑体" w:cs="黑体"/>
              <w:sz w:val="32"/>
              <w:szCs w:val="32"/>
            </w:rPr>
            <w:t>5</w:t>
          </w:r>
        </w:p>
        <w:p>
          <w:pPr>
            <w:pStyle w:val="19"/>
            <w:tabs>
              <w:tab w:val="right" w:leader="dot" w:pos="8306"/>
            </w:tabs>
            <w:ind w:left="420"/>
            <w:rPr>
              <w:sz w:val="32"/>
              <w:szCs w:val="32"/>
            </w:rPr>
          </w:pPr>
          <w:r>
            <w:fldChar w:fldCharType="begin"/>
          </w:r>
          <w:r>
            <w:instrText xml:space="preserve"> HYPERLINK \l "_Toc31900" </w:instrText>
          </w:r>
          <w:r>
            <w:fldChar w:fldCharType="separate"/>
          </w:r>
          <w:r>
            <w:rPr>
              <w:rFonts w:hint="eastAsia" w:ascii="楷体" w:hAnsi="楷体" w:eastAsia="楷体" w:cs="楷体"/>
              <w:sz w:val="32"/>
              <w:szCs w:val="32"/>
            </w:rPr>
            <w:t>第三节  加强基础保障</w:t>
          </w:r>
          <w:r>
            <w:rPr>
              <w:sz w:val="32"/>
              <w:szCs w:val="32"/>
            </w:rPr>
            <w:tab/>
          </w:r>
          <w:r>
            <w:rPr>
              <w:sz w:val="32"/>
              <w:szCs w:val="32"/>
            </w:rPr>
            <w:fldChar w:fldCharType="begin"/>
          </w:r>
          <w:r>
            <w:rPr>
              <w:sz w:val="32"/>
              <w:szCs w:val="32"/>
            </w:rPr>
            <w:instrText xml:space="preserve"> PAGEREF _Toc31900 \h </w:instrText>
          </w:r>
          <w:r>
            <w:rPr>
              <w:sz w:val="32"/>
              <w:szCs w:val="32"/>
            </w:rPr>
            <w:fldChar w:fldCharType="separate"/>
          </w:r>
          <w:r>
            <w:rPr>
              <w:sz w:val="32"/>
              <w:szCs w:val="32"/>
            </w:rPr>
            <w:t>2</w:t>
          </w:r>
          <w:r>
            <w:rPr>
              <w:rFonts w:hint="eastAsia"/>
              <w:sz w:val="32"/>
              <w:szCs w:val="32"/>
            </w:rPr>
            <w:t>6</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"_Toc8362" </w:instrText>
          </w:r>
          <w:r>
            <w:fldChar w:fldCharType="separate"/>
          </w:r>
          <w:r>
            <w:rPr>
              <w:rFonts w:hint="eastAsia" w:ascii="楷体" w:hAnsi="楷体" w:eastAsia="楷体" w:cs="楷体"/>
              <w:bCs/>
              <w:sz w:val="32"/>
              <w:szCs w:val="32"/>
            </w:rPr>
            <w:t>第四节  加强人才保障</w:t>
          </w:r>
          <w:r>
            <w:rPr>
              <w:sz w:val="32"/>
              <w:szCs w:val="32"/>
            </w:rPr>
            <w:tab/>
          </w:r>
          <w:r>
            <w:rPr>
              <w:sz w:val="32"/>
              <w:szCs w:val="32"/>
            </w:rPr>
            <w:fldChar w:fldCharType="begin"/>
          </w:r>
          <w:r>
            <w:rPr>
              <w:sz w:val="32"/>
              <w:szCs w:val="32"/>
            </w:rPr>
            <w:instrText xml:space="preserve"> PAGEREF _Toc8362 \h </w:instrText>
          </w:r>
          <w:r>
            <w:rPr>
              <w:sz w:val="32"/>
              <w:szCs w:val="32"/>
            </w:rPr>
            <w:fldChar w:fldCharType="separate"/>
          </w:r>
          <w:r>
            <w:rPr>
              <w:sz w:val="32"/>
              <w:szCs w:val="32"/>
            </w:rPr>
            <w:t>2</w:t>
          </w:r>
          <w:r>
            <w:rPr>
              <w:rFonts w:hint="eastAsia"/>
              <w:sz w:val="32"/>
              <w:szCs w:val="32"/>
            </w:rPr>
            <w:t>6</w:t>
          </w:r>
          <w:r>
            <w:rPr>
              <w:sz w:val="32"/>
              <w:szCs w:val="32"/>
            </w:rPr>
            <w:fldChar w:fldCharType="end"/>
          </w:r>
          <w:r>
            <w:rPr>
              <w:sz w:val="32"/>
              <w:szCs w:val="32"/>
            </w:rPr>
            <w:fldChar w:fldCharType="end"/>
          </w:r>
        </w:p>
        <w:p>
          <w:pPr>
            <w:pStyle w:val="19"/>
            <w:tabs>
              <w:tab w:val="right" w:leader="dot" w:pos="8306"/>
            </w:tabs>
            <w:ind w:left="420"/>
            <w:rPr>
              <w:sz w:val="32"/>
              <w:szCs w:val="32"/>
            </w:rPr>
          </w:pPr>
          <w:r>
            <w:fldChar w:fldCharType="begin"/>
          </w:r>
          <w:r>
            <w:instrText xml:space="preserve"> HYPERLINK \l "_Toc222" </w:instrText>
          </w:r>
          <w:r>
            <w:fldChar w:fldCharType="separate"/>
          </w:r>
          <w:r>
            <w:rPr>
              <w:rFonts w:hint="eastAsia" w:ascii="楷体" w:hAnsi="楷体" w:eastAsia="楷体" w:cs="楷体"/>
              <w:bCs/>
              <w:sz w:val="32"/>
              <w:szCs w:val="32"/>
            </w:rPr>
            <w:t>第五节  加强监测评估</w:t>
          </w:r>
          <w:r>
            <w:rPr>
              <w:sz w:val="32"/>
              <w:szCs w:val="32"/>
            </w:rPr>
            <w:tab/>
          </w:r>
          <w:r>
            <w:rPr>
              <w:sz w:val="32"/>
              <w:szCs w:val="32"/>
            </w:rPr>
            <w:fldChar w:fldCharType="begin"/>
          </w:r>
          <w:r>
            <w:rPr>
              <w:sz w:val="32"/>
              <w:szCs w:val="32"/>
            </w:rPr>
            <w:instrText xml:space="preserve"> PAGEREF _Toc222 \h </w:instrText>
          </w:r>
          <w:r>
            <w:rPr>
              <w:sz w:val="32"/>
              <w:szCs w:val="32"/>
            </w:rPr>
            <w:fldChar w:fldCharType="separate"/>
          </w:r>
          <w:r>
            <w:rPr>
              <w:sz w:val="32"/>
              <w:szCs w:val="32"/>
            </w:rPr>
            <w:t>2</w:t>
          </w:r>
          <w:r>
            <w:rPr>
              <w:rFonts w:hint="eastAsia"/>
              <w:sz w:val="32"/>
              <w:szCs w:val="32"/>
            </w:rPr>
            <w:t>7</w:t>
          </w:r>
          <w:r>
            <w:rPr>
              <w:sz w:val="32"/>
              <w:szCs w:val="32"/>
            </w:rPr>
            <w:fldChar w:fldCharType="end"/>
          </w:r>
          <w:r>
            <w:rPr>
              <w:sz w:val="32"/>
              <w:szCs w:val="32"/>
            </w:rPr>
            <w:fldChar w:fldCharType="end"/>
          </w:r>
        </w:p>
        <w:p>
          <w:pPr>
            <w:jc w:val="center"/>
            <w:rPr>
              <w:rFonts w:ascii="黑体" w:hAnsi="黑体" w:eastAsia="黑体" w:cs="黑体"/>
              <w:sz w:val="32"/>
              <w:szCs w:val="32"/>
            </w:rPr>
          </w:pPr>
          <w:r>
            <w:rPr>
              <w:rFonts w:hint="eastAsia" w:ascii="黑体" w:hAnsi="黑体" w:eastAsia="黑体" w:cs="黑体"/>
              <w:b/>
              <w:sz w:val="32"/>
              <w:szCs w:val="32"/>
            </w:rPr>
            <w:fldChar w:fldCharType="end"/>
          </w:r>
        </w:p>
      </w:sdtContent>
    </w:sdt>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pStyle w:val="12"/>
        <w:ind w:left="1060" w:hanging="640"/>
        <w:rPr>
          <w:rFonts w:ascii="仿宋_GB2312" w:hAnsi="仿宋_GB2312" w:eastAsia="仿宋_GB2312" w:cs="仿宋_GB2312"/>
          <w:sz w:val="32"/>
          <w:szCs w:val="32"/>
        </w:rPr>
      </w:pPr>
    </w:p>
    <w:p/>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法律服务是政府公共职能的重要组成部分，是保障和改善民生的重要举措，是全面依法治国的基础性、服务性和保障性工作。推进公共法律服务体系建设，对于更好满足广大人民群众日益增长的美好生活需要，提高国家治理体系和治理能力现代化水平具有重要意义。根据《阿坝州“十四五”公共法律服务体系建设规划》、《理县国民经济和社会发展第十四个五年规划和二○三五年远景目标纲要》等有关要求，编制本规划。</w:t>
      </w:r>
    </w:p>
    <w:p>
      <w:pPr>
        <w:pStyle w:val="5"/>
        <w:rPr>
          <w:rFonts w:ascii="仿宋_GB2312" w:hAnsi="仿宋_GB2312" w:eastAsia="仿宋_GB2312" w:cs="仿宋_GB2312"/>
          <w:sz w:val="32"/>
          <w:szCs w:val="32"/>
        </w:rPr>
      </w:pPr>
    </w:p>
    <w:p>
      <w:pPr>
        <w:numPr>
          <w:ilvl w:val="0"/>
          <w:numId w:val="1"/>
        </w:numPr>
        <w:ind w:firstLine="640"/>
        <w:jc w:val="center"/>
        <w:outlineLvl w:val="0"/>
        <w:rPr>
          <w:rFonts w:ascii="黑体" w:hAnsi="黑体" w:eastAsia="黑体" w:cs="黑体"/>
          <w:b/>
          <w:bCs/>
          <w:sz w:val="32"/>
          <w:szCs w:val="32"/>
        </w:rPr>
      </w:pPr>
      <w:bookmarkStart w:id="0" w:name="_Toc16920"/>
      <w:r>
        <w:rPr>
          <w:rFonts w:hint="eastAsia" w:ascii="黑体" w:hAnsi="黑体" w:eastAsia="黑体" w:cs="黑体"/>
          <w:b/>
          <w:bCs/>
          <w:sz w:val="32"/>
          <w:szCs w:val="32"/>
        </w:rPr>
        <w:t>规划背景</w:t>
      </w:r>
      <w:bookmarkEnd w:id="0"/>
    </w:p>
    <w:p>
      <w:pPr>
        <w:pStyle w:val="5"/>
      </w:pPr>
    </w:p>
    <w:p>
      <w:pPr>
        <w:numPr>
          <w:ilvl w:val="0"/>
          <w:numId w:val="2"/>
        </w:numPr>
        <w:outlineLvl w:val="1"/>
        <w:rPr>
          <w:rFonts w:ascii="楷体" w:hAnsi="楷体" w:eastAsia="楷体" w:cs="楷体"/>
          <w:b/>
          <w:bCs/>
          <w:sz w:val="32"/>
          <w:szCs w:val="32"/>
        </w:rPr>
      </w:pPr>
      <w:bookmarkStart w:id="1" w:name="_Toc10766"/>
      <w:r>
        <w:rPr>
          <w:rFonts w:hint="eastAsia" w:ascii="楷体" w:hAnsi="楷体" w:eastAsia="楷体" w:cs="楷体"/>
          <w:b/>
          <w:bCs/>
          <w:sz w:val="32"/>
          <w:szCs w:val="32"/>
        </w:rPr>
        <w:t>发展基础</w:t>
      </w:r>
      <w:bookmarkEnd w:id="1"/>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“十三五”期间，全县公共法律服务体系建设持续深入推进，覆盖城乡的公共法律服务体系基本建成，法律服务行业迅速发展，公共法律服务供给能力明显增强，人民群众的法治获得感和满意度显著提升。</w:t>
      </w:r>
    </w:p>
    <w:p>
      <w:pPr>
        <w:ind w:firstLine="642"/>
        <w:rPr>
          <w:rFonts w:ascii="方正仿宋_GBK" w:hAnsi="方正仿宋_GBK" w:eastAsia="方正仿宋_GBK" w:cs="方正仿宋_GBK"/>
          <w:sz w:val="32"/>
          <w:szCs w:val="32"/>
          <w:shd w:val="clear" w:color="auto" w:fill="FFFFFF"/>
        </w:rPr>
      </w:pPr>
      <w:r>
        <w:rPr>
          <w:rFonts w:hint="eastAsia" w:ascii="仿宋_GB2312" w:hAnsi="仿宋_GB2312" w:eastAsia="仿宋_GB2312" w:cs="仿宋_GB2312"/>
          <w:b/>
          <w:bCs/>
          <w:sz w:val="32"/>
          <w:szCs w:val="32"/>
        </w:rPr>
        <w:t>覆盖城乡的公共法律服务体系基本建成。</w:t>
      </w:r>
      <w:r>
        <w:rPr>
          <w:rFonts w:hint="eastAsia" w:ascii="仿宋_GB2312" w:hAnsi="仿宋_GB2312" w:eastAsia="仿宋_GB2312" w:cs="仿宋_GB2312"/>
          <w:sz w:val="32"/>
          <w:szCs w:val="32"/>
        </w:rPr>
        <w:t>实体平台建设逐步完善，热线咨询数量较快增长，网络平台服务效率稳步提升。全县建成1个公共法律服务中心、11个公共法律服务工作站、71个公共法律服务工作室，实现县、乡、村三级实体公共法律服务平台全覆盖。“12348”公共法律服务热线24小时响应，发挥了接受群众法律咨询、宣传法律知识、疏导群众情绪、指导群众维权的综合平台作用。</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法律服务行业健康快速发展。</w:t>
      </w:r>
      <w:r>
        <w:rPr>
          <w:rFonts w:hint="eastAsia" w:ascii="仿宋_GB2312" w:hAnsi="仿宋_GB2312" w:eastAsia="仿宋_GB2312" w:cs="仿宋_GB2312"/>
          <w:sz w:val="32"/>
          <w:szCs w:val="32"/>
        </w:rPr>
        <w:t>律师行业发展增速，公证行业活力增强，法律服务领域不断拓宽，服务质量和公信力不断提升，新时代大调解工作格局基本形成。理县法律援助中心目前在编2人，法律援助律师2人。2020年以来，共接待法律来信来访咨询453人次，办理各类法律援助案件共计34件（其中民事4件【老年人1件】，刑事30件）。全县建立各级人民调解、专业性行业性调解组织94个，其中乡镇调委会11个，村调委会63个，社区调委会8个，企事业单位调委会7个，专业性行业性人民调委会5个，有调解人员489人，各级人民调解组织规范建设率100%，常态运行平台机制健全。</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公共法律服务供给能力稳步提升。</w:t>
      </w:r>
      <w:r>
        <w:rPr>
          <w:rFonts w:hint="eastAsia" w:ascii="仿宋_GB2312" w:hAnsi="仿宋_GB2312" w:eastAsia="仿宋_GB2312" w:cs="仿宋_GB2312"/>
          <w:sz w:val="32"/>
          <w:szCs w:val="32"/>
        </w:rPr>
        <w:t>截至2020年底，全县法律政策图书室（角）105个，法治广场公园长廊7个。全县共开展普法宣传活动230余次，法治讲座120余次。法律援助提质增效，“智慧公共法律服务”等平台建设工作稳步推进，刑事案件律师辩护全覆盖、律师调解、公证“最多跑一次”等改革试点取得良好成效。</w:t>
      </w:r>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十三五”时期，全县公共法律服务体系建设仍然存在短板和不足：个别部门对公共法律服务体系建设认识还不到位；公共法律服务标准体系尚未建立，部门共同参与机制尚未形成；公共法律服务供给不平衡不充分，公共法律服务资源、人才短缺问题突出；优质法律服务资源不足；公共法律服务信息化建设滞后，服务精准性有待提高。</w:t>
      </w:r>
    </w:p>
    <w:p>
      <w:pPr>
        <w:pStyle w:val="5"/>
      </w:pPr>
    </w:p>
    <w:p>
      <w:pPr>
        <w:numPr>
          <w:ilvl w:val="0"/>
          <w:numId w:val="2"/>
        </w:numPr>
        <w:outlineLvl w:val="1"/>
        <w:rPr>
          <w:rFonts w:ascii="楷体" w:hAnsi="楷体" w:eastAsia="楷体" w:cs="楷体"/>
          <w:b/>
          <w:bCs/>
          <w:sz w:val="32"/>
          <w:szCs w:val="32"/>
        </w:rPr>
      </w:pPr>
      <w:bookmarkStart w:id="2" w:name="_Toc4106"/>
      <w:r>
        <w:rPr>
          <w:rFonts w:hint="eastAsia" w:ascii="楷体" w:hAnsi="楷体" w:eastAsia="楷体" w:cs="楷体"/>
          <w:b/>
          <w:bCs/>
          <w:sz w:val="32"/>
          <w:szCs w:val="32"/>
        </w:rPr>
        <w:t>面临形势</w:t>
      </w:r>
      <w:bookmarkEnd w:id="2"/>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十四五”时期，全县公共法律服务体系建设面临新的机遇和挑战。深刻复杂变化的发展环境对公共法律服务作用发挥提出新要求。随着改革发展任务艰巨繁重，社会治理风险挑战增多，城乡形态深刻重塑、社会结构深刻变化、利益格局深刻调整，迫切需要充分发挥公共法律服务职能作用，不断提升治理效能。</w:t>
      </w:r>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历史性跨越的新阶段赋予公共法律服务体系建设新使命。全县处于全面开启建设社会主义现代化新征程，实现高质量发展、高质量建成“一廊两区三地四片五县”的关键时期，经济社会高质量发展需要高质量公共法律服务护航。</w:t>
      </w:r>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人民群众对美好生活的向往为公共法律服务供给提出新要求。全县经济社会发展水平迈上新台阶，人民生活水平实现新跨越。人民群众在民主、法治、公平、正义、安全、环境等方面的需求日益增长，需要公共法律服务供给更加充分、优质、便捷。</w:t>
      </w:r>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广泛应用的新技术为公共法律服务供给侧改革提供新支撑。以云计算、大数据、人工智能等为代表的新技术不断涌现，新型基础设施建设普及加快，有效提升精准服务、主动响应的公共法律服务供给能力，有利于实现从“人找服务”到“服务找人”的转变。</w:t>
      </w:r>
    </w:p>
    <w:p>
      <w:pPr>
        <w:pStyle w:val="5"/>
      </w:pPr>
    </w:p>
    <w:p>
      <w:pPr>
        <w:numPr>
          <w:ilvl w:val="0"/>
          <w:numId w:val="1"/>
        </w:numPr>
        <w:ind w:firstLine="640"/>
        <w:jc w:val="center"/>
        <w:outlineLvl w:val="0"/>
        <w:rPr>
          <w:rFonts w:ascii="黑体" w:hAnsi="黑体" w:eastAsia="黑体" w:cs="黑体"/>
          <w:b/>
          <w:bCs/>
          <w:sz w:val="32"/>
          <w:szCs w:val="32"/>
        </w:rPr>
      </w:pPr>
      <w:bookmarkStart w:id="3" w:name="_Toc11763"/>
      <w:r>
        <w:rPr>
          <w:rFonts w:hint="eastAsia" w:ascii="黑体" w:hAnsi="黑体" w:eastAsia="黑体" w:cs="黑体"/>
          <w:b/>
          <w:bCs/>
          <w:sz w:val="32"/>
          <w:szCs w:val="32"/>
        </w:rPr>
        <w:t xml:space="preserve"> 总体要求</w:t>
      </w:r>
      <w:bookmarkEnd w:id="3"/>
    </w:p>
    <w:p>
      <w:pPr>
        <w:ind w:firstLine="3213" w:firstLineChars="1000"/>
        <w:outlineLvl w:val="1"/>
        <w:rPr>
          <w:rFonts w:ascii="楷体" w:hAnsi="楷体" w:eastAsia="楷体" w:cs="楷体"/>
          <w:b/>
          <w:bCs/>
          <w:sz w:val="32"/>
          <w:szCs w:val="32"/>
        </w:rPr>
      </w:pPr>
      <w:bookmarkStart w:id="4" w:name="_Toc10321"/>
      <w:r>
        <w:rPr>
          <w:rFonts w:hint="eastAsia" w:ascii="楷体" w:hAnsi="楷体" w:eastAsia="楷体" w:cs="楷体"/>
          <w:b/>
          <w:bCs/>
          <w:sz w:val="32"/>
          <w:szCs w:val="32"/>
        </w:rPr>
        <w:t>第一节  指导思想</w:t>
      </w:r>
      <w:bookmarkEnd w:id="4"/>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深入学习贯彻习近平法治思想，全面贯彻落实党的十九大和十九届历次全会精神和省委、州委、县委系列决策部署，坚持以人民为中心的发展思想，围绕更好满足广大人民群众日益增长的公共法律服务需求，紧紧围绕县委“一廊两区三地四片五县”战略目标，加快建设覆盖城乡、便捷高效、均等普惠的全业务、全时空现代公共法律服务体系，持续增加和优化服务供给，稳步提升法治保障能力和水平，为全面建设生态美丽家园、富裕小康家园、和谐幸福家园提供优质高效的公共法律服务，切实增强人民群众的获得感、幸福感、安全感。</w:t>
      </w:r>
    </w:p>
    <w:p>
      <w:pPr>
        <w:ind w:firstLine="642"/>
        <w:rPr>
          <w:rFonts w:ascii="仿宋_GB2312" w:hAnsi="仿宋_GB2312" w:eastAsia="仿宋_GB2312" w:cs="仿宋_GB2312"/>
          <w:sz w:val="32"/>
          <w:szCs w:val="32"/>
        </w:rPr>
      </w:pPr>
    </w:p>
    <w:p>
      <w:pPr>
        <w:jc w:val="center"/>
        <w:outlineLvl w:val="1"/>
        <w:rPr>
          <w:rFonts w:ascii="楷体" w:hAnsi="楷体" w:eastAsia="楷体" w:cs="楷体"/>
          <w:b/>
          <w:bCs/>
          <w:sz w:val="32"/>
          <w:szCs w:val="32"/>
        </w:rPr>
      </w:pPr>
      <w:bookmarkStart w:id="5" w:name="_Toc12765"/>
      <w:r>
        <w:rPr>
          <w:rFonts w:hint="eastAsia" w:ascii="楷体" w:hAnsi="楷体" w:eastAsia="楷体" w:cs="楷体"/>
          <w:b/>
          <w:bCs/>
          <w:sz w:val="32"/>
          <w:szCs w:val="32"/>
        </w:rPr>
        <w:t>第二节  基本原则</w:t>
      </w:r>
      <w:bookmarkEnd w:id="5"/>
    </w:p>
    <w:p>
      <w:pPr>
        <w:ind w:firstLine="642"/>
        <w:rPr>
          <w:rFonts w:ascii="仿宋_GB2312" w:hAnsi="仿宋_GB2312" w:eastAsia="仿宋_GB2312" w:cs="仿宋_GB2312"/>
          <w:sz w:val="32"/>
          <w:szCs w:val="32"/>
        </w:rPr>
      </w:pPr>
      <w:r>
        <w:rPr>
          <w:rFonts w:hint="eastAsia" w:ascii="仿宋_GB2312" w:hAnsi="仿宋_GB2312" w:eastAsia="仿宋_GB2312" w:cs="仿宋_GB2312"/>
          <w:sz w:val="32"/>
          <w:szCs w:val="32"/>
        </w:rPr>
        <w:t>坚持党的全面领导，把党的领导贯彻落实到公共法律服务体系建设全过程和各方面，始终确保正确政治方向。坚持以人民为中心，通过优质、高效、便捷的专业法律服务保障人民权益，维护人民利益。坚持公平正义，法律面前人人平等，把维护社会公平正义作为公共法律服务的核心价值追求，客观公正、廉洁自律。坚持立足全县基本情况，统筹考虑经济社会发展状况、财力可负担性和人民群众需求变化，合理引导社会预期。坚持改革创新，推进法律服务业供给侧结构性改革，厘清政府权责边界，动员社会力量有效参与公共法律服务体系建设，增强服务总体供给能力水平。</w:t>
      </w:r>
    </w:p>
    <w:p>
      <w:pPr>
        <w:ind w:firstLine="643" w:firstLineChars="200"/>
        <w:rPr>
          <w:rFonts w:ascii="方正仿宋_GBK" w:hAnsi="方正仿宋_GBK" w:eastAsia="方正仿宋_GBK" w:cs="方正仿宋_GBK"/>
          <w:b/>
          <w:bCs/>
          <w:sz w:val="32"/>
          <w:szCs w:val="32"/>
        </w:rPr>
      </w:pPr>
    </w:p>
    <w:p>
      <w:pPr>
        <w:jc w:val="center"/>
        <w:outlineLvl w:val="1"/>
        <w:rPr>
          <w:rFonts w:ascii="楷体" w:hAnsi="楷体" w:eastAsia="楷体" w:cs="楷体"/>
          <w:b/>
          <w:bCs/>
          <w:sz w:val="32"/>
          <w:szCs w:val="32"/>
        </w:rPr>
      </w:pPr>
      <w:bookmarkStart w:id="6" w:name="_Toc3188"/>
      <w:r>
        <w:rPr>
          <w:rFonts w:hint="eastAsia" w:ascii="楷体" w:hAnsi="楷体" w:eastAsia="楷体" w:cs="楷体"/>
          <w:b/>
          <w:bCs/>
          <w:sz w:val="32"/>
          <w:szCs w:val="32"/>
        </w:rPr>
        <w:t>第三节  主要目标</w:t>
      </w:r>
      <w:bookmarkEnd w:id="6"/>
    </w:p>
    <w:p>
      <w:pPr>
        <w:ind w:firstLine="642"/>
      </w:pPr>
      <w:r>
        <w:rPr>
          <w:rFonts w:hint="eastAsia" w:ascii="仿宋_GB2312" w:hAnsi="仿宋_GB2312" w:eastAsia="仿宋_GB2312" w:cs="仿宋_GB2312"/>
          <w:sz w:val="32"/>
          <w:szCs w:val="32"/>
        </w:rPr>
        <w:t>到2025年，全面建成覆盖城乡、便捷高效、均等普惠、智能精准的现代公共法律服务体系，服务设施全面覆盖，服务网络互联互通，服务供给持续优化，服务能力全面提升，有效满足人民群众日益增长的公共法律服务需求，为2035年基本形成与法治国家、法治政府、法治社会基本建成目标相适应的公共法律服务体系奠定坚实基础，推动理县长治久安各项事业在法治化轨道上行稳致远。</w:t>
      </w:r>
    </w:p>
    <w:p>
      <w:pPr>
        <w:ind w:firstLine="642"/>
        <w:rPr>
          <w:rFonts w:ascii="黑体" w:hAnsi="黑体" w:eastAsia="黑体" w:cs="黑体"/>
          <w:sz w:val="28"/>
          <w:szCs w:val="28"/>
        </w:rPr>
      </w:pPr>
      <w:r>
        <w:rPr>
          <w:rFonts w:hint="eastAsia" w:ascii="黑体" w:hAnsi="黑体" w:eastAsia="黑体" w:cs="黑体"/>
          <w:sz w:val="28"/>
          <w:szCs w:val="28"/>
        </w:rPr>
        <w:t>表1“十四五”时期理县公共法律服务体系建设主要发展指标</w:t>
      </w:r>
    </w:p>
    <w:tbl>
      <w:tblPr>
        <w:tblStyle w:val="15"/>
        <w:tblW w:w="8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288"/>
        <w:gridCol w:w="4337"/>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323" w:type="dxa"/>
          </w:tcPr>
          <w:p>
            <w:pPr>
              <w:jc w:val="center"/>
              <w:rPr>
                <w:rFonts w:ascii="黑体" w:hAnsi="黑体" w:eastAsia="黑体" w:cs="黑体"/>
                <w:sz w:val="24"/>
              </w:rPr>
            </w:pPr>
            <w:r>
              <w:rPr>
                <w:rFonts w:hint="eastAsia" w:ascii="黑体" w:hAnsi="黑体" w:eastAsia="黑体" w:cs="黑体"/>
                <w:sz w:val="24"/>
              </w:rPr>
              <w:t>类别</w:t>
            </w:r>
          </w:p>
        </w:tc>
        <w:tc>
          <w:tcPr>
            <w:tcW w:w="5625" w:type="dxa"/>
            <w:gridSpan w:val="2"/>
          </w:tcPr>
          <w:p>
            <w:pPr>
              <w:jc w:val="center"/>
              <w:rPr>
                <w:rFonts w:ascii="方正仿宋_GBK" w:hAnsi="方正仿宋_GBK" w:eastAsia="方正仿宋_GBK" w:cs="方正仿宋_GBK"/>
                <w:sz w:val="24"/>
              </w:rPr>
            </w:pPr>
            <w:r>
              <w:rPr>
                <w:rFonts w:hint="eastAsia" w:ascii="黑体" w:hAnsi="黑体" w:eastAsia="黑体" w:cs="黑体"/>
                <w:sz w:val="24"/>
              </w:rPr>
              <w:t>指标</w:t>
            </w:r>
          </w:p>
        </w:tc>
        <w:tc>
          <w:tcPr>
            <w:tcW w:w="1551" w:type="dxa"/>
          </w:tcPr>
          <w:p>
            <w:pPr>
              <w:jc w:val="center"/>
              <w:rPr>
                <w:rFonts w:ascii="黑体" w:hAnsi="黑体" w:eastAsia="黑体" w:cs="黑体"/>
                <w:sz w:val="24"/>
              </w:rPr>
            </w:pPr>
            <w:r>
              <w:rPr>
                <w:rFonts w:hint="eastAsia" w:ascii="黑体" w:hAnsi="黑体" w:eastAsia="黑体" w:cs="黑体"/>
                <w:sz w:val="24"/>
              </w:rPr>
              <w:t>2025年目标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23" w:type="dxa"/>
            <w:vMerge w:val="restart"/>
            <w:vAlign w:val="center"/>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1.普法依法治理</w:t>
            </w:r>
          </w:p>
        </w:tc>
        <w:tc>
          <w:tcPr>
            <w:tcW w:w="1288" w:type="dxa"/>
            <w:vMerge w:val="restart"/>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法治文化阵地覆盖率</w:t>
            </w:r>
          </w:p>
        </w:tc>
        <w:tc>
          <w:tcPr>
            <w:tcW w:w="4337" w:type="dxa"/>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县级青少年法治教育基地覆盖率</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323" w:type="dxa"/>
            <w:vMerge w:val="continue"/>
          </w:tcPr>
          <w:p>
            <w:pPr>
              <w:jc w:val="center"/>
              <w:rPr>
                <w:rFonts w:ascii="方正仿宋_GBK" w:hAnsi="方正仿宋_GBK" w:eastAsia="方正仿宋_GBK" w:cs="方正仿宋_GBK"/>
                <w:sz w:val="24"/>
              </w:rPr>
            </w:pPr>
          </w:p>
        </w:tc>
        <w:tc>
          <w:tcPr>
            <w:tcW w:w="1288" w:type="dxa"/>
            <w:vMerge w:val="continue"/>
          </w:tcPr>
          <w:p>
            <w:pPr>
              <w:jc w:val="center"/>
              <w:rPr>
                <w:rFonts w:ascii="方正仿宋_GBK" w:hAnsi="方正仿宋_GBK" w:eastAsia="方正仿宋_GBK" w:cs="方正仿宋_GBK"/>
                <w:sz w:val="24"/>
              </w:rPr>
            </w:pPr>
          </w:p>
        </w:tc>
        <w:tc>
          <w:tcPr>
            <w:tcW w:w="4337" w:type="dxa"/>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乡镇宪法或民法典普法阵地覆盖率</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23" w:type="dxa"/>
            <w:vMerge w:val="continue"/>
          </w:tcPr>
          <w:p>
            <w:pPr>
              <w:jc w:val="center"/>
              <w:rPr>
                <w:rFonts w:ascii="方正仿宋_GBK" w:hAnsi="方正仿宋_GBK" w:eastAsia="方正仿宋_GBK" w:cs="方正仿宋_GBK"/>
                <w:sz w:val="24"/>
              </w:rPr>
            </w:pPr>
          </w:p>
        </w:tc>
        <w:tc>
          <w:tcPr>
            <w:tcW w:w="5625" w:type="dxa"/>
            <w:gridSpan w:val="2"/>
          </w:tcPr>
          <w:p>
            <w:pPr>
              <w:rPr>
                <w:rFonts w:ascii="方正仿宋_GBK" w:hAnsi="方正仿宋_GBK" w:eastAsia="方正仿宋_GBK" w:cs="方正仿宋_GBK"/>
                <w:sz w:val="24"/>
              </w:rPr>
            </w:pPr>
            <w:r>
              <w:rPr>
                <w:rFonts w:hint="eastAsia" w:ascii="方正仿宋_GBK" w:hAnsi="方正仿宋_GBK" w:eastAsia="方正仿宋_GBK" w:cs="方正仿宋_GBK"/>
                <w:sz w:val="24"/>
              </w:rPr>
              <w:t>村（社区）骨干“法律明白人”数量</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23" w:type="dxa"/>
            <w:vMerge w:val="continue"/>
          </w:tcPr>
          <w:p>
            <w:pPr>
              <w:jc w:val="center"/>
              <w:rPr>
                <w:rFonts w:ascii="方正仿宋_GBK" w:hAnsi="方正仿宋_GBK" w:eastAsia="方正仿宋_GBK" w:cs="方正仿宋_GBK"/>
                <w:sz w:val="24"/>
              </w:rPr>
            </w:pPr>
          </w:p>
        </w:tc>
        <w:tc>
          <w:tcPr>
            <w:tcW w:w="5625" w:type="dxa"/>
            <w:gridSpan w:val="2"/>
          </w:tcPr>
          <w:p>
            <w:pPr>
              <w:rPr>
                <w:rFonts w:ascii="方正仿宋_GBK" w:hAnsi="方正仿宋_GBK" w:eastAsia="方正仿宋_GBK" w:cs="方正仿宋_GBK"/>
                <w:sz w:val="24"/>
              </w:rPr>
            </w:pPr>
            <w:r>
              <w:rPr>
                <w:rFonts w:hint="eastAsia" w:ascii="方正仿宋_GBK" w:hAnsi="方正仿宋_GBK" w:eastAsia="方正仿宋_GBK" w:cs="方正仿宋_GBK"/>
                <w:sz w:val="24"/>
              </w:rPr>
              <w:t>村民小组（小区楼道）普通“法律明白人”培养率</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23" w:type="dxa"/>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2.法律援助</w:t>
            </w:r>
          </w:p>
        </w:tc>
        <w:tc>
          <w:tcPr>
            <w:tcW w:w="5625" w:type="dxa"/>
            <w:gridSpan w:val="2"/>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人均法律援助经费</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1323" w:type="dxa"/>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3.人民调解服务</w:t>
            </w:r>
          </w:p>
        </w:tc>
        <w:tc>
          <w:tcPr>
            <w:tcW w:w="5625" w:type="dxa"/>
            <w:gridSpan w:val="2"/>
            <w:vAlign w:val="center"/>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全县专职人民调解员数</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1323" w:type="dxa"/>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4.律师法律服务</w:t>
            </w:r>
          </w:p>
        </w:tc>
        <w:tc>
          <w:tcPr>
            <w:tcW w:w="5625" w:type="dxa"/>
            <w:gridSpan w:val="2"/>
            <w:vAlign w:val="center"/>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每万人拥有律师数</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23" w:type="dxa"/>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5.公证服务</w:t>
            </w:r>
          </w:p>
        </w:tc>
        <w:tc>
          <w:tcPr>
            <w:tcW w:w="5625" w:type="dxa"/>
            <w:gridSpan w:val="2"/>
          </w:tcPr>
          <w:p>
            <w:pPr>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公证机构标准化建设率</w:t>
            </w:r>
          </w:p>
        </w:tc>
        <w:tc>
          <w:tcPr>
            <w:tcW w:w="1551" w:type="dxa"/>
            <w:vAlign w:val="center"/>
          </w:tcPr>
          <w:p>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100%</w:t>
            </w:r>
          </w:p>
        </w:tc>
      </w:tr>
    </w:tbl>
    <w:p>
      <w:pPr>
        <w:rPr>
          <w:rFonts w:ascii="方正仿宋_GBK" w:hAnsi="方正仿宋_GBK" w:eastAsia="方正仿宋_GBK" w:cs="方正仿宋_GBK"/>
          <w:b/>
          <w:bCs/>
          <w:sz w:val="32"/>
          <w:szCs w:val="32"/>
        </w:rPr>
      </w:pPr>
    </w:p>
    <w:p>
      <w:pPr>
        <w:numPr>
          <w:ilvl w:val="0"/>
          <w:numId w:val="1"/>
        </w:numPr>
        <w:ind w:firstLine="640"/>
        <w:jc w:val="center"/>
        <w:outlineLvl w:val="0"/>
        <w:rPr>
          <w:rFonts w:ascii="方正黑体_GBK" w:hAnsi="方正黑体_GBK" w:eastAsia="方正黑体_GBK" w:cs="方正黑体_GBK"/>
          <w:b/>
          <w:bCs/>
          <w:sz w:val="32"/>
          <w:szCs w:val="32"/>
        </w:rPr>
      </w:pPr>
      <w:bookmarkStart w:id="7" w:name="_Toc13163"/>
      <w:r>
        <w:rPr>
          <w:rFonts w:hint="eastAsia" w:ascii="方正黑体_GBK" w:hAnsi="方正黑体_GBK" w:eastAsia="方正黑体_GBK" w:cs="方正黑体_GBK"/>
          <w:b/>
          <w:bCs/>
          <w:sz w:val="32"/>
          <w:szCs w:val="32"/>
        </w:rPr>
        <w:t xml:space="preserve"> 夯实公共法律服务体系基层基础</w:t>
      </w:r>
      <w:bookmarkEnd w:id="7"/>
    </w:p>
    <w:p>
      <w:pPr>
        <w:pStyle w:val="5"/>
        <w:ind w:left="640"/>
        <w:jc w:val="both"/>
      </w:pPr>
    </w:p>
    <w:p>
      <w:pPr>
        <w:jc w:val="center"/>
        <w:outlineLvl w:val="1"/>
        <w:rPr>
          <w:rFonts w:ascii="楷体" w:hAnsi="楷体" w:eastAsia="楷体" w:cs="楷体"/>
          <w:b/>
          <w:bCs/>
          <w:sz w:val="32"/>
          <w:szCs w:val="32"/>
        </w:rPr>
      </w:pPr>
      <w:bookmarkStart w:id="8" w:name="_Toc1286"/>
      <w:r>
        <w:rPr>
          <w:rFonts w:hint="eastAsia" w:ascii="楷体" w:hAnsi="楷体" w:eastAsia="楷体" w:cs="楷体"/>
          <w:b/>
          <w:bCs/>
          <w:sz w:val="32"/>
          <w:szCs w:val="32"/>
        </w:rPr>
        <w:t>第一节  加强公共法律服务中心（平台）建设</w:t>
      </w:r>
      <w:bookmarkEnd w:id="8"/>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1.推进公共法律服务中心（平台）建设。</w:t>
      </w:r>
      <w:r>
        <w:rPr>
          <w:rFonts w:hint="eastAsia" w:ascii="仿宋_GB2312" w:hAnsi="仿宋_GB2312" w:eastAsia="仿宋_GB2312" w:cs="仿宋_GB2312"/>
          <w:sz w:val="32"/>
          <w:szCs w:val="32"/>
        </w:rPr>
        <w:t>构建以县级公共法律服务中心为龙头、乡镇公共法律服务工作站为枢纽、村（社区）公共法律服务工作室为基础的县、乡镇、村（社区）公共法律服务室为基点的公共法律服务网络。</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2.推动县级公共法律服务中心提档升级。</w:t>
      </w:r>
      <w:r>
        <w:rPr>
          <w:rFonts w:hint="eastAsia" w:ascii="仿宋_GB2312" w:hAnsi="仿宋_GB2312" w:eastAsia="仿宋_GB2312" w:cs="仿宋_GB2312"/>
          <w:sz w:val="32"/>
          <w:szCs w:val="32"/>
        </w:rPr>
        <w:t>按照上级相关要求，积极谋划，高标准建设公共法律服务中心，突出提供综合服务、统筹调配资源、指导监管乡镇、村（社区）平台运行等职能，将其打造成县域公共法律服务综合枢纽和指挥协调平台。</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3.深化乡（镇）、村（社区）公共法律服务站（室）功能发挥。</w:t>
      </w:r>
      <w:r>
        <w:rPr>
          <w:rFonts w:hint="eastAsia" w:ascii="仿宋_GB2312" w:hAnsi="仿宋_GB2312" w:eastAsia="仿宋_GB2312" w:cs="仿宋_GB2312"/>
          <w:sz w:val="32"/>
          <w:szCs w:val="32"/>
        </w:rPr>
        <w:t>以司法所为依托，推动乡镇公共法律服务工作站与司法所一体规划、一体建设、资源共享。深入推进“枫桥式司法所”建设，力争县级“枫桥式司法所”覆盖面达到70%以上。持续完善公共法律服务工作站功能，将其打造成服务群众的主阵地和基层法律服务的主平台。推进乡镇行政区划和村级建制调整改革后的公共法律服务站（室）调整、巩固、提高，强化村（社区）公共法律服务工作室服务指引功能。</w:t>
      </w:r>
    </w:p>
    <w:p>
      <w:pPr>
        <w:pStyle w:val="5"/>
      </w:pPr>
    </w:p>
    <w:p>
      <w:pPr>
        <w:jc w:val="center"/>
        <w:outlineLvl w:val="1"/>
        <w:rPr>
          <w:rFonts w:ascii="楷体" w:hAnsi="楷体" w:eastAsia="楷体" w:cs="楷体"/>
          <w:b/>
          <w:bCs/>
          <w:sz w:val="32"/>
          <w:szCs w:val="32"/>
        </w:rPr>
      </w:pPr>
      <w:bookmarkStart w:id="9" w:name="_Toc15527"/>
      <w:r>
        <w:rPr>
          <w:rFonts w:hint="eastAsia" w:ascii="楷体" w:hAnsi="楷体" w:eastAsia="楷体" w:cs="楷体"/>
          <w:b/>
          <w:bCs/>
          <w:sz w:val="32"/>
          <w:szCs w:val="32"/>
        </w:rPr>
        <w:t>第二节  加强公共法律服务热线建设</w:t>
      </w:r>
      <w:bookmarkEnd w:id="9"/>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4.推进公共法律服务热线平台应用履盖。</w:t>
      </w:r>
      <w:r>
        <w:rPr>
          <w:rFonts w:hint="eastAsia" w:ascii="仿宋_GB2312" w:hAnsi="仿宋_GB2312" w:eastAsia="仿宋_GB2312" w:cs="仿宋_GB2312"/>
          <w:sz w:val="32"/>
          <w:szCs w:val="32"/>
        </w:rPr>
        <w:t>统筹整合“12348”公共法律服务热线融入“12345”政务服务便民热线，统一规划、统一标准、统一服务，设立法律服务专职人员坐席，探索以政府购买服务形式运营“12348”公共法律服务热线。拓宽公共法律服务热线平台的法律咨询、法律服务、纠纷调解、法治宣传、法律援助、服务投诉等综合性服务功能。</w:t>
      </w:r>
    </w:p>
    <w:p>
      <w:pPr>
        <w:pStyle w:val="5"/>
      </w:pPr>
    </w:p>
    <w:p>
      <w:pPr>
        <w:jc w:val="center"/>
        <w:outlineLvl w:val="1"/>
        <w:rPr>
          <w:rFonts w:ascii="楷体" w:hAnsi="楷体" w:eastAsia="楷体" w:cs="楷体"/>
          <w:b/>
          <w:bCs/>
          <w:sz w:val="32"/>
          <w:szCs w:val="32"/>
        </w:rPr>
      </w:pPr>
      <w:bookmarkStart w:id="10" w:name="_Toc20636"/>
      <w:r>
        <w:rPr>
          <w:rFonts w:hint="eastAsia" w:ascii="楷体" w:hAnsi="楷体" w:eastAsia="楷体" w:cs="楷体"/>
          <w:b/>
          <w:bCs/>
          <w:sz w:val="32"/>
          <w:szCs w:val="32"/>
        </w:rPr>
        <w:t>第三节  加强公共法律服务网络平台建设</w:t>
      </w:r>
      <w:bookmarkEnd w:id="10"/>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5.推进公共法律服务网络平台互联互通。</w:t>
      </w:r>
      <w:r>
        <w:rPr>
          <w:rFonts w:hint="eastAsia" w:ascii="仿宋_GB2312" w:hAnsi="仿宋_GB2312" w:eastAsia="仿宋_GB2312" w:cs="仿宋_GB2312"/>
          <w:sz w:val="32"/>
          <w:szCs w:val="32"/>
        </w:rPr>
        <w:t>在公共法律服务综合业务平台框架下，常规化使用“12348”四川法网，推进公共法律服务网络平台与业务办理系统深度对接，推进公共法律服务网络平台向基层延伸，优化法律咨询、法治宣传、法律服务机构查询和导航等在线公共法律服务产品供给，加大居民小区、新农村社区等自助法律服务设备配置，打通服务人民群众的“最后一公里”。</w:t>
      </w:r>
    </w:p>
    <w:p>
      <w:pPr>
        <w:pStyle w:val="5"/>
      </w:pPr>
    </w:p>
    <w:p>
      <w:pPr>
        <w:jc w:val="center"/>
        <w:outlineLvl w:val="1"/>
        <w:rPr>
          <w:rFonts w:ascii="楷体" w:hAnsi="楷体" w:eastAsia="楷体" w:cs="楷体"/>
          <w:b/>
          <w:bCs/>
          <w:sz w:val="32"/>
          <w:szCs w:val="32"/>
        </w:rPr>
      </w:pPr>
      <w:bookmarkStart w:id="11" w:name="_Toc25505"/>
      <w:r>
        <w:rPr>
          <w:rFonts w:hint="eastAsia" w:ascii="楷体" w:hAnsi="楷体" w:eastAsia="楷体" w:cs="楷体"/>
          <w:b/>
          <w:bCs/>
          <w:sz w:val="32"/>
          <w:szCs w:val="32"/>
        </w:rPr>
        <w:t>第四节  加快推进公共法律服务融合发展</w:t>
      </w:r>
      <w:bookmarkEnd w:id="11"/>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6.推动实体、热线、网络平台深度融合。</w:t>
      </w:r>
      <w:r>
        <w:rPr>
          <w:rFonts w:hint="eastAsia" w:ascii="仿宋_GB2312" w:hAnsi="仿宋_GB2312" w:eastAsia="仿宋_GB2312" w:cs="仿宋_GB2312"/>
          <w:sz w:val="32"/>
          <w:szCs w:val="32"/>
        </w:rPr>
        <w:t>加强公共法律服务运营管理，将实体、热线、网络平台各类服务资源进行数据化归集、分类、标记，以数据集中和数据共享为桥梁，让数据在不同平台间流转，通过扁平化模式实现公共法律服务事项跨平台、跨层级、跨业务协同办理，实现“统一受理、统一指挥、统一调度、统一反馈”的服务闭环，运用统一的监管模式和监管标准对三大平台服务事项全流程动态监督，实现三大平台互联互通、融合发展，实现设备升级和功能优化。</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7.推动公共法律服务与其他公共服务互联互通。</w:t>
      </w:r>
      <w:r>
        <w:rPr>
          <w:rFonts w:hint="eastAsia" w:ascii="仿宋_GB2312" w:hAnsi="仿宋_GB2312" w:eastAsia="仿宋_GB2312" w:cs="仿宋_GB2312"/>
          <w:sz w:val="32"/>
          <w:szCs w:val="32"/>
        </w:rPr>
        <w:t>逐步健全完善公共法律服务与诉讼服务、公共安全服务、检察服务、诉源治理、基层综合治理、政务服务以及其他公共服务的对接机制，实现资源整合与互联互通。推动公共法律服务网络平台与政务服务平台，“天府通办”、矛盾纠纷多元化解协调中心平台融合对接。适应互联网时代在线诉讼发展和人民群众的新需求，加强公共法律服务体系建设与诉讼服务的协同发展，探索在公共法律服务中心建立诉讼服务站、共享法庭，推动公共法律服务网络平台与人民法院诉讼服务平台数据共享共通，探索形成统一规划、互联互通、安全可靠的法律大数据供应链和在线诉讼统一数据基数标准。</w:t>
      </w:r>
    </w:p>
    <w:p>
      <w:pPr>
        <w:pStyle w:val="5"/>
      </w:pPr>
    </w:p>
    <w:p>
      <w:pPr>
        <w:jc w:val="center"/>
        <w:outlineLvl w:val="1"/>
        <w:rPr>
          <w:rFonts w:ascii="楷体" w:hAnsi="楷体" w:eastAsia="楷体" w:cs="楷体"/>
          <w:b/>
          <w:bCs/>
          <w:sz w:val="32"/>
          <w:szCs w:val="32"/>
        </w:rPr>
      </w:pPr>
      <w:bookmarkStart w:id="12" w:name="_Toc32660"/>
      <w:r>
        <w:rPr>
          <w:rFonts w:hint="eastAsia" w:ascii="楷体" w:hAnsi="楷体" w:eastAsia="楷体" w:cs="楷体"/>
          <w:b/>
          <w:bCs/>
          <w:sz w:val="32"/>
          <w:szCs w:val="32"/>
        </w:rPr>
        <w:t>第五节  加强公共法律服务科技信息化建设</w:t>
      </w:r>
      <w:bookmarkEnd w:id="12"/>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8.完善公共法律服务综合业务应用体系。</w:t>
      </w:r>
      <w:r>
        <w:rPr>
          <w:rFonts w:hint="eastAsia" w:ascii="仿宋_GB2312" w:hAnsi="仿宋_GB2312" w:eastAsia="仿宋_GB2312" w:cs="仿宋_GB2312"/>
          <w:sz w:val="32"/>
          <w:szCs w:val="32"/>
        </w:rPr>
        <w:t>加快推进现代信息技术与公共法律服务深度融合，深化律师、公证、人民调解、法律援助、远程会见等应用智慧化建设，推进重要业务应用分布式部署，提升业务应用智慧化水平，推进公共法律服务“电子文书库”建设，力争实现律师、公证、法律援助“一案一码”。推进公共法律服务“网上办、掌上办、指尖办”，探索发展灵活多样的远程服务、自助服务、个性服务。</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9.加强公共法律服务基础支撑能力建设。</w:t>
      </w:r>
      <w:r>
        <w:rPr>
          <w:rFonts w:hint="eastAsia" w:ascii="仿宋_GB2312" w:hAnsi="仿宋_GB2312" w:eastAsia="仿宋_GB2312" w:cs="仿宋_GB2312"/>
          <w:sz w:val="32"/>
          <w:szCs w:val="32"/>
        </w:rPr>
        <w:t>迭代升级基础网络，推动公共法律服务网络横向、纵向贯通对接。推进“区块链+法律服务”，为电子存证固化、行业诚信信息库共享等应用提供技术保障。升级打造与州互联互通的公共法律服务指挥调度网络。</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10.强化公共法律服务大数据决策研判。</w:t>
      </w:r>
      <w:r>
        <w:rPr>
          <w:rFonts w:hint="eastAsia" w:ascii="仿宋_GB2312" w:hAnsi="仿宋_GB2312" w:eastAsia="仿宋_GB2312" w:cs="仿宋_GB2312"/>
          <w:sz w:val="32"/>
          <w:szCs w:val="32"/>
        </w:rPr>
        <w:t>充分应用大数据、人工智能等信息技术，加强公共法律服务大数据资源汇聚系统运用，全面汇聚、整合各类公共法律服务数据，推进公共法律服务与立法、执法、司法、普法数据共享、互联互通，有效支撑各级业务应用之间业务协同。建设大数据智能感知和决策支持子系统，构建知识图谱和大数据分析模型，加强多维度、多角度的动态分析研判，提升大数据在公共法律服务和法治建设态势感知、辅助决策、预测预警、精准服务中的应用水平。</w:t>
      </w:r>
    </w:p>
    <w:p>
      <w:pPr>
        <w:ind w:firstLine="643" w:firstLineChars="200"/>
        <w:rPr>
          <w:rFonts w:ascii="黑体" w:hAnsi="黑体" w:eastAsia="黑体" w:cs="黑体"/>
          <w:sz w:val="28"/>
          <w:szCs w:val="28"/>
        </w:rPr>
      </w:pPr>
      <w:r>
        <w:rPr>
          <w:rFonts w:hint="eastAsia" w:ascii="仿宋_GB2312" w:hAnsi="仿宋_GB2312" w:eastAsia="仿宋_GB2312" w:cs="仿宋_GB2312"/>
          <w:b/>
          <w:bCs/>
          <w:sz w:val="32"/>
          <w:szCs w:val="32"/>
        </w:rPr>
        <w:t>11.加大科技信息化产品供给。</w:t>
      </w:r>
      <w:r>
        <w:rPr>
          <w:rFonts w:hint="eastAsia" w:ascii="仿宋_GB2312" w:hAnsi="仿宋_GB2312" w:eastAsia="仿宋_GB2312" w:cs="仿宋_GB2312"/>
          <w:sz w:val="32"/>
          <w:szCs w:val="32"/>
        </w:rPr>
        <w:t>支持人工智能、大数据等新技术在公共法律服务领域的深度集成应用与推广，大力发展公共法律服务科技支撑技术，重点发展公共法律服务自助设备、智慧平台、公共法律服务产品网上超市等智能化产品运用，建立全生命周期公共法律服务供给机制。</w:t>
      </w:r>
      <w:bookmarkStart w:id="13" w:name="_Toc10149"/>
    </w:p>
    <w:p>
      <w:pPr>
        <w:jc w:val="center"/>
        <w:outlineLvl w:val="1"/>
        <w:rPr>
          <w:rFonts w:ascii="黑体" w:hAnsi="黑体" w:eastAsia="黑体" w:cs="黑体"/>
          <w:sz w:val="28"/>
          <w:szCs w:val="28"/>
        </w:rPr>
      </w:pPr>
      <w:r>
        <w:rPr>
          <w:rFonts w:hint="eastAsia" w:ascii="黑体" w:hAnsi="黑体" w:eastAsia="黑体" w:cs="黑体"/>
          <w:sz w:val="28"/>
          <w:szCs w:val="28"/>
        </w:rPr>
        <w:t>专栏1  夯实公共法律服务体系基层基础</w:t>
      </w:r>
      <w:bookmarkEnd w:id="13"/>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ind w:firstLine="481"/>
              <w:rPr>
                <w:rFonts w:ascii="方正仿宋_GBK" w:hAnsi="方正仿宋_GBK" w:eastAsia="方正仿宋_GBK" w:cs="方正仿宋_GBK"/>
                <w:sz w:val="24"/>
              </w:rPr>
            </w:pPr>
            <w:r>
              <w:rPr>
                <w:rFonts w:hint="eastAsia" w:ascii="方正仿宋_GBK" w:hAnsi="方正仿宋_GBK" w:eastAsia="方正仿宋_GBK" w:cs="方正仿宋_GBK"/>
                <w:sz w:val="24"/>
              </w:rPr>
              <w:t>公共法律服务基础设施提档升级工程。建设具有“线上线下法律咨询+办事、数据业务流程三网融合、全领域全时空全业务高效服务、高品质营商环境法治保障、多语种各行业精准专业化服务、专家法律顾问团出力聚智、法律大数据综合分析研判、公共法律服务信息定向送达、对内对外服务流程跟踪督办”等九大功能的县级公共法律服务中心。在全县建设一批高标准、规范化公共法律服务中心（站、室）。</w:t>
            </w:r>
          </w:p>
          <w:p>
            <w:pPr>
              <w:ind w:firstLine="481"/>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公共法律服务科技信息化工程。建设以“综合应用、基础支撑、决策研判”为核心框架的公共法律服务综合业务一体化平台。业务应用层,升级完善“12348”四川法网、智慧律师、智慧公证、智慧司鉴、智慧调解等功能应用;基础支撑层, 推进“区块链+公共法律服务”,升级打造县级公共法律服务指挥调度网络。争取打造1个公共法律服务智能自助服务样板。 </w:t>
            </w:r>
          </w:p>
          <w:p>
            <w:pPr>
              <w:ind w:firstLine="481"/>
              <w:rPr>
                <w:rFonts w:ascii="方正仿宋_GBK" w:hAnsi="方正仿宋_GBK" w:eastAsia="方正仿宋_GBK" w:cs="方正仿宋_GBK"/>
                <w:b/>
                <w:bCs/>
                <w:sz w:val="24"/>
              </w:rPr>
            </w:pPr>
            <w:r>
              <w:rPr>
                <w:rFonts w:hint="eastAsia" w:ascii="方正仿宋_GBK" w:hAnsi="方正仿宋_GBK" w:eastAsia="方正仿宋_GBK" w:cs="方正仿宋_GBK"/>
                <w:sz w:val="24"/>
              </w:rPr>
              <w:t xml:space="preserve">“枫桥式司法所”建设。力争省级“枫桥式司法所”覆盖面达到 10% 以上,州级“枫桥式司法所”覆盖面达到40% 以上, 县级“枫桥式司法所”覆盖面达到 70% 以上。 </w:t>
            </w:r>
          </w:p>
        </w:tc>
      </w:tr>
    </w:tbl>
    <w:p>
      <w:pPr>
        <w:rPr>
          <w:rFonts w:ascii="方正仿宋_GBK" w:hAnsi="方正仿宋_GBK" w:eastAsia="方正仿宋_GBK" w:cs="方正仿宋_GBK"/>
          <w:b/>
          <w:bCs/>
          <w:sz w:val="32"/>
          <w:szCs w:val="32"/>
        </w:rPr>
      </w:pPr>
    </w:p>
    <w:p>
      <w:pPr>
        <w:numPr>
          <w:ilvl w:val="0"/>
          <w:numId w:val="1"/>
        </w:numPr>
        <w:ind w:firstLine="640"/>
        <w:jc w:val="center"/>
        <w:outlineLvl w:val="0"/>
        <w:rPr>
          <w:rFonts w:ascii="方正黑体_GBK" w:hAnsi="方正黑体_GBK" w:eastAsia="方正黑体_GBK" w:cs="方正黑体_GBK"/>
          <w:b/>
          <w:bCs/>
          <w:sz w:val="32"/>
          <w:szCs w:val="32"/>
        </w:rPr>
      </w:pPr>
      <w:bookmarkStart w:id="14" w:name="_Toc2788"/>
      <w:r>
        <w:rPr>
          <w:rFonts w:hint="eastAsia" w:ascii="方正黑体_GBK" w:hAnsi="方正黑体_GBK" w:eastAsia="方正黑体_GBK" w:cs="方正黑体_GBK"/>
          <w:b/>
          <w:bCs/>
          <w:sz w:val="32"/>
          <w:szCs w:val="32"/>
        </w:rPr>
        <w:t xml:space="preserve"> 创新公共法律服务产品供给</w:t>
      </w:r>
      <w:bookmarkEnd w:id="14"/>
    </w:p>
    <w:p>
      <w:pPr>
        <w:pStyle w:val="5"/>
        <w:ind w:left="640"/>
        <w:jc w:val="both"/>
      </w:pPr>
    </w:p>
    <w:p>
      <w:pPr>
        <w:jc w:val="center"/>
        <w:outlineLvl w:val="1"/>
        <w:rPr>
          <w:rFonts w:ascii="楷体" w:hAnsi="楷体" w:eastAsia="楷体" w:cs="楷体"/>
          <w:b/>
          <w:bCs/>
          <w:sz w:val="32"/>
          <w:szCs w:val="32"/>
        </w:rPr>
      </w:pPr>
      <w:bookmarkStart w:id="15" w:name="_Toc8514"/>
      <w:r>
        <w:rPr>
          <w:rFonts w:hint="eastAsia" w:ascii="楷体" w:hAnsi="楷体" w:eastAsia="楷体" w:cs="楷体"/>
          <w:b/>
          <w:bCs/>
          <w:sz w:val="32"/>
          <w:szCs w:val="32"/>
        </w:rPr>
        <w:t>第一节  提升普法工作质效</w:t>
      </w:r>
      <w:bookmarkEnd w:id="15"/>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12.实施公民终身法治教育。</w:t>
      </w:r>
      <w:r>
        <w:rPr>
          <w:rFonts w:hint="eastAsia" w:ascii="仿宋_GB2312" w:hAnsi="仿宋_GB2312" w:eastAsia="仿宋_GB2312" w:cs="仿宋_GB2312"/>
          <w:sz w:val="32"/>
          <w:szCs w:val="32"/>
        </w:rPr>
        <w:t>深入学习宣传习近平法治思想，持续抓好“八五”普法规划实施，广泛宣传民法典等法律法规。以领导干部和青少年为重点，实施公民法治素养提升行动。把法治教育纳入干部教育体系、国民教育体系、社会教育体系，夯实法治建设基础。常态化开展青少年“开学第一课”“法治教育第一课”“宪法法律进课堂”等活动。加强宗教教职人员和信教群众法治教育，深化法律政策进寺庙“四进七有”工作模式，持续开展“一寺一策”寺庙依法治理，法治宣传教育活动，组织寺庙僧人开展法律知识学习，举办寺庙“法律明白人”法治培训，引导铸牢中华民族共同体意识和法治意识。</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13.落实普法责任。</w:t>
      </w:r>
      <w:r>
        <w:rPr>
          <w:rFonts w:hint="eastAsia" w:ascii="仿宋_GB2312" w:hAnsi="仿宋_GB2312" w:eastAsia="仿宋_GB2312" w:cs="仿宋_GB2312"/>
          <w:sz w:val="32"/>
          <w:szCs w:val="32"/>
        </w:rPr>
        <w:t>强化“谁执法谁普法”普法责任制，建立健全国家机关“谁执法谁普法”履职报告制度。推行“以案释法”制度。围绕构建新发展格局，统筹发展与安全、新时代平安理县建设新需求、乡村振兴、生态文明建设、构建和谐劳动关系等方面法律法规，组织开展一月一主题活动。</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14.扩大法治文化阵地覆盖面。</w:t>
      </w:r>
      <w:r>
        <w:rPr>
          <w:rFonts w:hint="eastAsia" w:ascii="仿宋_GB2312" w:hAnsi="仿宋_GB2312" w:eastAsia="仿宋_GB2312" w:cs="仿宋_GB2312"/>
          <w:sz w:val="32"/>
          <w:szCs w:val="32"/>
        </w:rPr>
        <w:t>把法治文化阵地建设纳入国土空间规划，建成一批集县域特色、民族特色与现代法治文化于一体的法治文化阵地，推动法治文化与县内传统文化、红色文化、民族文化、产业文化、企业文化融合发展。依托爱国主义教育基地、禁毒宣传教育基地和公共文化机构等阵地，推进法治文化设施与公共文化服务设施一体规划建设。结合实际推进理县法治文化广场、乡镇法治讲堂、村级法治文化宣传栏（长廊、书屋）等法治文化实体阵地建设，打造靓丽法治文化阵地布局图名片。提高法治文化阵地使用率，探索建立法治文化阵地管理使用长效机制，体系化、</w:t>
      </w:r>
      <w:r>
        <w:rPr>
          <w:rFonts w:hint="eastAsia" w:ascii="仿宋_GB2312" w:hAnsi="仿宋_GB2312" w:eastAsia="仿宋_GB2312" w:cs="仿宋_GB2312"/>
          <w:color w:val="000000" w:themeColor="text1"/>
          <w:sz w:val="32"/>
          <w:szCs w:val="32"/>
        </w:rPr>
        <w:t>常态化统筹开展全县法治宣传教育活动</w:t>
      </w:r>
      <w:r>
        <w:rPr>
          <w:rFonts w:hint="eastAsia" w:ascii="仿宋_GB2312" w:hAnsi="仿宋_GB2312" w:eastAsia="仿宋_GB2312" w:cs="仿宋_GB2312"/>
          <w:sz w:val="32"/>
          <w:szCs w:val="32"/>
        </w:rPr>
        <w:t>。加强各部门、各乡镇法治文化形象塑造，建设法治“微景观”。积极申报打造1个省级民主法治示范村，实行动态管理，发挥民主法治示范村示范引领作用。</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15.加大法治文化产品供给。</w:t>
      </w:r>
      <w:r>
        <w:rPr>
          <w:rFonts w:hint="eastAsia" w:ascii="仿宋_GB2312" w:hAnsi="仿宋_GB2312" w:eastAsia="仿宋_GB2312" w:cs="仿宋_GB2312"/>
          <w:sz w:val="32"/>
          <w:szCs w:val="32"/>
        </w:rPr>
        <w:t>加强县法治融媒体建设。构建智能化、专业化的新媒体普法平台，实现全县新媒体普法平台互联互通。强化“法治理县”法治宣传抖音平台建设，探索建立“企业运营、市场运作、政府购买、社会资助、百姓受惠”法治文化建设模式。加强法治文艺作品创作扶持力度，鼓励电视台、报纸、文艺团体创编人民群众喜闻乐见的法治小品、法治歌曲、法治动漫等法治文艺作品。加大法治文化惠民力度，推动法治文化融入机关文化、校园文化、乡村（社区）文化、企业文化、网络文化，不断丰富法治文化活动的载体和形式。</w:t>
      </w:r>
    </w:p>
    <w:p>
      <w:pPr>
        <w:spacing w:line="576" w:lineRule="exact"/>
        <w:ind w:firstLine="643" w:firstLineChars="200"/>
        <w:rPr>
          <w:rFonts w:ascii="方正仿宋_GBK" w:hAnsi="方正仿宋_GBK" w:eastAsia="方正仿宋_GBK" w:cs="方正仿宋_GBK"/>
          <w:sz w:val="32"/>
          <w:szCs w:val="32"/>
        </w:rPr>
      </w:pPr>
      <w:r>
        <w:rPr>
          <w:rFonts w:hint="eastAsia" w:ascii="仿宋_GB2312" w:hAnsi="仿宋_GB2312" w:eastAsia="仿宋_GB2312" w:cs="仿宋_GB2312"/>
          <w:b/>
          <w:bCs/>
          <w:sz w:val="32"/>
          <w:szCs w:val="32"/>
        </w:rPr>
        <w:t>16.推动法治文化传承发展。</w:t>
      </w:r>
      <w:r>
        <w:rPr>
          <w:rFonts w:hint="eastAsia" w:ascii="仿宋_GB2312" w:hAnsi="仿宋_GB2312" w:eastAsia="仿宋_GB2312" w:cs="仿宋_GB2312"/>
          <w:sz w:val="32"/>
          <w:szCs w:val="32"/>
        </w:rPr>
        <w:t>弘扬善良风俗、家规家训等与优秀传统文化中的法治内涵，把遵法守纪、不违背公序良俗作为家风家教的重要内容，让社会主义法治精神在理县落地，在广大家庭中生根。大力弘扬红色法治文化、充分挖掘红色文化资源，赓续红色血脉，传承红色基因，讲好红色法治故事。</w:t>
      </w:r>
    </w:p>
    <w:p>
      <w:pPr>
        <w:jc w:val="center"/>
        <w:outlineLvl w:val="1"/>
        <w:rPr>
          <w:rFonts w:ascii="黑体" w:hAnsi="黑体" w:eastAsia="黑体" w:cs="黑体"/>
          <w:sz w:val="28"/>
          <w:szCs w:val="28"/>
        </w:rPr>
      </w:pPr>
      <w:bookmarkStart w:id="16" w:name="_Toc26247"/>
      <w:r>
        <w:rPr>
          <w:rFonts w:hint="eastAsia" w:ascii="黑体" w:hAnsi="黑体" w:eastAsia="黑体" w:cs="黑体"/>
          <w:sz w:val="28"/>
          <w:szCs w:val="28"/>
        </w:rPr>
        <w:t>专栏2  提高普法工作质效</w:t>
      </w:r>
      <w:bookmarkEnd w:id="1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ind w:firstLine="480" w:firstLineChars="200"/>
              <w:jc w:val="left"/>
              <w:rPr>
                <w:rFonts w:ascii="方正仿宋_GBK" w:hAnsi="方正仿宋_GBK" w:eastAsia="方正仿宋_GBK" w:cs="方正仿宋_GBK"/>
                <w:sz w:val="24"/>
              </w:rPr>
            </w:pPr>
            <w:r>
              <w:rPr>
                <w:rFonts w:hint="eastAsia" w:ascii="方正仿宋_GBK" w:hAnsi="方正仿宋_GBK" w:eastAsia="方正仿宋_GBK" w:cs="方正仿宋_GBK"/>
                <w:color w:val="000000"/>
                <w:kern w:val="0"/>
                <w:sz w:val="24"/>
              </w:rPr>
              <w:t>宪法学习宣传教育工程。开展“宪法宣传周” 等活动。鼓励、支持有条件的</w:t>
            </w:r>
            <w:r>
              <w:rPr>
                <w:rFonts w:hint="eastAsia" w:ascii="方正仿宋_GBK" w:hAnsi="方正仿宋_GBK" w:eastAsia="方正仿宋_GBK" w:cs="方正仿宋_GBK"/>
                <w:kern w:val="0"/>
                <w:sz w:val="24"/>
              </w:rPr>
              <w:t xml:space="preserve">单位和乡镇建设一批宪法宣传教育基地。 </w:t>
            </w:r>
          </w:p>
          <w:p>
            <w:pPr>
              <w:widowControl/>
              <w:ind w:firstLine="480" w:firstLineChars="200"/>
              <w:jc w:val="left"/>
              <w:rPr>
                <w:rFonts w:ascii="方正仿宋_GBK" w:hAnsi="方正仿宋_GBK" w:eastAsia="方正仿宋_GBK" w:cs="方正仿宋_GBK"/>
                <w:sz w:val="24"/>
              </w:rPr>
            </w:pPr>
            <w:r>
              <w:rPr>
                <w:rFonts w:hint="eastAsia" w:ascii="方正仿宋_GBK" w:hAnsi="方正仿宋_GBK" w:eastAsia="方正仿宋_GBK" w:cs="方正仿宋_GBK"/>
                <w:kern w:val="0"/>
                <w:sz w:val="24"/>
              </w:rPr>
              <w:t xml:space="preserve">民法典学习宣传工程。成立理县“八五”普法暨民法典普法宣讲团,鼓励、支持有条件的单位和乡镇建设一批民法典广场、长廊。 </w:t>
            </w:r>
          </w:p>
          <w:p>
            <w:pPr>
              <w:widowControl/>
              <w:ind w:firstLine="480" w:firstLineChars="200"/>
              <w:jc w:val="left"/>
              <w:rPr>
                <w:rFonts w:ascii="方正仿宋_GBK" w:hAnsi="方正仿宋_GBK" w:eastAsia="方正仿宋_GBK" w:cs="方正仿宋_GBK"/>
                <w:sz w:val="24"/>
              </w:rPr>
            </w:pPr>
            <w:r>
              <w:rPr>
                <w:rFonts w:hint="eastAsia" w:ascii="方正仿宋_GBK" w:hAnsi="方正仿宋_GBK" w:eastAsia="方正仿宋_GBK" w:cs="方正仿宋_GBK"/>
                <w:kern w:val="0"/>
                <w:sz w:val="24"/>
              </w:rPr>
              <w:t>公民法治素养提升工程。 组织编写“八五”普法系列读物,利用“四川省学法考试平台”,实现国家工作人员在线学法考试全覆盖。 高标准建设一批青少年法治教育基地。开展寺庙僧人法律政策知识学习。</w:t>
            </w:r>
          </w:p>
          <w:p>
            <w:pPr>
              <w:widowControl/>
              <w:ind w:firstLine="480" w:firstLineChars="200"/>
              <w:jc w:val="left"/>
              <w:rPr>
                <w:rFonts w:ascii="方正仿宋_GBK" w:hAnsi="方正仿宋_GBK" w:eastAsia="方正仿宋_GBK" w:cs="方正仿宋_GBK"/>
                <w:b/>
                <w:bCs/>
                <w:sz w:val="32"/>
                <w:szCs w:val="32"/>
              </w:rPr>
            </w:pPr>
            <w:r>
              <w:rPr>
                <w:rFonts w:hint="eastAsia" w:ascii="方正仿宋_GBK" w:hAnsi="方正仿宋_GBK" w:eastAsia="方正仿宋_GBK" w:cs="方正仿宋_GBK"/>
                <w:kern w:val="0"/>
                <w:sz w:val="24"/>
              </w:rPr>
              <w:t>法治文化惠民工程。 提档升级“法治理县”抖音平台，建立“法治理县”运营团队,编创一批法治情景剧和法治文艺节目, 深入开展“快板普法”、“普法三句半”、“普法进校园”、“法治微视频大赛”等群</w:t>
            </w:r>
            <w:r>
              <w:rPr>
                <w:rFonts w:hint="eastAsia" w:ascii="方正仿宋_GBK" w:hAnsi="方正仿宋_GBK" w:eastAsia="方正仿宋_GBK" w:cs="方正仿宋_GBK"/>
                <w:color w:val="000000"/>
                <w:kern w:val="0"/>
                <w:sz w:val="24"/>
              </w:rPr>
              <w:t xml:space="preserve">众性法治文化系列活动。 培树一批法治文化建设先进典型。 </w:t>
            </w:r>
          </w:p>
        </w:tc>
      </w:tr>
    </w:tbl>
    <w:p>
      <w:pPr>
        <w:rPr>
          <w:rFonts w:hint="eastAsia" w:ascii="方正仿宋_GBK" w:hAnsi="方正仿宋_GBK" w:eastAsia="方正仿宋_GBK" w:cs="方正仿宋_GBK"/>
          <w:b/>
          <w:bCs/>
          <w:sz w:val="32"/>
          <w:szCs w:val="32"/>
        </w:rPr>
      </w:pPr>
    </w:p>
    <w:p>
      <w:pPr>
        <w:pStyle w:val="12"/>
        <w:ind w:left="840" w:hanging="420"/>
        <w:rPr>
          <w:rFonts w:hint="eastAsia"/>
        </w:rPr>
      </w:pPr>
    </w:p>
    <w:p/>
    <w:p>
      <w:pPr>
        <w:jc w:val="center"/>
        <w:outlineLvl w:val="1"/>
        <w:rPr>
          <w:rFonts w:ascii="楷体" w:hAnsi="楷体" w:eastAsia="楷体" w:cs="楷体"/>
          <w:b/>
          <w:bCs/>
          <w:sz w:val="32"/>
          <w:szCs w:val="32"/>
        </w:rPr>
      </w:pPr>
      <w:bookmarkStart w:id="17" w:name="_Toc25480"/>
      <w:r>
        <w:rPr>
          <w:rFonts w:hint="eastAsia" w:ascii="楷体" w:hAnsi="楷体" w:eastAsia="楷体" w:cs="楷体"/>
          <w:b/>
          <w:bCs/>
          <w:sz w:val="32"/>
          <w:szCs w:val="32"/>
        </w:rPr>
        <w:t>第二节  加强法律援助工作</w:t>
      </w:r>
      <w:bookmarkEnd w:id="17"/>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17.健全法律援助保障体系。</w:t>
      </w:r>
      <w:r>
        <w:rPr>
          <w:rFonts w:hint="eastAsia" w:ascii="仿宋_GB2312" w:hAnsi="仿宋_GB2312" w:eastAsia="仿宋_GB2312" w:cs="仿宋_GB2312"/>
          <w:sz w:val="32"/>
          <w:szCs w:val="32"/>
        </w:rPr>
        <w:t>抓好《中华人民共和国法律援助法》的学习贯彻实施，认真落实法律援助责任。参照省、州公共服务（法律援助）实施标准，促进公共法律服务均等、普惠、便捷。加强全县法律援助机构规范化、标准化建设，推进法律援助全覆盖，健全完善法律援助对口帮扶和异地协助机制，积极打造法律援助对口帮扶“律师服务团”样板。</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18.抓好重点群体法律援助工作。</w:t>
      </w:r>
      <w:r>
        <w:rPr>
          <w:rFonts w:hint="eastAsia" w:ascii="仿宋_GB2312" w:hAnsi="仿宋_GB2312" w:eastAsia="仿宋_GB2312" w:cs="仿宋_GB2312"/>
          <w:sz w:val="32"/>
          <w:szCs w:val="32"/>
        </w:rPr>
        <w:t>加强对未成年人、妇女、老年人、残疾人、农民工、军人军属等重点群体的法律援助工作，依法有序扩大法律援助范围，科学合理确定经济困难标准，不断拓宽法律援助覆盖人群。建立重点人群法律援助绿色通道，实现农民工欠薪法律援助“一站通办”“一线通办”“一网通办”。</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19.提升法律援助服务质效。</w:t>
      </w:r>
      <w:r>
        <w:rPr>
          <w:rFonts w:hint="eastAsia" w:ascii="仿宋_GB2312" w:hAnsi="仿宋_GB2312" w:eastAsia="仿宋_GB2312" w:cs="仿宋_GB2312"/>
          <w:sz w:val="32"/>
          <w:szCs w:val="32"/>
        </w:rPr>
        <w:t>加强法律援助案件办案质量监督管理，完善法律援助案件质量评价体系。充分运用智慧公共法律服务平台，推动法律援助与政法系统数据平台互联互通、信息共享。开展“互联网+法律援助”，实现法律援助案件从申请受理到质量评估等全流程线上运行。</w:t>
      </w:r>
    </w:p>
    <w:p>
      <w:pPr>
        <w:jc w:val="center"/>
        <w:outlineLvl w:val="1"/>
        <w:rPr>
          <w:rFonts w:ascii="黑体" w:hAnsi="黑体" w:eastAsia="黑体" w:cs="黑体"/>
          <w:sz w:val="28"/>
          <w:szCs w:val="28"/>
        </w:rPr>
      </w:pPr>
      <w:bookmarkStart w:id="18" w:name="_Toc5196"/>
      <w:r>
        <w:rPr>
          <w:rFonts w:hint="eastAsia" w:ascii="黑体" w:hAnsi="黑体" w:eastAsia="黑体" w:cs="黑体"/>
          <w:sz w:val="28"/>
          <w:szCs w:val="28"/>
        </w:rPr>
        <w:t>专栏3  加强法律援助工作</w:t>
      </w:r>
      <w:bookmarkEnd w:id="18"/>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ascii="方正仿宋_GBK" w:hAnsi="方正仿宋_GBK" w:eastAsia="方正仿宋_GBK" w:cs="方正仿宋_GBK"/>
                <w:b/>
                <w:bCs/>
                <w:sz w:val="24"/>
              </w:rPr>
            </w:pPr>
            <w:r>
              <w:rPr>
                <w:rFonts w:hint="eastAsia" w:ascii="方正仿宋_GBK" w:hAnsi="方正仿宋_GBK" w:eastAsia="方正仿宋_GBK" w:cs="方正仿宋_GBK"/>
                <w:sz w:val="24"/>
              </w:rPr>
              <w:t xml:space="preserve"> 法律援助提升计划。2025年理县规范化、标准化法律援助中心建成。</w:t>
            </w:r>
          </w:p>
        </w:tc>
      </w:tr>
    </w:tbl>
    <w:p>
      <w:pPr>
        <w:jc w:val="center"/>
        <w:rPr>
          <w:rFonts w:ascii="楷体" w:hAnsi="楷体" w:eastAsia="楷体" w:cs="楷体"/>
          <w:b/>
          <w:bCs/>
          <w:sz w:val="32"/>
          <w:szCs w:val="32"/>
        </w:rPr>
      </w:pPr>
    </w:p>
    <w:p>
      <w:pPr>
        <w:jc w:val="center"/>
        <w:outlineLvl w:val="1"/>
        <w:rPr>
          <w:rFonts w:ascii="楷体" w:hAnsi="楷体" w:eastAsia="楷体" w:cs="楷体"/>
          <w:b/>
          <w:bCs/>
          <w:sz w:val="32"/>
          <w:szCs w:val="32"/>
        </w:rPr>
      </w:pPr>
      <w:bookmarkStart w:id="19" w:name="_Toc8218"/>
      <w:r>
        <w:rPr>
          <w:rFonts w:hint="eastAsia" w:ascii="楷体" w:hAnsi="楷体" w:eastAsia="楷体" w:cs="楷体"/>
          <w:b/>
          <w:bCs/>
          <w:sz w:val="32"/>
          <w:szCs w:val="32"/>
        </w:rPr>
        <w:t>第三节  创新升级新时代人民调解工作</w:t>
      </w:r>
      <w:bookmarkEnd w:id="19"/>
    </w:p>
    <w:p>
      <w:pPr>
        <w:pStyle w:val="13"/>
        <w:widowControl/>
        <w:spacing w:line="576"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20.创新矛盾纠纷多元化解机制。</w:t>
      </w:r>
      <w:r>
        <w:rPr>
          <w:rFonts w:hint="eastAsia" w:ascii="仿宋_GB2312" w:hAnsi="仿宋_GB2312" w:eastAsia="仿宋_GB2312" w:cs="仿宋_GB2312"/>
          <w:sz w:val="32"/>
          <w:szCs w:val="32"/>
        </w:rPr>
        <w:t>坚持和发展新时代“枫桥经验”，探索构建“调解+”矛盾纠纷多元化解模式，统筹整合调解、公证、复议等纠纷预防解决机制，完善多方参与矛盾纠纷预防调处化解的工作格局。调防结合，以防为主。推动县、乡镇、村（社区）三级调解组织“全覆盖”，充分发挥人民调解基础性作用，形成纠纷化解合力，延伸人民调解工作职能。聚焦民生重点排查、围绕节点专项排查。深入到基层进行全方位排查，做到底数清、情况明。</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21.完善组织建设。</w:t>
      </w:r>
      <w:r>
        <w:rPr>
          <w:rFonts w:hint="eastAsia" w:ascii="仿宋_GB2312" w:hAnsi="仿宋_GB2312" w:eastAsia="仿宋_GB2312" w:cs="仿宋_GB2312"/>
          <w:sz w:val="32"/>
          <w:szCs w:val="32"/>
        </w:rPr>
        <w:t>巩固规范乡镇和村（社区）人民调解组织。按照“应建尽建”的原则，推动人民调解工作向医疗卫生、道路交通事故、劳动争议、金融借贷、土地流转等矛盾纠纷多发领域拓展。积极打造一批标准化“双语型”人民调解组织，加快完善专业性、行业性、区域性人民调解组织，构建多层次、宽领域、全覆盖的人民调解组织网络。</w:t>
      </w:r>
    </w:p>
    <w:p>
      <w:pPr>
        <w:pStyle w:val="13"/>
        <w:widowControl/>
        <w:spacing w:line="576"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22.优化队伍结构。</w:t>
      </w:r>
      <w:r>
        <w:rPr>
          <w:rFonts w:hint="eastAsia" w:ascii="仿宋_GB2312" w:hAnsi="仿宋_GB2312" w:eastAsia="仿宋_GB2312" w:cs="仿宋_GB2312"/>
          <w:sz w:val="32"/>
          <w:szCs w:val="32"/>
        </w:rPr>
        <w:t>大力加强专业化、专职化人民调解员队伍建设。吸收更多符合条件的专业人员和社会人士参与人民调解工作，探索通过政府购买服务等方式提供调解服务，努力建设一支专兼结合、优势互补的高素质人民调解员队伍。坚持“分级分类”和“实际、实用、实践” 的原则，对我县人民调解员进行培训教育，切实提升人民调解员及后备人才调解工作能力和水平。</w:t>
      </w:r>
    </w:p>
    <w:p>
      <w:pPr>
        <w:ind w:firstLine="643" w:firstLineChars="200"/>
      </w:pPr>
      <w:r>
        <w:rPr>
          <w:rFonts w:hint="eastAsia" w:ascii="仿宋_GB2312" w:hAnsi="仿宋_GB2312" w:eastAsia="仿宋_GB2312" w:cs="仿宋_GB2312"/>
          <w:b/>
          <w:bCs/>
          <w:sz w:val="32"/>
          <w:szCs w:val="32"/>
        </w:rPr>
        <w:t>23.强化品牌引领。</w:t>
      </w:r>
      <w:r>
        <w:rPr>
          <w:rFonts w:hint="eastAsia" w:ascii="仿宋_GB2312" w:hAnsi="仿宋_GB2312" w:eastAsia="仿宋_GB2312" w:cs="仿宋_GB2312"/>
          <w:sz w:val="32"/>
          <w:szCs w:val="32"/>
        </w:rPr>
        <w:t>积极推进特色品牌调解室建设。打造1个省级品牌调解工作室、2个金牌调解员。鼓励支持具备条件的调解员建立个人调解工作室。依托调解优势资源，培树“金牌调解员”，强化引领带动作用。推动人民调解组织服务乡村振兴等重大战略。</w:t>
      </w:r>
    </w:p>
    <w:p>
      <w:pPr>
        <w:jc w:val="center"/>
        <w:rPr>
          <w:rFonts w:ascii="黑体" w:hAnsi="黑体" w:eastAsia="黑体" w:cs="黑体"/>
          <w:sz w:val="28"/>
          <w:szCs w:val="28"/>
        </w:rPr>
      </w:pPr>
      <w:r>
        <w:rPr>
          <w:rFonts w:hint="eastAsia" w:ascii="黑体" w:hAnsi="黑体" w:eastAsia="黑体" w:cs="黑体"/>
          <w:sz w:val="28"/>
          <w:szCs w:val="28"/>
        </w:rPr>
        <w:t>专栏4  创新升级新时代人民调解工作</w:t>
      </w:r>
    </w:p>
    <w:tbl>
      <w:tblPr>
        <w:tblStyle w:val="15"/>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8580" w:type="dxa"/>
          </w:tcPr>
          <w:p>
            <w:pPr>
              <w:pStyle w:val="17"/>
              <w:spacing w:line="600" w:lineRule="exact"/>
              <w:ind w:firstLine="480"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sz w:val="24"/>
              </w:rPr>
              <w:t>人民调解能力提升工程。打造1个省级品牌调解室。打造2个标准化“双语型”人民调解组织。培育2名金牌人民调解员，开展“百优调解专家团队”建设。</w:t>
            </w:r>
          </w:p>
        </w:tc>
      </w:tr>
    </w:tbl>
    <w:p>
      <w:pPr>
        <w:rPr>
          <w:rFonts w:ascii="方正仿宋_GBK" w:hAnsi="方正仿宋_GBK" w:eastAsia="方正仿宋_GBK" w:cs="方正仿宋_GBK"/>
          <w:b/>
          <w:bCs/>
          <w:sz w:val="32"/>
          <w:szCs w:val="32"/>
        </w:rPr>
      </w:pPr>
    </w:p>
    <w:p>
      <w:pPr>
        <w:jc w:val="center"/>
        <w:outlineLvl w:val="1"/>
        <w:rPr>
          <w:rFonts w:ascii="楷体" w:hAnsi="楷体" w:eastAsia="楷体" w:cs="楷体"/>
          <w:b/>
          <w:bCs/>
          <w:sz w:val="32"/>
          <w:szCs w:val="32"/>
        </w:rPr>
      </w:pPr>
      <w:bookmarkStart w:id="20" w:name="_Toc8715"/>
      <w:r>
        <w:rPr>
          <w:rFonts w:hint="eastAsia" w:ascii="楷体" w:hAnsi="楷体" w:eastAsia="楷体" w:cs="楷体"/>
          <w:b/>
          <w:bCs/>
          <w:sz w:val="32"/>
          <w:szCs w:val="32"/>
        </w:rPr>
        <w:t>第四节  优化律师法律服务</w:t>
      </w:r>
      <w:bookmarkEnd w:id="20"/>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24.加强党政机关法律顾问、公职律师队伍使用。</w:t>
      </w:r>
      <w:r>
        <w:rPr>
          <w:rFonts w:hint="eastAsia" w:ascii="仿宋_GB2312" w:hAnsi="仿宋_GB2312" w:eastAsia="仿宋_GB2312" w:cs="仿宋_GB2312"/>
          <w:sz w:val="32"/>
          <w:szCs w:val="32"/>
        </w:rPr>
        <w:t>进一步扩大党政机关法律顾问、公职律师工作覆盖面。落实党政机关法律顾问制度，实现党政机关法律顾问全覆盖配备。完善公职律师制度，扩大“十四五”期间公职律师工作覆盖面。优化公职律师管理、培养和使用，充分发挥法律顾问、公职律师在重大行政决策中的作用，全面改进行政规范性文件合法性审核机制。</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25.强化人才培育与队伍建设。</w:t>
      </w:r>
      <w:r>
        <w:rPr>
          <w:rFonts w:hint="eastAsia" w:ascii="仿宋_GB2312" w:hAnsi="仿宋_GB2312" w:eastAsia="仿宋_GB2312" w:cs="仿宋_GB2312"/>
          <w:sz w:val="32"/>
          <w:szCs w:val="32"/>
        </w:rPr>
        <w:t>加强律师队伍建设和发展，积极争取县外优秀律师事务所在理县设立分支机构，支持县外律师事务所到理县发展，在已完成理县律所的引进和专职律师的配备的基础上，加强本地律师人才培养，培育律师行业专业人才。</w:t>
      </w:r>
    </w:p>
    <w:p>
      <w:pPr>
        <w:jc w:val="center"/>
        <w:outlineLvl w:val="1"/>
        <w:rPr>
          <w:rFonts w:ascii="楷体" w:hAnsi="楷体" w:eastAsia="楷体" w:cs="楷体"/>
          <w:b/>
          <w:bCs/>
          <w:sz w:val="32"/>
          <w:szCs w:val="32"/>
        </w:rPr>
      </w:pPr>
      <w:bookmarkStart w:id="21" w:name="_Toc27927"/>
      <w:r>
        <w:rPr>
          <w:rFonts w:hint="eastAsia" w:ascii="楷体" w:hAnsi="楷体" w:eastAsia="楷体" w:cs="楷体"/>
          <w:b/>
          <w:bCs/>
          <w:sz w:val="32"/>
          <w:szCs w:val="32"/>
        </w:rPr>
        <w:t>第五节  拓展公证服务业务领域</w:t>
      </w:r>
      <w:bookmarkEnd w:id="21"/>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26.加强公证机构能力建设。</w:t>
      </w:r>
      <w:r>
        <w:rPr>
          <w:rFonts w:hint="eastAsia" w:ascii="仿宋_GB2312" w:hAnsi="仿宋_GB2312" w:eastAsia="仿宋_GB2312" w:cs="仿宋_GB2312"/>
          <w:sz w:val="32"/>
          <w:szCs w:val="32"/>
        </w:rPr>
        <w:t>落实公证机构改革政策，鼓励支持本土法律人才,推进公证业务和管理信息化应用，加大公证行业内部协查和用证部门数据共享，提升标准化公证机构覆盖率。优化公证服务，深入推进公证服务利企便民政策，实施公证证明材料清单制、一次性告知制、告知承诺制，深入开展公证办理“最多跑一次”“全程网办”。完善传统服务事项的规则、细则、业务规范，创新公证服务方式方法，优化服务流程。拓展创新业务领域。进一步深化公证在服务金融、民营企业、保障“三农”、知识产权、司法辅助事务、家庭事务、突发公共事件应对等领域的实践。充分利用公证的预防性司法制度职能作用，积极参与矛盾纠纷多元化解和诉源治理。</w:t>
      </w:r>
    </w:p>
    <w:p>
      <w:pPr>
        <w:jc w:val="center"/>
        <w:outlineLvl w:val="1"/>
        <w:rPr>
          <w:rFonts w:ascii="楷体" w:hAnsi="楷体" w:eastAsia="楷体" w:cs="楷体"/>
          <w:b/>
          <w:bCs/>
          <w:sz w:val="32"/>
          <w:szCs w:val="32"/>
        </w:rPr>
      </w:pPr>
      <w:bookmarkStart w:id="22" w:name="_Toc5771"/>
      <w:r>
        <w:rPr>
          <w:rFonts w:hint="eastAsia" w:ascii="楷体" w:hAnsi="楷体" w:eastAsia="楷体" w:cs="楷体"/>
          <w:b/>
          <w:bCs/>
          <w:sz w:val="32"/>
          <w:szCs w:val="32"/>
        </w:rPr>
        <w:t>第六节  推进司法鉴定行业高质量发展</w:t>
      </w:r>
      <w:bookmarkEnd w:id="22"/>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27.鼓励支持司法鉴定机构建设。</w:t>
      </w:r>
      <w:r>
        <w:rPr>
          <w:rFonts w:hint="eastAsia" w:ascii="仿宋_GB2312" w:hAnsi="仿宋_GB2312" w:eastAsia="仿宋_GB2312" w:cs="仿宋_GB2312"/>
          <w:sz w:val="32"/>
          <w:szCs w:val="32"/>
        </w:rPr>
        <w:t>力争引进司法鉴定机构在我县设立分所。积极推进司法鉴定信息化建设。探索建立司法鉴定综合业务管理平台，不断完善涉及司法鉴定数据的共建、共享、共用机制，积极融入办案机关、部门资源，推动信息互联互通。提升司法鉴定机构服务能力，推动我县司法鉴定高质量发展，加强司法鉴定与法律援助工作的衔接，维护困难群众合法权益。</w:t>
      </w:r>
    </w:p>
    <w:p>
      <w:pPr>
        <w:jc w:val="center"/>
        <w:outlineLvl w:val="1"/>
        <w:rPr>
          <w:rFonts w:ascii="楷体" w:hAnsi="楷体" w:eastAsia="楷体" w:cs="楷体"/>
          <w:b/>
          <w:bCs/>
          <w:sz w:val="32"/>
          <w:szCs w:val="32"/>
        </w:rPr>
      </w:pPr>
      <w:bookmarkStart w:id="23" w:name="_Toc17112"/>
      <w:r>
        <w:rPr>
          <w:rFonts w:hint="eastAsia" w:ascii="楷体" w:hAnsi="楷体" w:eastAsia="楷体" w:cs="楷体"/>
          <w:b/>
          <w:bCs/>
          <w:sz w:val="32"/>
          <w:szCs w:val="32"/>
        </w:rPr>
        <w:t>第七节  深化仲裁机构发展改革</w:t>
      </w:r>
      <w:bookmarkEnd w:id="23"/>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28.探索建立仲裁机构。</w:t>
      </w:r>
      <w:r>
        <w:rPr>
          <w:rFonts w:hint="eastAsia" w:ascii="仿宋_GB2312" w:hAnsi="仿宋_GB2312" w:eastAsia="仿宋_GB2312" w:cs="仿宋_GB2312"/>
          <w:sz w:val="32"/>
          <w:szCs w:val="32"/>
        </w:rPr>
        <w:t>争取引进仲裁机构及争议解决机构在我县设立业务机构，开展商事、运输、投资等领域的民商事争议仲裁业务。推动旅游投诉纠纷仲裁中心试点建设，鼓励仲裁机构搭建旅游投诉纠纷仲裁平台。</w:t>
      </w:r>
    </w:p>
    <w:p>
      <w:pPr>
        <w:pStyle w:val="12"/>
        <w:ind w:left="840" w:hanging="420"/>
      </w:pPr>
    </w:p>
    <w:p>
      <w:pPr>
        <w:pStyle w:val="5"/>
        <w:outlineLvl w:val="1"/>
        <w:rPr>
          <w:rFonts w:ascii="黑体" w:hAnsi="黑体" w:eastAsia="黑体" w:cs="黑体"/>
          <w:b w:val="0"/>
          <w:sz w:val="28"/>
          <w:szCs w:val="28"/>
        </w:rPr>
      </w:pPr>
      <w:bookmarkStart w:id="24" w:name="_Toc10916"/>
      <w:r>
        <w:rPr>
          <w:rFonts w:hint="eastAsia" w:ascii="黑体" w:hAnsi="黑体" w:eastAsia="黑体" w:cs="黑体"/>
          <w:b w:val="0"/>
          <w:sz w:val="28"/>
          <w:szCs w:val="28"/>
        </w:rPr>
        <w:t>专栏5  优化法律服务供给</w:t>
      </w:r>
      <w:bookmarkEnd w:id="24"/>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5"/>
              <w:ind w:firstLine="480" w:firstLineChars="200"/>
              <w:jc w:val="both"/>
              <w:rPr>
                <w:rFonts w:ascii="方正仿宋_GBK" w:hAnsi="方正仿宋_GBK" w:eastAsia="方正仿宋_GBK" w:cs="方正仿宋_GBK"/>
                <w:b w:val="0"/>
                <w:bCs/>
                <w:sz w:val="24"/>
                <w:szCs w:val="24"/>
              </w:rPr>
            </w:pPr>
            <w:r>
              <w:rPr>
                <w:rFonts w:hint="eastAsia" w:ascii="方正仿宋_GBK" w:hAnsi="方正仿宋_GBK" w:eastAsia="方正仿宋_GBK" w:cs="方正仿宋_GBK"/>
                <w:b w:val="0"/>
                <w:bCs/>
                <w:sz w:val="24"/>
                <w:szCs w:val="24"/>
              </w:rPr>
              <w:t xml:space="preserve">理县律师品牌能力提升工程。引进专业化程度高、业务特色明显、区域影响力较强的品牌律师事务所,培育律师行业专业人才。 </w:t>
            </w:r>
          </w:p>
          <w:p>
            <w:pPr>
              <w:pStyle w:val="5"/>
              <w:ind w:firstLine="480" w:firstLineChars="200"/>
              <w:jc w:val="both"/>
              <w:rPr>
                <w:rFonts w:ascii="方正仿宋_GBK" w:hAnsi="方正仿宋_GBK" w:eastAsia="方正仿宋_GBK" w:cs="方正仿宋_GBK"/>
                <w:b w:val="0"/>
                <w:bCs/>
                <w:color w:val="000000" w:themeColor="text1"/>
                <w:sz w:val="24"/>
                <w:szCs w:val="24"/>
              </w:rPr>
            </w:pPr>
            <w:r>
              <w:rPr>
                <w:rFonts w:hint="eastAsia" w:ascii="方正仿宋_GBK" w:hAnsi="方正仿宋_GBK" w:eastAsia="方正仿宋_GBK" w:cs="方正仿宋_GBK"/>
                <w:b w:val="0"/>
                <w:bCs/>
                <w:color w:val="000000" w:themeColor="text1"/>
                <w:sz w:val="24"/>
                <w:szCs w:val="24"/>
              </w:rPr>
              <w:t>公证机构能力提升行动。深化公证在服务金融、民营企业、保障“三农”、知识产权、司法辅助事务、家庭事务、突发公共事件应对等领域的实践。</w:t>
            </w:r>
          </w:p>
          <w:p>
            <w:pPr>
              <w:pStyle w:val="5"/>
              <w:ind w:firstLine="480" w:firstLineChars="200"/>
              <w:jc w:val="both"/>
              <w:rPr>
                <w:rFonts w:ascii="方正仿宋_GBK" w:hAnsi="方正仿宋_GBK" w:eastAsia="方正仿宋_GBK" w:cs="方正仿宋_GBK"/>
                <w:sz w:val="24"/>
                <w:szCs w:val="24"/>
              </w:rPr>
            </w:pPr>
            <w:r>
              <w:rPr>
                <w:rFonts w:hint="eastAsia" w:ascii="方正仿宋_GBK" w:hAnsi="方正仿宋_GBK" w:eastAsia="方正仿宋_GBK" w:cs="方正仿宋_GBK"/>
                <w:b w:val="0"/>
                <w:bCs/>
                <w:sz w:val="24"/>
                <w:szCs w:val="24"/>
              </w:rPr>
              <w:t>法律服务高端人才培育工程。 培养法律服务领军人才。</w:t>
            </w:r>
          </w:p>
        </w:tc>
      </w:tr>
    </w:tbl>
    <w:p>
      <w:pPr>
        <w:pStyle w:val="5"/>
        <w:jc w:val="both"/>
      </w:pPr>
    </w:p>
    <w:p>
      <w:pPr>
        <w:jc w:val="center"/>
        <w:outlineLvl w:val="1"/>
        <w:rPr>
          <w:rFonts w:ascii="楷体" w:hAnsi="楷体" w:eastAsia="楷体" w:cs="楷体"/>
          <w:b/>
          <w:bCs/>
          <w:sz w:val="32"/>
          <w:szCs w:val="32"/>
        </w:rPr>
      </w:pPr>
      <w:bookmarkStart w:id="25" w:name="_Toc14617"/>
      <w:r>
        <w:rPr>
          <w:rFonts w:hint="eastAsia" w:ascii="楷体" w:hAnsi="楷体" w:eastAsia="楷体" w:cs="楷体"/>
          <w:b/>
          <w:bCs/>
          <w:sz w:val="32"/>
          <w:szCs w:val="32"/>
        </w:rPr>
        <w:t>第八节  服务基层依法治理</w:t>
      </w:r>
      <w:bookmarkEnd w:id="25"/>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29.服务城乡社区依法治理。</w:t>
      </w:r>
      <w:r>
        <w:rPr>
          <w:rFonts w:hint="eastAsia" w:ascii="仿宋_GB2312" w:hAnsi="仿宋_GB2312" w:eastAsia="仿宋_GB2312" w:cs="仿宋_GB2312"/>
          <w:sz w:val="32"/>
          <w:szCs w:val="32"/>
        </w:rPr>
        <w:t>推进村（社区）法律顾问工作提质增效，实施村（社区）法律顾问服务清单制和管理考核制，实施一村（社区）一法律顾问提升行动，村（社区）法律顾问中律师、公证员、基层法律服务工作者比例提升20%。大力实施村（社区）和寺庙“法律明白人”培育工程，到2025年，全县有条件的村（社区）有5名以上骨干“法律明白人”，有条件的村民小组至少有1名“法律明白人”。建立“法律顾问+村（社）干部+法律明白人+人民调解员+综治网格员”基层依法治理骨干体系。深入开展民主法治示范村（社区）等创建活动。鼓励智慧法治社区建设，构建共建共治共享的社会治理新格局。推进“智慧矫正中心”建设，提高社区矫正工作智能化、精细化、现代化水平，力争完成“智慧矫正中心”建设，构建数据一体化、管理智能化、移动互联化、指挥可视化的社区矫正新模式。鼓励社会力量参与社会治理，支持和发展公共法律服务志愿者组织，建立公共法律服务志愿队伍，吸引专业人才成为公共法律服务志愿者。</w:t>
      </w:r>
    </w:p>
    <w:p>
      <w:pPr>
        <w:ind w:firstLine="643" w:firstLineChars="200"/>
        <w:rPr>
          <w:rFonts w:ascii="方正仿宋_GBK" w:hAnsi="方正仿宋_GBK" w:eastAsia="方正仿宋_GBK" w:cs="方正仿宋_GBK"/>
          <w:b/>
          <w:bCs/>
          <w:sz w:val="32"/>
          <w:szCs w:val="32"/>
        </w:rPr>
      </w:pPr>
      <w:r>
        <w:rPr>
          <w:rFonts w:hint="eastAsia" w:ascii="仿宋_GB2312" w:hAnsi="仿宋_GB2312" w:eastAsia="仿宋_GB2312" w:cs="仿宋_GB2312"/>
          <w:b/>
          <w:bCs/>
          <w:sz w:val="32"/>
          <w:szCs w:val="32"/>
        </w:rPr>
        <w:t>30.服务社会应急状态下的专项依法治理。</w:t>
      </w:r>
      <w:r>
        <w:rPr>
          <w:rFonts w:hint="eastAsia" w:ascii="仿宋_GB2312" w:hAnsi="仿宋_GB2312" w:eastAsia="仿宋_GB2312" w:cs="仿宋_GB2312"/>
          <w:sz w:val="32"/>
          <w:szCs w:val="32"/>
        </w:rPr>
        <w:t>探索建立自然灾害、事故灾害、公共卫生事件和社会安全事件等突发事件应急公共法律服务工作机制，加强各级各类法律服务资源和服务活动的优化整合和统一调度，为应对处置突发事件提供精准快捷、优质高效的专项公共法律服务。</w:t>
      </w:r>
    </w:p>
    <w:p>
      <w:pPr>
        <w:pStyle w:val="5"/>
        <w:outlineLvl w:val="1"/>
        <w:rPr>
          <w:rFonts w:ascii="黑体" w:hAnsi="黑体" w:eastAsia="黑体" w:cs="黑体"/>
          <w:b w:val="0"/>
          <w:bCs/>
          <w:sz w:val="28"/>
          <w:szCs w:val="28"/>
        </w:rPr>
      </w:pPr>
      <w:bookmarkStart w:id="26" w:name="_Toc22623"/>
      <w:r>
        <w:rPr>
          <w:rFonts w:hint="eastAsia" w:ascii="黑体" w:hAnsi="黑体" w:eastAsia="黑体" w:cs="黑体"/>
          <w:b w:val="0"/>
          <w:bCs/>
          <w:sz w:val="28"/>
          <w:szCs w:val="28"/>
        </w:rPr>
        <w:t>专栏6 服务基层</w:t>
      </w:r>
      <w:bookmarkEnd w:id="2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5"/>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b w:val="0"/>
                <w:bCs/>
                <w:sz w:val="24"/>
                <w:szCs w:val="24"/>
              </w:rPr>
              <w:t>基层治理能力提升工程。实施一村（社区）一法律顾问提升行动，村（社区）法律顾问中律师比例提升20%。实施村（社区）“法律明白人”培养工程，到2025年全县有条件的村（社区）有5名以上骨干“法律明白人”，有条件的村民小组至少有1名“法律明白人”。力争完成“智慧矫正中心”建设，构建数据一体化、管理智能化、移动互联化、指挥可视化的社区矫正新模式。公共法律服务志愿服务扩容工程，力争建立1支公共法律服务志愿队伍，吸引专业人才成为公共法律服务志愿者。</w:t>
            </w:r>
          </w:p>
        </w:tc>
      </w:tr>
    </w:tbl>
    <w:p>
      <w:pPr>
        <w:pStyle w:val="5"/>
      </w:pPr>
    </w:p>
    <w:p>
      <w:pPr>
        <w:numPr>
          <w:ilvl w:val="0"/>
          <w:numId w:val="1"/>
        </w:numPr>
        <w:ind w:firstLine="640"/>
        <w:jc w:val="center"/>
        <w:outlineLvl w:val="0"/>
        <w:rPr>
          <w:rFonts w:ascii="方正黑体_GBK" w:hAnsi="方正黑体_GBK" w:eastAsia="方正黑体_GBK" w:cs="方正黑体_GBK"/>
          <w:b/>
          <w:bCs/>
          <w:sz w:val="32"/>
          <w:szCs w:val="32"/>
        </w:rPr>
      </w:pPr>
      <w:bookmarkStart w:id="27" w:name="_Toc1553"/>
      <w:r>
        <w:rPr>
          <w:rFonts w:hint="eastAsia" w:ascii="方正黑体_GBK" w:hAnsi="方正黑体_GBK" w:eastAsia="方正黑体_GBK" w:cs="方正黑体_GBK"/>
          <w:b/>
          <w:bCs/>
          <w:sz w:val="32"/>
          <w:szCs w:val="32"/>
        </w:rPr>
        <w:t xml:space="preserve"> 推进公共法律服务均衡发展</w:t>
      </w:r>
      <w:bookmarkEnd w:id="27"/>
    </w:p>
    <w:p>
      <w:pPr>
        <w:pStyle w:val="5"/>
        <w:ind w:left="640"/>
        <w:jc w:val="both"/>
      </w:pPr>
    </w:p>
    <w:p>
      <w:pPr>
        <w:jc w:val="center"/>
        <w:outlineLvl w:val="1"/>
        <w:rPr>
          <w:rFonts w:ascii="楷体" w:hAnsi="楷体" w:eastAsia="楷体" w:cs="楷体"/>
          <w:b/>
          <w:bCs/>
          <w:sz w:val="32"/>
          <w:szCs w:val="32"/>
        </w:rPr>
      </w:pPr>
      <w:bookmarkStart w:id="28" w:name="_Toc22559"/>
      <w:r>
        <w:rPr>
          <w:rFonts w:hint="eastAsia" w:ascii="楷体" w:hAnsi="楷体" w:eastAsia="楷体" w:cs="楷体"/>
          <w:b/>
          <w:bCs/>
          <w:sz w:val="32"/>
          <w:szCs w:val="32"/>
        </w:rPr>
        <w:t>第一节  加强公共法律服务能力建设</w:t>
      </w:r>
      <w:bookmarkEnd w:id="28"/>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31.提升公共法律服务供给能力。</w:t>
      </w:r>
      <w:r>
        <w:rPr>
          <w:rFonts w:hint="eastAsia" w:ascii="仿宋_GB2312" w:hAnsi="仿宋_GB2312" w:eastAsia="仿宋_GB2312" w:cs="仿宋_GB2312"/>
          <w:sz w:val="32"/>
          <w:szCs w:val="32"/>
        </w:rPr>
        <w:t>整合律师、公证、法律援助等资源，巩固提升县司法行政法律服务中心、乡镇法律服务工作站、村(社区)法律服务点，集中受理和解决群众的法律服务事项，基本形成每个乡镇村有法律服务站（点）的覆盖城乡的法律服务网络体系。积极引进县外律师事务所来本县建立分所。培养援助律师和公证员后备人才。</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32.强化乡村振兴公共法律服务。</w:t>
      </w:r>
      <w:r>
        <w:rPr>
          <w:rFonts w:hint="eastAsia" w:ascii="仿宋_GB2312" w:hAnsi="仿宋_GB2312" w:eastAsia="仿宋_GB2312" w:cs="仿宋_GB2312"/>
          <w:sz w:val="32"/>
          <w:szCs w:val="32"/>
        </w:rPr>
        <w:t>加大对乡村振兴公共法律服务体系建设的支持力度，推动、巩固、拓展脱贫攻坚成果与乡村振兴有效衔接，为现代农业发展、乡村旅游、农村产权流转等重点领域提供法律服务。服务农民权益保障，加强对脱贫不稳定户、边缘致贫户、因病因灾致贫户等重点群体的法律援助，积极维护新就业形态下进城务工人员劳动保障权益。服务乡村人才振兴，通过招录、聘用、政府购买服务、发展志愿者队伍等方式，充实乡镇司法所公共法律服务力量。加强乡村（社区）人民调解委员会规范化建设，推动有条件的乡镇人民调解委员会配备至少1名专职人民调解员。</w:t>
      </w:r>
    </w:p>
    <w:p>
      <w:pPr>
        <w:pStyle w:val="5"/>
      </w:pPr>
    </w:p>
    <w:p>
      <w:pPr>
        <w:jc w:val="center"/>
        <w:outlineLvl w:val="1"/>
        <w:rPr>
          <w:rFonts w:ascii="楷体" w:hAnsi="楷体" w:eastAsia="楷体" w:cs="楷体"/>
          <w:b/>
          <w:bCs/>
          <w:sz w:val="32"/>
          <w:szCs w:val="32"/>
        </w:rPr>
      </w:pPr>
      <w:bookmarkStart w:id="29" w:name="_Toc6005"/>
      <w:r>
        <w:rPr>
          <w:rFonts w:hint="eastAsia" w:ascii="楷体" w:hAnsi="楷体" w:eastAsia="楷体" w:cs="楷体"/>
          <w:b/>
          <w:bCs/>
          <w:sz w:val="32"/>
          <w:szCs w:val="32"/>
        </w:rPr>
        <w:t>第二节  拓宽公共法律服务供给领域</w:t>
      </w:r>
      <w:bookmarkEnd w:id="29"/>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33.服务“</w:t>
      </w:r>
      <w:r>
        <w:rPr>
          <w:rFonts w:ascii="仿宋_GB2312" w:hAnsi="仿宋_GB2312" w:eastAsia="仿宋_GB2312" w:cs="仿宋_GB2312"/>
          <w:b/>
          <w:bCs/>
          <w:sz w:val="32"/>
          <w:szCs w:val="32"/>
        </w:rPr>
        <w:t>一州两区三家园</w:t>
      </w:r>
      <w:r>
        <w:rPr>
          <w:rFonts w:hint="eastAsia" w:ascii="仿宋_GB2312" w:hAnsi="仿宋_GB2312" w:eastAsia="仿宋_GB2312" w:cs="仿宋_GB2312"/>
          <w:b/>
          <w:bCs/>
          <w:sz w:val="32"/>
          <w:szCs w:val="32"/>
        </w:rPr>
        <w:t>”发展战略</w:t>
      </w:r>
      <w:r>
        <w:rPr>
          <w:rFonts w:ascii="仿宋_GB2312" w:hAnsi="仿宋_GB2312" w:eastAsia="仿宋_GB2312" w:cs="仿宋_GB2312"/>
          <w:b/>
          <w:bCs/>
          <w:sz w:val="32"/>
          <w:szCs w:val="32"/>
        </w:rPr>
        <w:t>。</w:t>
      </w:r>
      <w:r>
        <w:rPr>
          <w:rFonts w:hint="eastAsia" w:ascii="仿宋_GB2312" w:hAnsi="仿宋_GB2312" w:eastAsia="仿宋_GB2312" w:cs="仿宋_GB2312"/>
          <w:sz w:val="32"/>
          <w:szCs w:val="32"/>
        </w:rPr>
        <w:t>围绕服务全县“全域旅游示范区、乡村振兴示范区”“避暑胜地、冰雪胜地”建设，推动全县公共法律服务区域布局整体优化、功能体系整体完善、发展能级整体提升。加强公共法律服务民族团结示范点建设,优化乡村公共法律服务平台布局和运行。</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34.加强退役军人公共法律服务。</w:t>
      </w:r>
      <w:r>
        <w:rPr>
          <w:rFonts w:hint="eastAsia" w:ascii="仿宋_GB2312" w:hAnsi="仿宋_GB2312" w:eastAsia="仿宋_GB2312" w:cs="仿宋_GB2312"/>
          <w:sz w:val="32"/>
          <w:szCs w:val="32"/>
        </w:rPr>
        <w:t>完善全县退役军人公共法律服务平台网络，力争打造1个标准化退役军人公共法律服务工作站，优化服务供给，深化协作机制。支持建立退役军人公共法律服务专家库、志愿服务团，加快“老兵协调工作室”“老兵律师团”等退役军人公共法律服务品牌建设，为退役军人提供普惠、精准、及时的优质公共法律服务。</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35.夯实安置帮教工作基础。</w:t>
      </w:r>
      <w:r>
        <w:rPr>
          <w:rFonts w:hint="eastAsia" w:ascii="仿宋_GB2312" w:hAnsi="仿宋_GB2312" w:eastAsia="仿宋_GB2312" w:cs="仿宋_GB2312"/>
          <w:sz w:val="32"/>
          <w:szCs w:val="32"/>
        </w:rPr>
        <w:t>引入社会参与机制，积极争取建设安置帮教志愿者队伍和安置帮教工作师资库，实现安置帮教工作人员培训全覆盖。争取安置帮教专职社工人员配置。探索建立安置帮教与监狱系统、社区矫正系统的信息共享与业务协同系统,加强释放衔接工作，落实重点帮教对象的安置帮教。</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36.提升服务民营经济效能。</w:t>
      </w:r>
      <w:r>
        <w:rPr>
          <w:rFonts w:hint="eastAsia" w:ascii="仿宋_GB2312" w:hAnsi="仿宋_GB2312" w:eastAsia="仿宋_GB2312" w:cs="仿宋_GB2312"/>
          <w:sz w:val="32"/>
          <w:szCs w:val="32"/>
        </w:rPr>
        <w:t>整合律师、公证等法律服务资源，组建一个“民营企业专项法律服务团”，推进民营企业“法治讲堂”“法治体检”常态化，加强民营企业权益保障，推动县外来企业投诉服务工作有效运行，鼓励有条件的企业建立民营（外来）企业投诉服务工作站。为企业提供投诉申请受理、困难协助处理、法律政策咨询等集成服务，实现调解、诉讼、裁决、复议、仲裁有效衔接，建构涉企矛盾纠纷“一站式”化解平台，营造法治化营商环境，服务县商“走出去”。</w:t>
      </w:r>
    </w:p>
    <w:p>
      <w:pPr>
        <w:pStyle w:val="5"/>
        <w:outlineLvl w:val="1"/>
        <w:rPr>
          <w:rFonts w:ascii="黑体" w:hAnsi="黑体" w:eastAsia="黑体" w:cs="黑体"/>
          <w:b w:val="0"/>
          <w:bCs/>
          <w:sz w:val="28"/>
          <w:szCs w:val="28"/>
        </w:rPr>
      </w:pPr>
      <w:bookmarkStart w:id="30" w:name="_Toc9249"/>
      <w:r>
        <w:rPr>
          <w:rFonts w:hint="eastAsia" w:ascii="黑体" w:hAnsi="黑体" w:eastAsia="黑体" w:cs="黑体"/>
          <w:b w:val="0"/>
          <w:bCs/>
          <w:sz w:val="28"/>
          <w:szCs w:val="28"/>
        </w:rPr>
        <w:t>专栏7  推进公共法律服务均衡发展</w:t>
      </w:r>
      <w:bookmarkEnd w:id="30"/>
    </w:p>
    <w:tbl>
      <w:tblPr>
        <w:tblStyle w:val="15"/>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8" w:hRule="atLeast"/>
        </w:trPr>
        <w:tc>
          <w:tcPr>
            <w:tcW w:w="8620" w:type="dxa"/>
          </w:tcPr>
          <w:p>
            <w:pPr>
              <w:widowControl/>
              <w:ind w:firstLine="460" w:firstLineChars="200"/>
              <w:jc w:val="left"/>
            </w:pPr>
            <w:r>
              <w:rPr>
                <w:rFonts w:ascii="方正仿宋_GBK" w:hAnsi="方正仿宋_GBK" w:eastAsia="方正仿宋_GBK" w:cs="方正仿宋_GBK"/>
                <w:color w:val="000000"/>
                <w:kern w:val="0"/>
                <w:sz w:val="23"/>
                <w:szCs w:val="23"/>
              </w:rPr>
              <w:t>公共服务能力提升行动</w:t>
            </w:r>
            <w:r>
              <w:rPr>
                <w:rFonts w:ascii="E-BX" w:hAnsi="E-BX" w:eastAsia="E-BX" w:cs="E-BX"/>
                <w:color w:val="000000"/>
                <w:kern w:val="0"/>
                <w:sz w:val="23"/>
                <w:szCs w:val="23"/>
              </w:rPr>
              <w:t xml:space="preserve">。 </w:t>
            </w:r>
            <w:r>
              <w:rPr>
                <w:rFonts w:hint="eastAsia" w:ascii="方正仿宋_GBK" w:hAnsi="方正仿宋_GBK" w:eastAsia="方正仿宋_GBK" w:cs="方正仿宋_GBK"/>
                <w:color w:val="000000"/>
                <w:kern w:val="0"/>
                <w:sz w:val="23"/>
                <w:szCs w:val="23"/>
              </w:rPr>
              <w:t>打造1个公共法律服务中心样板</w:t>
            </w:r>
            <w:r>
              <w:rPr>
                <w:rFonts w:ascii="E-BX" w:hAnsi="E-BX" w:eastAsia="E-BX" w:cs="E-BX"/>
                <w:color w:val="000000"/>
                <w:kern w:val="0"/>
                <w:sz w:val="23"/>
                <w:szCs w:val="23"/>
              </w:rPr>
              <w:t>,</w:t>
            </w:r>
            <w:r>
              <w:rPr>
                <w:rFonts w:hint="eastAsia" w:ascii="方正仿宋_GBK" w:hAnsi="方正仿宋_GBK" w:eastAsia="方正仿宋_GBK" w:cs="方正仿宋_GBK"/>
                <w:color w:val="000000"/>
                <w:kern w:val="0"/>
                <w:sz w:val="23"/>
                <w:szCs w:val="23"/>
              </w:rPr>
              <w:t>开展法律服务</w:t>
            </w:r>
            <w:r>
              <w:rPr>
                <w:rFonts w:ascii="E-BX" w:hAnsi="E-BX" w:eastAsia="E-BX" w:cs="E-BX"/>
                <w:color w:val="000000"/>
                <w:kern w:val="0"/>
                <w:sz w:val="23"/>
                <w:szCs w:val="23"/>
              </w:rPr>
              <w:t xml:space="preserve">。 </w:t>
            </w:r>
            <w:r>
              <w:rPr>
                <w:rFonts w:hint="eastAsia" w:ascii="方正仿宋_GBK" w:hAnsi="方正仿宋_GBK" w:eastAsia="方正仿宋_GBK" w:cs="方正仿宋_GBK"/>
                <w:color w:val="000000"/>
                <w:kern w:val="0"/>
                <w:sz w:val="23"/>
                <w:szCs w:val="23"/>
              </w:rPr>
              <w:t>实现全县至少有1家律师事务所（有1名以上律师），1家公证处（有2名以上公证员）</w:t>
            </w:r>
            <w:r>
              <w:rPr>
                <w:rFonts w:ascii="E-BX" w:hAnsi="E-BX" w:eastAsia="E-BX" w:cs="E-BX"/>
                <w:color w:val="000000"/>
                <w:kern w:val="0"/>
                <w:sz w:val="23"/>
                <w:szCs w:val="23"/>
              </w:rPr>
              <w:t>。</w:t>
            </w:r>
            <w:r>
              <w:rPr>
                <w:rFonts w:hint="eastAsia" w:ascii="方正仿宋_GBK" w:hAnsi="方正仿宋_GBK" w:eastAsia="方正仿宋_GBK" w:cs="方正仿宋_GBK"/>
                <w:color w:val="000000"/>
                <w:kern w:val="0"/>
                <w:sz w:val="23"/>
                <w:szCs w:val="23"/>
              </w:rPr>
              <w:t>公共法律服务拓展工程</w:t>
            </w:r>
            <w:r>
              <w:rPr>
                <w:rFonts w:ascii="E-BX" w:hAnsi="E-BX" w:eastAsia="E-BX" w:cs="E-BX"/>
                <w:color w:val="000000"/>
                <w:kern w:val="0"/>
                <w:sz w:val="23"/>
                <w:szCs w:val="23"/>
              </w:rPr>
              <w:t>。</w:t>
            </w:r>
            <w:r>
              <w:rPr>
                <w:rFonts w:hint="eastAsia" w:ascii="方正仿宋_GBK" w:hAnsi="方正仿宋_GBK" w:eastAsia="方正仿宋_GBK" w:cs="方正仿宋_GBK"/>
                <w:color w:val="000000"/>
                <w:kern w:val="0"/>
                <w:sz w:val="23"/>
                <w:szCs w:val="23"/>
              </w:rPr>
              <w:t>力争打造1个标准化退役军人公共法律服务工作站</w:t>
            </w:r>
            <w:r>
              <w:rPr>
                <w:rFonts w:ascii="E-BX" w:hAnsi="E-BX" w:eastAsia="E-BX" w:cs="E-BX"/>
                <w:color w:val="000000"/>
                <w:kern w:val="0"/>
                <w:sz w:val="23"/>
                <w:szCs w:val="23"/>
              </w:rPr>
              <w:t>。</w:t>
            </w:r>
            <w:r>
              <w:rPr>
                <w:rFonts w:hint="eastAsia" w:ascii="方正仿宋_GBK" w:hAnsi="方正仿宋_GBK" w:eastAsia="方正仿宋_GBK" w:cs="方正仿宋_GBK"/>
                <w:color w:val="000000"/>
                <w:kern w:val="0"/>
                <w:sz w:val="23"/>
                <w:szCs w:val="23"/>
              </w:rPr>
              <w:t>建立健全安置帮教工作师资库，积极组建一批社会帮教社会工作者和志愿者队伍</w:t>
            </w:r>
            <w:r>
              <w:rPr>
                <w:rFonts w:ascii="E-BX" w:hAnsi="E-BX" w:eastAsia="E-BX" w:cs="E-BX"/>
                <w:color w:val="000000"/>
                <w:kern w:val="0"/>
                <w:sz w:val="23"/>
                <w:szCs w:val="23"/>
              </w:rPr>
              <w:t xml:space="preserve">。 </w:t>
            </w:r>
          </w:p>
          <w:p>
            <w:pPr>
              <w:widowControl/>
              <w:ind w:firstLine="460" w:firstLineChars="200"/>
              <w:jc w:val="left"/>
            </w:pPr>
            <w:r>
              <w:rPr>
                <w:rFonts w:hint="eastAsia" w:ascii="方正仿宋_GBK" w:hAnsi="方正仿宋_GBK" w:eastAsia="方正仿宋_GBK" w:cs="方正仿宋_GBK"/>
                <w:color w:val="000000"/>
                <w:kern w:val="0"/>
                <w:sz w:val="23"/>
                <w:szCs w:val="23"/>
              </w:rPr>
              <w:t>服务民营经济能力提升工程</w:t>
            </w:r>
            <w:r>
              <w:rPr>
                <w:rFonts w:ascii="E-BX" w:hAnsi="E-BX" w:eastAsia="E-BX" w:cs="E-BX"/>
                <w:color w:val="000000"/>
                <w:kern w:val="0"/>
                <w:sz w:val="23"/>
                <w:szCs w:val="23"/>
              </w:rPr>
              <w:t xml:space="preserve">。 </w:t>
            </w:r>
            <w:r>
              <w:rPr>
                <w:rFonts w:hint="eastAsia" w:ascii="方正仿宋_GBK" w:hAnsi="方正仿宋_GBK" w:eastAsia="方正仿宋_GBK" w:cs="方正仿宋_GBK"/>
                <w:color w:val="000000"/>
                <w:kern w:val="0"/>
                <w:sz w:val="23"/>
                <w:szCs w:val="23"/>
              </w:rPr>
              <w:t>力争组建1个“民营企业专项法律服务团”</w:t>
            </w:r>
            <w:r>
              <w:rPr>
                <w:rFonts w:ascii="E-BX" w:hAnsi="E-BX" w:eastAsia="E-BX" w:cs="E-BX"/>
                <w:color w:val="000000"/>
                <w:kern w:val="0"/>
                <w:sz w:val="23"/>
                <w:szCs w:val="23"/>
              </w:rPr>
              <w:t xml:space="preserve">。 </w:t>
            </w:r>
          </w:p>
          <w:p>
            <w:pPr>
              <w:widowControl/>
              <w:ind w:firstLine="460" w:firstLineChars="200"/>
              <w:jc w:val="left"/>
            </w:pPr>
            <w:r>
              <w:rPr>
                <w:rFonts w:hint="eastAsia" w:ascii="方正仿宋_GBK" w:hAnsi="方正仿宋_GBK" w:eastAsia="方正仿宋_GBK" w:cs="方正仿宋_GBK"/>
                <w:color w:val="000000"/>
                <w:kern w:val="0"/>
                <w:sz w:val="23"/>
                <w:szCs w:val="23"/>
              </w:rPr>
              <w:t>乡村振兴公共法律服务提升工程</w:t>
            </w:r>
            <w:r>
              <w:rPr>
                <w:rFonts w:ascii="E-BX" w:hAnsi="E-BX" w:eastAsia="E-BX" w:cs="E-BX"/>
                <w:color w:val="000000"/>
                <w:kern w:val="0"/>
                <w:sz w:val="23"/>
                <w:szCs w:val="23"/>
              </w:rPr>
              <w:t>。</w:t>
            </w:r>
            <w:r>
              <w:rPr>
                <w:rFonts w:hint="eastAsia" w:ascii="方正仿宋_GBK" w:hAnsi="方正仿宋_GBK" w:eastAsia="方正仿宋_GBK" w:cs="方正仿宋_GBK"/>
                <w:color w:val="000000"/>
                <w:kern w:val="0"/>
                <w:sz w:val="23"/>
                <w:szCs w:val="23"/>
              </w:rPr>
              <w:t>积</w:t>
            </w:r>
            <w:r>
              <w:rPr>
                <w:rFonts w:hint="eastAsia" w:ascii="方正仿宋_GBK" w:hAnsi="方正仿宋_GBK" w:eastAsia="方正仿宋_GBK" w:cs="方正仿宋_GBK"/>
                <w:kern w:val="0"/>
                <w:sz w:val="23"/>
                <w:szCs w:val="23"/>
              </w:rPr>
              <w:t>极打造乡村振兴公共法律服务站。</w:t>
            </w:r>
          </w:p>
          <w:p>
            <w:pPr>
              <w:pStyle w:val="5"/>
              <w:rPr>
                <w:rFonts w:ascii="黑体" w:hAnsi="黑体" w:eastAsia="黑体" w:cs="黑体"/>
                <w:sz w:val="28"/>
                <w:szCs w:val="28"/>
              </w:rPr>
            </w:pPr>
          </w:p>
        </w:tc>
      </w:tr>
    </w:tbl>
    <w:p>
      <w:pPr>
        <w:pStyle w:val="5"/>
        <w:rPr>
          <w:rFonts w:ascii="黑体" w:hAnsi="黑体" w:eastAsia="黑体" w:cs="黑体"/>
          <w:sz w:val="28"/>
          <w:szCs w:val="28"/>
        </w:rPr>
      </w:pPr>
    </w:p>
    <w:p>
      <w:pPr>
        <w:numPr>
          <w:ilvl w:val="0"/>
          <w:numId w:val="1"/>
        </w:numPr>
        <w:ind w:firstLine="640"/>
        <w:jc w:val="center"/>
        <w:outlineLvl w:val="0"/>
        <w:rPr>
          <w:rFonts w:ascii="方正黑体_GBK" w:hAnsi="方正黑体_GBK" w:eastAsia="方正黑体_GBK" w:cs="方正黑体_GBK"/>
          <w:b/>
          <w:bCs/>
          <w:sz w:val="32"/>
          <w:szCs w:val="32"/>
        </w:rPr>
      </w:pPr>
      <w:bookmarkStart w:id="31" w:name="_Toc7303"/>
      <w:r>
        <w:rPr>
          <w:rFonts w:hint="eastAsia" w:ascii="方正黑体_GBK" w:hAnsi="方正黑体_GBK" w:eastAsia="方正黑体_GBK" w:cs="方正黑体_GBK"/>
          <w:b/>
          <w:bCs/>
          <w:sz w:val="32"/>
          <w:szCs w:val="32"/>
        </w:rPr>
        <w:t xml:space="preserve"> 健全实施保障</w:t>
      </w:r>
      <w:bookmarkEnd w:id="31"/>
    </w:p>
    <w:p>
      <w:pPr>
        <w:pStyle w:val="5"/>
        <w:ind w:left="640"/>
        <w:jc w:val="both"/>
      </w:pPr>
    </w:p>
    <w:p>
      <w:pPr>
        <w:jc w:val="center"/>
        <w:outlineLvl w:val="1"/>
        <w:rPr>
          <w:rFonts w:ascii="楷体" w:hAnsi="楷体" w:eastAsia="楷体" w:cs="楷体"/>
          <w:b/>
          <w:bCs/>
          <w:sz w:val="32"/>
          <w:szCs w:val="32"/>
        </w:rPr>
      </w:pPr>
      <w:bookmarkStart w:id="32" w:name="_Toc7369"/>
      <w:r>
        <w:rPr>
          <w:rFonts w:hint="eastAsia" w:ascii="楷体" w:hAnsi="楷体" w:eastAsia="楷体" w:cs="楷体"/>
          <w:b/>
          <w:bCs/>
          <w:sz w:val="32"/>
          <w:szCs w:val="32"/>
        </w:rPr>
        <w:t>第一节  加强组织领导</w:t>
      </w:r>
      <w:bookmarkEnd w:id="32"/>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37.坚持以上率下，抓好责任落实。</w:t>
      </w:r>
      <w:r>
        <w:rPr>
          <w:rFonts w:hint="eastAsia" w:ascii="仿宋_GB2312" w:hAnsi="仿宋_GB2312" w:eastAsia="仿宋_GB2312" w:cs="仿宋_GB2312"/>
          <w:sz w:val="32"/>
          <w:szCs w:val="32"/>
        </w:rPr>
        <w:t>坚持把党的全面领导贯穿于推进公共法律服务体系建设全领域、全过程，要将公共法律服务体系建设纳入我县国民经济和社会发展规划，纳入经济社会发展综合考核体系，列入为民办实事项目。要制定切合实际的政策措施，明确责任和时间表、路线图，集中力量推进工作落地落实。</w:t>
      </w:r>
    </w:p>
    <w:p>
      <w:pPr>
        <w:pStyle w:val="5"/>
      </w:pPr>
    </w:p>
    <w:p>
      <w:pPr>
        <w:jc w:val="center"/>
        <w:outlineLvl w:val="1"/>
        <w:rPr>
          <w:rFonts w:ascii="楷体" w:hAnsi="楷体" w:eastAsia="楷体" w:cs="楷体"/>
          <w:b/>
          <w:bCs/>
          <w:sz w:val="32"/>
          <w:szCs w:val="32"/>
        </w:rPr>
      </w:pPr>
      <w:bookmarkStart w:id="33" w:name="_Toc20888"/>
      <w:r>
        <w:rPr>
          <w:rFonts w:hint="eastAsia" w:ascii="楷体" w:hAnsi="楷体" w:eastAsia="楷体" w:cs="楷体"/>
          <w:b/>
          <w:bCs/>
          <w:sz w:val="32"/>
          <w:szCs w:val="32"/>
        </w:rPr>
        <w:t>第二节  加强统筹协调</w:t>
      </w:r>
      <w:bookmarkEnd w:id="33"/>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38.建立健全县公共法律服务体系建设工作协调机制。</w:t>
      </w:r>
      <w:r>
        <w:rPr>
          <w:rFonts w:hint="eastAsia" w:ascii="仿宋_GB2312" w:hAnsi="仿宋_GB2312" w:eastAsia="仿宋_GB2312" w:cs="仿宋_GB2312"/>
          <w:sz w:val="32"/>
          <w:szCs w:val="32"/>
        </w:rPr>
        <w:t>加大对跨区域、跨部门重大事项协调力度，研究推动重点任务、重大改革、重大项目，谋划推进具体工作事项。司法局牵头，会同发展改革、财政、人力资源社会保障、民政、农业农村、信访等部门，协调推进规划编制、政策衔接、标准制定实施、服务运行等工作，及时总结经验，推广典型示范。</w:t>
      </w:r>
    </w:p>
    <w:p>
      <w:pPr>
        <w:pStyle w:val="12"/>
        <w:ind w:left="840" w:hanging="420"/>
      </w:pPr>
    </w:p>
    <w:p>
      <w:pPr>
        <w:pStyle w:val="12"/>
        <w:ind w:left="840" w:hanging="420"/>
      </w:pPr>
    </w:p>
    <w:p>
      <w:pPr>
        <w:jc w:val="center"/>
        <w:outlineLvl w:val="1"/>
        <w:rPr>
          <w:rFonts w:ascii="楷体" w:hAnsi="楷体" w:eastAsia="楷体" w:cs="楷体"/>
          <w:b/>
          <w:bCs/>
          <w:sz w:val="32"/>
          <w:szCs w:val="32"/>
        </w:rPr>
      </w:pPr>
      <w:bookmarkStart w:id="34" w:name="_Toc31900"/>
      <w:r>
        <w:rPr>
          <w:rFonts w:hint="eastAsia" w:ascii="楷体" w:hAnsi="楷体" w:eastAsia="楷体" w:cs="楷体"/>
          <w:b/>
          <w:bCs/>
          <w:sz w:val="32"/>
          <w:szCs w:val="32"/>
        </w:rPr>
        <w:t>第三节  加强基础保障</w:t>
      </w:r>
      <w:bookmarkEnd w:id="34"/>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39.全面推进现代公共法律服务体系标准化试点。</w:t>
      </w:r>
      <w:r>
        <w:rPr>
          <w:rFonts w:hint="eastAsia" w:ascii="仿宋_GB2312" w:hAnsi="仿宋_GB2312" w:eastAsia="仿宋_GB2312" w:cs="仿宋_GB2312"/>
          <w:sz w:val="32"/>
          <w:szCs w:val="32"/>
        </w:rPr>
        <w:t>建立全生命周期公共法律服务供给机制。将公共法律服务经费需求纳入县财政予以保障，完善公共法律服务经费动态调整机制。争取将基本公共法律服务事项纳入政府购买服务指导性目录，完善政府购买公共法律服务机制，逐步扩大政府向社会组织购买公共法律服务的范围和规模。县人民政府要做好公共法律服务体系建设基础保障，鼓励和引导社会资金参与公共法律服务体系建设，统筹用好各类资金，注重经费使用绩效。</w:t>
      </w:r>
    </w:p>
    <w:p>
      <w:pPr>
        <w:pStyle w:val="5"/>
      </w:pPr>
    </w:p>
    <w:p>
      <w:pPr>
        <w:jc w:val="center"/>
        <w:outlineLvl w:val="1"/>
        <w:rPr>
          <w:rFonts w:ascii="楷体" w:hAnsi="楷体" w:eastAsia="楷体" w:cs="楷体"/>
          <w:b/>
          <w:bCs/>
          <w:sz w:val="32"/>
          <w:szCs w:val="32"/>
        </w:rPr>
      </w:pPr>
      <w:bookmarkStart w:id="35" w:name="_Toc8362"/>
      <w:r>
        <w:rPr>
          <w:rFonts w:hint="eastAsia" w:ascii="楷体" w:hAnsi="楷体" w:eastAsia="楷体" w:cs="楷体"/>
          <w:b/>
          <w:bCs/>
          <w:sz w:val="32"/>
          <w:szCs w:val="32"/>
        </w:rPr>
        <w:t>第四节  加强人才保障</w:t>
      </w:r>
      <w:bookmarkEnd w:id="35"/>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40.持续推进公共法律服务人才队伍革命化、正规化、专业化、职业化建设。</w:t>
      </w:r>
      <w:r>
        <w:rPr>
          <w:rFonts w:hint="eastAsia" w:ascii="仿宋_GB2312" w:hAnsi="仿宋_GB2312" w:eastAsia="仿宋_GB2312" w:cs="仿宋_GB2312"/>
          <w:sz w:val="32"/>
          <w:szCs w:val="32"/>
        </w:rPr>
        <w:t>充分发挥行业协会、行业机构的作用，探索创新公共法律服务人才培养模式。加强对公共法律服务人才教育培训的指导，定期开展政治轮训和业务培训，提高专业化水平。完善公共法律服务人才职称评定、人才引进、专业评价等政策，建立健全激励措施。鼓励社会力量参与公共法律服务，促进人才队伍均衡发展。</w:t>
      </w:r>
    </w:p>
    <w:p>
      <w:pPr>
        <w:pStyle w:val="5"/>
      </w:pPr>
    </w:p>
    <w:p>
      <w:pPr>
        <w:jc w:val="center"/>
        <w:outlineLvl w:val="1"/>
        <w:rPr>
          <w:rFonts w:ascii="楷体" w:hAnsi="楷体" w:eastAsia="楷体" w:cs="楷体"/>
          <w:b/>
          <w:bCs/>
          <w:sz w:val="32"/>
          <w:szCs w:val="32"/>
        </w:rPr>
      </w:pPr>
      <w:bookmarkStart w:id="36" w:name="_Toc222"/>
      <w:r>
        <w:rPr>
          <w:rFonts w:hint="eastAsia" w:ascii="楷体" w:hAnsi="楷体" w:eastAsia="楷体" w:cs="楷体"/>
          <w:b/>
          <w:bCs/>
          <w:sz w:val="32"/>
          <w:szCs w:val="32"/>
        </w:rPr>
        <w:t>第五节  加强监测评估</w:t>
      </w:r>
      <w:bookmarkEnd w:id="36"/>
    </w:p>
    <w:p>
      <w:pPr>
        <w:widowControl/>
        <w:spacing w:line="576" w:lineRule="exact"/>
        <w:ind w:firstLine="643" w:firstLineChars="200"/>
        <w:rPr>
          <w:rFonts w:ascii="方正仿宋_GBK" w:hAnsi="方正仿宋_GBK" w:eastAsia="方正仿宋_GBK" w:cs="方正仿宋_GBK"/>
          <w:color w:val="000000"/>
          <w:kern w:val="0"/>
          <w:sz w:val="32"/>
          <w:szCs w:val="32"/>
        </w:rPr>
      </w:pPr>
      <w:r>
        <w:rPr>
          <w:rFonts w:hint="eastAsia" w:ascii="仿宋_GB2312" w:hAnsi="仿宋_GB2312" w:eastAsia="仿宋_GB2312" w:cs="仿宋_GB2312"/>
          <w:b/>
          <w:bCs/>
          <w:sz w:val="32"/>
          <w:szCs w:val="32"/>
        </w:rPr>
        <w:t>41.加强部门联动，强化风险隐患预警，定期开展公共法律服务体系建设监测评估。</w:t>
      </w:r>
      <w:r>
        <w:rPr>
          <w:rFonts w:hint="eastAsia" w:ascii="仿宋_GB2312" w:hAnsi="仿宋_GB2312" w:eastAsia="仿宋_GB2312" w:cs="仿宋_GB2312"/>
          <w:sz w:val="32"/>
          <w:szCs w:val="32"/>
        </w:rPr>
        <w:t xml:space="preserve">加强部门联动，强化风险隐患预警，定期开展公共法律服务体系建设调查评估，建立健全《理县“十四五”公共法律服务体系建设规划》实施的绩效评估体系，跟踪督促各部门相关规划内容实施，促进规划落地落实。创新宣传方式，加强舆论引导，提升人民群众对公共法律服务的知晓率、首选率、满意率。 </w:t>
      </w:r>
    </w:p>
    <w:p>
      <w:pPr>
        <w:rPr>
          <w:rFonts w:hint="eastAsia" w:ascii="仿宋_GB2312" w:hAnsi="仿宋_GB2312" w:eastAsia="仿宋_GB2312" w:cs="仿宋_GB2312"/>
          <w:sz w:val="32"/>
          <w:szCs w:val="32"/>
        </w:rPr>
      </w:pPr>
    </w:p>
    <w:p>
      <w:pPr>
        <w:pStyle w:val="12"/>
        <w:ind w:left="840" w:hanging="420"/>
        <w:rPr>
          <w:rFonts w:hint="eastAsia"/>
        </w:rPr>
      </w:pPr>
    </w:p>
    <w:p>
      <w:pPr>
        <w:rPr>
          <w:rFonts w:hint="eastAsia"/>
        </w:rPr>
      </w:pPr>
    </w:p>
    <w:p>
      <w:pPr>
        <w:pStyle w:val="12"/>
        <w:ind w:left="840" w:hanging="420"/>
        <w:rPr>
          <w:rFonts w:hint="eastAsia"/>
        </w:rPr>
      </w:pPr>
    </w:p>
    <w:p>
      <w:pPr>
        <w:rPr>
          <w:rFonts w:hint="eastAsia"/>
        </w:rPr>
      </w:pPr>
    </w:p>
    <w:p>
      <w:pPr>
        <w:pStyle w:val="12"/>
        <w:ind w:left="840" w:hanging="420"/>
        <w:rPr>
          <w:rFonts w:hint="eastAsia"/>
        </w:rPr>
      </w:pPr>
    </w:p>
    <w:p>
      <w:pPr>
        <w:rPr>
          <w:rFonts w:hint="eastAsia"/>
        </w:rPr>
      </w:pPr>
    </w:p>
    <w:p>
      <w:pPr>
        <w:pStyle w:val="12"/>
        <w:ind w:left="840" w:hanging="420"/>
        <w:rPr>
          <w:rFonts w:hint="eastAsia"/>
        </w:rPr>
      </w:pPr>
    </w:p>
    <w:p>
      <w:pPr>
        <w:rPr>
          <w:rFonts w:hint="eastAsia"/>
        </w:rPr>
      </w:pPr>
    </w:p>
    <w:p>
      <w:pPr>
        <w:pStyle w:val="12"/>
        <w:ind w:left="840" w:hanging="420"/>
        <w:rPr>
          <w:rFonts w:hint="eastAsia"/>
        </w:rPr>
      </w:pPr>
    </w:p>
    <w:p>
      <w:pPr>
        <w:rPr>
          <w:rFonts w:hint="eastAsia"/>
        </w:rPr>
      </w:pPr>
    </w:p>
    <w:p>
      <w:pPr>
        <w:pStyle w:val="12"/>
        <w:ind w:left="840" w:hanging="420"/>
        <w:rPr>
          <w:rFonts w:hint="eastAsia"/>
        </w:rPr>
      </w:pPr>
    </w:p>
    <w:p>
      <w:pPr>
        <w:rPr>
          <w:rFonts w:hint="eastAsia"/>
        </w:rPr>
      </w:pPr>
    </w:p>
    <w:p>
      <w:pPr>
        <w:keepNext w:val="0"/>
        <w:keepLines w:val="0"/>
        <w:pageBreakBefore w:val="0"/>
        <w:widowControl w:val="0"/>
        <w:pBdr>
          <w:top w:val="single" w:color="auto" w:sz="6" w:space="1"/>
          <w:bottom w:val="single" w:color="auto" w:sz="6" w:space="1"/>
        </w:pBdr>
        <w:kinsoku/>
        <w:wordWrap/>
        <w:overflowPunct/>
        <w:topLinePunct w:val="0"/>
        <w:autoSpaceDE/>
        <w:autoSpaceDN/>
        <w:bidi w:val="0"/>
        <w:adjustRightInd/>
        <w:snapToGrid/>
        <w:spacing w:before="469" w:line="456" w:lineRule="exact"/>
        <w:textAlignment w:val="auto"/>
        <w:rPr>
          <w:rFonts w:ascii="仿宋_GB2312" w:hAnsi="仿宋_GB2312" w:eastAsia="仿宋_GB2312" w:cs="仿宋_GB2312"/>
          <w:sz w:val="32"/>
          <w:szCs w:val="32"/>
        </w:rPr>
      </w:pPr>
      <w:r>
        <w:rPr>
          <w:rFonts w:ascii="Times New Roman" w:hAnsi="Times New Roman" w:eastAsia="仿宋_GB2312" w:cs="Times New Roman"/>
          <w:sz w:val="28"/>
          <w:szCs w:val="28"/>
        </w:rPr>
        <w:t xml:space="preserve">理县人民政府办公室    </w:t>
      </w:r>
      <w:r>
        <w:rPr>
          <w:rFonts w:hint="eastAsia" w:ascii="Times New Roman" w:hAnsi="Times New Roman" w:eastAsia="仿宋_GB2312" w:cs="Times New Roman"/>
          <w:sz w:val="28"/>
          <w:szCs w:val="28"/>
          <w:lang w:val="en-US" w:eastAsia="zh-CN"/>
        </w:rPr>
        <w:t xml:space="preserve">  </w:t>
      </w:r>
      <w:r>
        <w:rPr>
          <w:rFonts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  </w:t>
      </w:r>
      <w:r>
        <w:rPr>
          <w:rFonts w:hint="eastAsia" w:eastAsia="仿宋_GB2312" w:cs="Times New Roman"/>
          <w:sz w:val="28"/>
          <w:szCs w:val="28"/>
          <w:lang w:val="en-US" w:eastAsia="zh-CN"/>
        </w:rPr>
        <w:t xml:space="preserve">     </w:t>
      </w:r>
      <w:r>
        <w:rPr>
          <w:rFonts w:ascii="Times New Roman" w:hAnsi="Times New Roman" w:eastAsia="仿宋_GB2312" w:cs="Times New Roman"/>
          <w:sz w:val="28"/>
          <w:szCs w:val="28"/>
        </w:rPr>
        <w:t xml:space="preserve"> 202</w:t>
      </w:r>
      <w:r>
        <w:rPr>
          <w:rFonts w:hint="eastAsia" w:eastAsia="仿宋_GB2312" w:cs="Times New Roman"/>
          <w:sz w:val="28"/>
          <w:szCs w:val="28"/>
          <w:lang w:val="en-US" w:eastAsia="zh-CN"/>
        </w:rPr>
        <w:t>2</w:t>
      </w:r>
      <w:r>
        <w:rPr>
          <w:rFonts w:ascii="Times New Roman" w:hAnsi="Times New Roman" w:eastAsia="仿宋_GB2312" w:cs="Times New Roman"/>
          <w:sz w:val="28"/>
          <w:szCs w:val="28"/>
        </w:rPr>
        <w:t>年</w:t>
      </w:r>
      <w:r>
        <w:rPr>
          <w:rFonts w:hint="eastAsia" w:eastAsia="仿宋_GB2312" w:cs="Times New Roman"/>
          <w:sz w:val="28"/>
          <w:szCs w:val="28"/>
          <w:lang w:val="en-US" w:eastAsia="zh-CN"/>
        </w:rPr>
        <w:t>10</w:t>
      </w:r>
      <w:r>
        <w:rPr>
          <w:rFonts w:ascii="Times New Roman" w:hAnsi="Times New Roman" w:eastAsia="仿宋_GB2312" w:cs="Times New Roman"/>
          <w:sz w:val="28"/>
          <w:szCs w:val="28"/>
        </w:rPr>
        <w:t>月</w:t>
      </w:r>
      <w:r>
        <w:rPr>
          <w:rFonts w:hint="eastAsia" w:eastAsia="仿宋_GB2312" w:cs="Times New Roman"/>
          <w:sz w:val="28"/>
          <w:szCs w:val="28"/>
          <w:lang w:val="en-US" w:eastAsia="zh-CN"/>
        </w:rPr>
        <w:t>14</w:t>
      </w:r>
      <w:r>
        <w:rPr>
          <w:rFonts w:ascii="Times New Roman" w:hAnsi="Times New Roman" w:eastAsia="仿宋_GB2312" w:cs="Times New Roman"/>
          <w:sz w:val="28"/>
          <w:szCs w:val="28"/>
        </w:rPr>
        <w:t>日印发</w:t>
      </w:r>
      <w:r>
        <w:rPr>
          <w:rFonts w:hint="eastAsia" w:ascii="仿宋_GB2312" w:hAnsi="仿宋_GB2312" w:eastAsia="仿宋_GB2312" w:cs="仿宋_GB2312"/>
          <w:sz w:val="32"/>
          <w:szCs w:val="32"/>
          <w:u w:val="single"/>
        </w:rPr>
        <w:t xml:space="preserve"> </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3A0084-C79F-4C80-AEF6-72B190387E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à.ā">
    <w:altName w:val="宋体"/>
    <w:panose1 w:val="00000000000000000000"/>
    <w:charset w:val="00"/>
    <w:family w:val="auto"/>
    <w:pitch w:val="default"/>
    <w:sig w:usb0="00000000" w:usb1="00000000" w:usb2="00000000"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7AA278AF-ABE2-4D74-BED7-9417D22CB3F1}"/>
  </w:font>
  <w:font w:name="仿宋_GB2312">
    <w:panose1 w:val="02010609030101010101"/>
    <w:charset w:val="86"/>
    <w:family w:val="auto"/>
    <w:pitch w:val="default"/>
    <w:sig w:usb0="00000001" w:usb1="080E0000" w:usb2="00000000" w:usb3="00000000" w:csb0="00040000" w:csb1="00000000"/>
    <w:embedRegular r:id="rId3" w:fontKey="{1DF13C55-B8AF-4DB1-BAE6-F9CECB9C92B2}"/>
  </w:font>
  <w:font w:name="方正仿宋_GBK">
    <w:panose1 w:val="02000000000000000000"/>
    <w:charset w:val="86"/>
    <w:family w:val="auto"/>
    <w:pitch w:val="default"/>
    <w:sig w:usb0="A00002BF" w:usb1="38CF7CFA" w:usb2="00082016" w:usb3="00000000" w:csb0="00040001" w:csb1="00000000"/>
    <w:embedRegular r:id="rId4" w:fontKey="{157E0F15-6493-435A-93A3-CBD5CA247C63}"/>
  </w:font>
  <w:font w:name="方正小标宋简体">
    <w:altName w:val="仿宋_GB2312"/>
    <w:panose1 w:val="02010601030101010101"/>
    <w:charset w:val="86"/>
    <w:family w:val="auto"/>
    <w:pitch w:val="default"/>
    <w:sig w:usb0="00000000" w:usb1="00000000" w:usb2="00000000" w:usb3="00000000" w:csb0="00040000" w:csb1="00000000"/>
    <w:embedRegular r:id="rId5" w:fontKey="{0D1DAA20-2D6C-477A-AE83-861DB7456994}"/>
  </w:font>
  <w:font w:name="楷体">
    <w:panose1 w:val="02010609060101010101"/>
    <w:charset w:val="86"/>
    <w:family w:val="modern"/>
    <w:pitch w:val="default"/>
    <w:sig w:usb0="800002BF" w:usb1="38CF7CFA" w:usb2="00000016" w:usb3="00000000" w:csb0="00040001" w:csb1="00000000"/>
    <w:embedRegular r:id="rId6" w:fontKey="{8D5850CC-6F53-482A-86DF-2E28464F1223}"/>
  </w:font>
  <w:font w:name="方正黑体_GBK">
    <w:altName w:val="微软雅黑"/>
    <w:panose1 w:val="00000000000000000000"/>
    <w:charset w:val="86"/>
    <w:family w:val="auto"/>
    <w:pitch w:val="default"/>
    <w:sig w:usb0="00000000" w:usb1="00000000" w:usb2="00000000" w:usb3="00000000" w:csb0="00040000" w:csb1="00000000"/>
    <w:embedRegular r:id="rId7" w:fontKey="{A21DE459-2719-4744-8BEC-981C4C299517}"/>
  </w:font>
  <w:font w:name="微软雅黑">
    <w:panose1 w:val="020B0503020204020204"/>
    <w:charset w:val="86"/>
    <w:family w:val="auto"/>
    <w:pitch w:val="default"/>
    <w:sig w:usb0="80000287" w:usb1="2ACF3C50" w:usb2="00000016" w:usb3="00000000" w:csb0="0004001F" w:csb1="00000000"/>
  </w:font>
  <w:font w:name="E-BX">
    <w:altName w:val="Segoe Print"/>
    <w:panose1 w:val="00000000000000000000"/>
    <w:charset w:val="00"/>
    <w:family w:val="auto"/>
    <w:pitch w:val="default"/>
    <w:sig w:usb0="00000000" w:usb1="00000000" w:usb2="00000000" w:usb3="00000000" w:csb0="00000000" w:csb1="00000000"/>
    <w:embedRegular r:id="rId8" w:fontKey="{F4944EE0-FE6D-41D8-BE66-3138F587CB9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0"/>
                </w:pPr>
                <w:r>
                  <w:t xml:space="preserve">— </w:t>
                </w:r>
                <w:r>
                  <w:fldChar w:fldCharType="begin"/>
                </w:r>
                <w:r>
                  <w:instrText xml:space="preserve"> PAGE  \* MERGEFORMAT </w:instrText>
                </w:r>
                <w:r>
                  <w:fldChar w:fldCharType="separate"/>
                </w:r>
                <w:r>
                  <w:t>3</w:t>
                </w:r>
                <w:r>
                  <w:fldChar w:fldCharType="end"/>
                </w:r>
                <w: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010FE3"/>
    <w:multiLevelType w:val="singleLevel"/>
    <w:tmpl w:val="ED010FE3"/>
    <w:lvl w:ilvl="0" w:tentative="0">
      <w:start w:val="1"/>
      <w:numFmt w:val="chineseCounting"/>
      <w:suff w:val="space"/>
      <w:lvlText w:val="第%1章"/>
      <w:lvlJc w:val="left"/>
      <w:rPr>
        <w:rFonts w:hint="eastAsia"/>
      </w:rPr>
    </w:lvl>
  </w:abstractNum>
  <w:abstractNum w:abstractNumId="1">
    <w:nsid w:val="602723E8"/>
    <w:multiLevelType w:val="singleLevel"/>
    <w:tmpl w:val="602723E8"/>
    <w:lvl w:ilvl="0" w:tentative="0">
      <w:start w:val="1"/>
      <w:numFmt w:val="chineseCounting"/>
      <w:suff w:val="space"/>
      <w:lvlText w:val="第%1节"/>
      <w:lvlJc w:val="left"/>
      <w:pPr>
        <w:ind w:left="3212"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E1NmE2NDFkYjJiZDdmMzAyYzU2OWIwYWU0ODAzNDYifQ=="/>
  </w:docVars>
  <w:rsids>
    <w:rsidRoot w:val="00F44F46"/>
    <w:rsid w:val="000362F4"/>
    <w:rsid w:val="001A318D"/>
    <w:rsid w:val="001B3CD1"/>
    <w:rsid w:val="005A0FB6"/>
    <w:rsid w:val="00661709"/>
    <w:rsid w:val="007E0963"/>
    <w:rsid w:val="00830BE9"/>
    <w:rsid w:val="00A6624F"/>
    <w:rsid w:val="00E64BEC"/>
    <w:rsid w:val="00ED1C4E"/>
    <w:rsid w:val="00F44F46"/>
    <w:rsid w:val="00FC3C63"/>
    <w:rsid w:val="01C8135F"/>
    <w:rsid w:val="028B36A9"/>
    <w:rsid w:val="02900C6F"/>
    <w:rsid w:val="02D05560"/>
    <w:rsid w:val="02D92666"/>
    <w:rsid w:val="02F54FC6"/>
    <w:rsid w:val="0358283F"/>
    <w:rsid w:val="04C74740"/>
    <w:rsid w:val="05292481"/>
    <w:rsid w:val="05474783"/>
    <w:rsid w:val="0551002A"/>
    <w:rsid w:val="05A143AF"/>
    <w:rsid w:val="05BA356B"/>
    <w:rsid w:val="05C21607"/>
    <w:rsid w:val="066E55CF"/>
    <w:rsid w:val="07794418"/>
    <w:rsid w:val="077C235A"/>
    <w:rsid w:val="077E2436"/>
    <w:rsid w:val="07C95304"/>
    <w:rsid w:val="08D00067"/>
    <w:rsid w:val="08EB470A"/>
    <w:rsid w:val="09324356"/>
    <w:rsid w:val="095F763D"/>
    <w:rsid w:val="09A13015"/>
    <w:rsid w:val="0B066AE0"/>
    <w:rsid w:val="0B0E4E77"/>
    <w:rsid w:val="0B584344"/>
    <w:rsid w:val="0B7C6285"/>
    <w:rsid w:val="0BC11EE9"/>
    <w:rsid w:val="0BEA7E10"/>
    <w:rsid w:val="0C1F6495"/>
    <w:rsid w:val="0C444978"/>
    <w:rsid w:val="0C5A6BDF"/>
    <w:rsid w:val="0C8F604B"/>
    <w:rsid w:val="0D2C5A88"/>
    <w:rsid w:val="0DC932D7"/>
    <w:rsid w:val="0E082052"/>
    <w:rsid w:val="0E2A646C"/>
    <w:rsid w:val="0E524874"/>
    <w:rsid w:val="0EAF0988"/>
    <w:rsid w:val="0ED13408"/>
    <w:rsid w:val="0F42375E"/>
    <w:rsid w:val="0F827BE2"/>
    <w:rsid w:val="0FE73EE9"/>
    <w:rsid w:val="0FEB55C0"/>
    <w:rsid w:val="1060742F"/>
    <w:rsid w:val="110F1949"/>
    <w:rsid w:val="1122167C"/>
    <w:rsid w:val="11561326"/>
    <w:rsid w:val="11C72224"/>
    <w:rsid w:val="120E3137"/>
    <w:rsid w:val="122345EA"/>
    <w:rsid w:val="12623E73"/>
    <w:rsid w:val="12B007EB"/>
    <w:rsid w:val="139B5716"/>
    <w:rsid w:val="13B660AC"/>
    <w:rsid w:val="1424570B"/>
    <w:rsid w:val="142E6750"/>
    <w:rsid w:val="14830684"/>
    <w:rsid w:val="148C3870"/>
    <w:rsid w:val="14B9447C"/>
    <w:rsid w:val="14C61A5F"/>
    <w:rsid w:val="1598015F"/>
    <w:rsid w:val="15F113BE"/>
    <w:rsid w:val="168F597B"/>
    <w:rsid w:val="169569FE"/>
    <w:rsid w:val="17005A49"/>
    <w:rsid w:val="17541657"/>
    <w:rsid w:val="17E41CF1"/>
    <w:rsid w:val="1814546B"/>
    <w:rsid w:val="18182ECB"/>
    <w:rsid w:val="19AF45D1"/>
    <w:rsid w:val="1A012989"/>
    <w:rsid w:val="1A1F0E44"/>
    <w:rsid w:val="1A50725A"/>
    <w:rsid w:val="1A991DC1"/>
    <w:rsid w:val="1AAB623F"/>
    <w:rsid w:val="1C635EC8"/>
    <w:rsid w:val="1CD8261F"/>
    <w:rsid w:val="1D271DC8"/>
    <w:rsid w:val="1D366CF4"/>
    <w:rsid w:val="1D476287"/>
    <w:rsid w:val="1D4B3D09"/>
    <w:rsid w:val="1DD0420E"/>
    <w:rsid w:val="1E401394"/>
    <w:rsid w:val="1FA01812"/>
    <w:rsid w:val="1FF471BD"/>
    <w:rsid w:val="211D43DA"/>
    <w:rsid w:val="21FC3824"/>
    <w:rsid w:val="22C22653"/>
    <w:rsid w:val="22D874CD"/>
    <w:rsid w:val="2309269C"/>
    <w:rsid w:val="231A0405"/>
    <w:rsid w:val="23854FDD"/>
    <w:rsid w:val="245D4C15"/>
    <w:rsid w:val="24964B67"/>
    <w:rsid w:val="24EC7BA3"/>
    <w:rsid w:val="26E50D2A"/>
    <w:rsid w:val="26E70A57"/>
    <w:rsid w:val="26EF7DFB"/>
    <w:rsid w:val="272F4874"/>
    <w:rsid w:val="278272CC"/>
    <w:rsid w:val="28251798"/>
    <w:rsid w:val="284E28A6"/>
    <w:rsid w:val="289357E7"/>
    <w:rsid w:val="293E4722"/>
    <w:rsid w:val="294F4B81"/>
    <w:rsid w:val="299A22A0"/>
    <w:rsid w:val="29D15596"/>
    <w:rsid w:val="2A4033FC"/>
    <w:rsid w:val="2A6959F7"/>
    <w:rsid w:val="2B193698"/>
    <w:rsid w:val="2BE9632E"/>
    <w:rsid w:val="2C2C73FB"/>
    <w:rsid w:val="2C3A7288"/>
    <w:rsid w:val="2C5D3F21"/>
    <w:rsid w:val="2C8913AC"/>
    <w:rsid w:val="2CC30466"/>
    <w:rsid w:val="2CCB451E"/>
    <w:rsid w:val="2D1D4D21"/>
    <w:rsid w:val="2D7746A6"/>
    <w:rsid w:val="2DBC56AA"/>
    <w:rsid w:val="2E261FB9"/>
    <w:rsid w:val="2F600542"/>
    <w:rsid w:val="2FBB0D9F"/>
    <w:rsid w:val="2FE75B13"/>
    <w:rsid w:val="30102F48"/>
    <w:rsid w:val="305B6A27"/>
    <w:rsid w:val="30762EC9"/>
    <w:rsid w:val="30A638A8"/>
    <w:rsid w:val="30B67293"/>
    <w:rsid w:val="30CC54B3"/>
    <w:rsid w:val="31221F31"/>
    <w:rsid w:val="318732B7"/>
    <w:rsid w:val="31AF4538"/>
    <w:rsid w:val="32AE46C6"/>
    <w:rsid w:val="32D346A5"/>
    <w:rsid w:val="33947D60"/>
    <w:rsid w:val="34FF56AD"/>
    <w:rsid w:val="3759406D"/>
    <w:rsid w:val="377C49BD"/>
    <w:rsid w:val="38404012"/>
    <w:rsid w:val="38A547BD"/>
    <w:rsid w:val="38D80114"/>
    <w:rsid w:val="393D18BA"/>
    <w:rsid w:val="395F6526"/>
    <w:rsid w:val="39796494"/>
    <w:rsid w:val="3A5225CB"/>
    <w:rsid w:val="3AC17FF1"/>
    <w:rsid w:val="3AC206A9"/>
    <w:rsid w:val="3AE95E4F"/>
    <w:rsid w:val="3B385475"/>
    <w:rsid w:val="3B541B31"/>
    <w:rsid w:val="3B626996"/>
    <w:rsid w:val="3BB550B2"/>
    <w:rsid w:val="3BB66469"/>
    <w:rsid w:val="3C0E0842"/>
    <w:rsid w:val="3CAE63DF"/>
    <w:rsid w:val="3D024681"/>
    <w:rsid w:val="3E067AAC"/>
    <w:rsid w:val="3E105E18"/>
    <w:rsid w:val="3E13258E"/>
    <w:rsid w:val="3E4D2B9C"/>
    <w:rsid w:val="3E611186"/>
    <w:rsid w:val="3E9E5F37"/>
    <w:rsid w:val="3F0F0BE2"/>
    <w:rsid w:val="3F1D5C2F"/>
    <w:rsid w:val="3F31627C"/>
    <w:rsid w:val="3FB36E63"/>
    <w:rsid w:val="3FC0032A"/>
    <w:rsid w:val="401F56AF"/>
    <w:rsid w:val="402E5098"/>
    <w:rsid w:val="40A4535A"/>
    <w:rsid w:val="40B27F19"/>
    <w:rsid w:val="411E335F"/>
    <w:rsid w:val="41A03D74"/>
    <w:rsid w:val="41A2262F"/>
    <w:rsid w:val="41B676E4"/>
    <w:rsid w:val="41EB19E0"/>
    <w:rsid w:val="424169C1"/>
    <w:rsid w:val="42755200"/>
    <w:rsid w:val="42943E22"/>
    <w:rsid w:val="42981376"/>
    <w:rsid w:val="42BC2E2F"/>
    <w:rsid w:val="43986ABA"/>
    <w:rsid w:val="44071A8F"/>
    <w:rsid w:val="4416656F"/>
    <w:rsid w:val="4499239B"/>
    <w:rsid w:val="44A8366B"/>
    <w:rsid w:val="44D031E1"/>
    <w:rsid w:val="44F7014F"/>
    <w:rsid w:val="451E64F5"/>
    <w:rsid w:val="4524056F"/>
    <w:rsid w:val="455A0708"/>
    <w:rsid w:val="459B6D2C"/>
    <w:rsid w:val="45F7352C"/>
    <w:rsid w:val="46766F49"/>
    <w:rsid w:val="46954B6D"/>
    <w:rsid w:val="47A64B99"/>
    <w:rsid w:val="47CC56D0"/>
    <w:rsid w:val="47E938E9"/>
    <w:rsid w:val="488937B4"/>
    <w:rsid w:val="48E673C5"/>
    <w:rsid w:val="48F50E49"/>
    <w:rsid w:val="49025314"/>
    <w:rsid w:val="490E17C1"/>
    <w:rsid w:val="49867CF3"/>
    <w:rsid w:val="49C4009B"/>
    <w:rsid w:val="4AA0520D"/>
    <w:rsid w:val="4B0E7FA0"/>
    <w:rsid w:val="4B9A1833"/>
    <w:rsid w:val="4BBB3239"/>
    <w:rsid w:val="4C130B33"/>
    <w:rsid w:val="4C242F29"/>
    <w:rsid w:val="4C2D4456"/>
    <w:rsid w:val="4C577725"/>
    <w:rsid w:val="4CB654EF"/>
    <w:rsid w:val="4CDB0356"/>
    <w:rsid w:val="4D3A6DB9"/>
    <w:rsid w:val="4D7C5382"/>
    <w:rsid w:val="4DBF37D4"/>
    <w:rsid w:val="4E2F5DCC"/>
    <w:rsid w:val="4E4D7031"/>
    <w:rsid w:val="4E600B13"/>
    <w:rsid w:val="4EC2357B"/>
    <w:rsid w:val="4FC228FD"/>
    <w:rsid w:val="4FE20082"/>
    <w:rsid w:val="5039071B"/>
    <w:rsid w:val="50CD4459"/>
    <w:rsid w:val="50FC37C6"/>
    <w:rsid w:val="51FC0F51"/>
    <w:rsid w:val="5263529E"/>
    <w:rsid w:val="5265190D"/>
    <w:rsid w:val="528820C0"/>
    <w:rsid w:val="53D63625"/>
    <w:rsid w:val="53EB70D0"/>
    <w:rsid w:val="53EE3B98"/>
    <w:rsid w:val="54071A30"/>
    <w:rsid w:val="544A29A3"/>
    <w:rsid w:val="544C7151"/>
    <w:rsid w:val="550941D0"/>
    <w:rsid w:val="55734B7E"/>
    <w:rsid w:val="557A4B24"/>
    <w:rsid w:val="557E0A3A"/>
    <w:rsid w:val="558C574A"/>
    <w:rsid w:val="55D87B28"/>
    <w:rsid w:val="55E37A86"/>
    <w:rsid w:val="580F4B5E"/>
    <w:rsid w:val="586D6126"/>
    <w:rsid w:val="58D56C37"/>
    <w:rsid w:val="5960056F"/>
    <w:rsid w:val="5A382944"/>
    <w:rsid w:val="5A9A1850"/>
    <w:rsid w:val="5AE64A95"/>
    <w:rsid w:val="5B8D4F11"/>
    <w:rsid w:val="5C2A5285"/>
    <w:rsid w:val="5C544D03"/>
    <w:rsid w:val="5C7C36C8"/>
    <w:rsid w:val="5CC630BA"/>
    <w:rsid w:val="5CDD5A24"/>
    <w:rsid w:val="5CE02624"/>
    <w:rsid w:val="5D893F99"/>
    <w:rsid w:val="5DD67B72"/>
    <w:rsid w:val="5E0019CA"/>
    <w:rsid w:val="5E526FF8"/>
    <w:rsid w:val="5F5A15AE"/>
    <w:rsid w:val="5FF044C6"/>
    <w:rsid w:val="60643EE7"/>
    <w:rsid w:val="60CA202D"/>
    <w:rsid w:val="60E36D22"/>
    <w:rsid w:val="61533402"/>
    <w:rsid w:val="616F1092"/>
    <w:rsid w:val="61816AA8"/>
    <w:rsid w:val="619F012C"/>
    <w:rsid w:val="634C56B2"/>
    <w:rsid w:val="638E5EF3"/>
    <w:rsid w:val="63F50D43"/>
    <w:rsid w:val="647749B0"/>
    <w:rsid w:val="65387C9C"/>
    <w:rsid w:val="65A45331"/>
    <w:rsid w:val="66B75538"/>
    <w:rsid w:val="67CF7B6C"/>
    <w:rsid w:val="67F840DA"/>
    <w:rsid w:val="681D2AEB"/>
    <w:rsid w:val="68317C64"/>
    <w:rsid w:val="690241DD"/>
    <w:rsid w:val="69162399"/>
    <w:rsid w:val="69AE49D0"/>
    <w:rsid w:val="69B6552D"/>
    <w:rsid w:val="69F12B0F"/>
    <w:rsid w:val="6A0A6D98"/>
    <w:rsid w:val="6A6B0B13"/>
    <w:rsid w:val="6A7B2EC3"/>
    <w:rsid w:val="6ABE31F8"/>
    <w:rsid w:val="6AC41FD2"/>
    <w:rsid w:val="6AF503DD"/>
    <w:rsid w:val="6B023A33"/>
    <w:rsid w:val="6B5B46E4"/>
    <w:rsid w:val="6B6F54F9"/>
    <w:rsid w:val="6B962E2E"/>
    <w:rsid w:val="6BA73DCD"/>
    <w:rsid w:val="6C1A634D"/>
    <w:rsid w:val="6C5A2BED"/>
    <w:rsid w:val="6D5D0BE7"/>
    <w:rsid w:val="6DAA2B7C"/>
    <w:rsid w:val="6DEA7FA1"/>
    <w:rsid w:val="6E126FD2"/>
    <w:rsid w:val="6E423939"/>
    <w:rsid w:val="6E540A0A"/>
    <w:rsid w:val="6E7B0F5B"/>
    <w:rsid w:val="6E86386C"/>
    <w:rsid w:val="6EC57260"/>
    <w:rsid w:val="6F4D6992"/>
    <w:rsid w:val="6F5B0B42"/>
    <w:rsid w:val="6FC7059A"/>
    <w:rsid w:val="6FFC7DEA"/>
    <w:rsid w:val="70934920"/>
    <w:rsid w:val="709F1517"/>
    <w:rsid w:val="70DF538B"/>
    <w:rsid w:val="710032F2"/>
    <w:rsid w:val="710B6BAC"/>
    <w:rsid w:val="71963C88"/>
    <w:rsid w:val="71C34FDA"/>
    <w:rsid w:val="725E6519"/>
    <w:rsid w:val="72C514E6"/>
    <w:rsid w:val="744F6B82"/>
    <w:rsid w:val="74F15569"/>
    <w:rsid w:val="75EF084A"/>
    <w:rsid w:val="765D58B5"/>
    <w:rsid w:val="76DB2B7D"/>
    <w:rsid w:val="77037934"/>
    <w:rsid w:val="774A3A6F"/>
    <w:rsid w:val="77DA1086"/>
    <w:rsid w:val="7819395D"/>
    <w:rsid w:val="785030F6"/>
    <w:rsid w:val="7855247E"/>
    <w:rsid w:val="785C1B03"/>
    <w:rsid w:val="7915202A"/>
    <w:rsid w:val="7927654D"/>
    <w:rsid w:val="797F4522"/>
    <w:rsid w:val="7984574E"/>
    <w:rsid w:val="7997588D"/>
    <w:rsid w:val="79A135DB"/>
    <w:rsid w:val="79A91382"/>
    <w:rsid w:val="79D950C5"/>
    <w:rsid w:val="7A3C3932"/>
    <w:rsid w:val="7A805F15"/>
    <w:rsid w:val="7AF1296F"/>
    <w:rsid w:val="7B4E6013"/>
    <w:rsid w:val="7B946133"/>
    <w:rsid w:val="7BB816DF"/>
    <w:rsid w:val="7BE51155"/>
    <w:rsid w:val="7C235949"/>
    <w:rsid w:val="7C46143C"/>
    <w:rsid w:val="7C5A2796"/>
    <w:rsid w:val="7CA96AF8"/>
    <w:rsid w:val="7CAA1027"/>
    <w:rsid w:val="7CDE33C7"/>
    <w:rsid w:val="7D562A30"/>
    <w:rsid w:val="7D9B310D"/>
    <w:rsid w:val="7D9D6DDE"/>
    <w:rsid w:val="7DCC1471"/>
    <w:rsid w:val="7E0D5D12"/>
    <w:rsid w:val="7E5356EF"/>
    <w:rsid w:val="7E582D05"/>
    <w:rsid w:val="7E5A6A7D"/>
    <w:rsid w:val="7E8E6727"/>
    <w:rsid w:val="7EAF4EC9"/>
    <w:rsid w:val="7F6C15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index 5"/>
    <w:basedOn w:val="1"/>
    <w:next w:val="1"/>
    <w:qFormat/>
    <w:uiPriority w:val="0"/>
    <w:pPr>
      <w:ind w:left="1680"/>
    </w:pPr>
  </w:style>
  <w:style w:type="paragraph" w:styleId="5">
    <w:name w:val="Body Text"/>
    <w:unhideWhenUsed/>
    <w:qFormat/>
    <w:uiPriority w:val="99"/>
    <w:pPr>
      <w:widowControl w:val="0"/>
      <w:jc w:val="center"/>
    </w:pPr>
    <w:rPr>
      <w:rFonts w:ascii="宋体" w:hAnsi="Calibri" w:eastAsia="宋体" w:cs="Times New Roman"/>
      <w:b/>
      <w:kern w:val="2"/>
      <w:sz w:val="44"/>
      <w:szCs w:val="22"/>
      <w:lang w:val="en-US" w:eastAsia="zh-CN" w:bidi="ar-SA"/>
    </w:rPr>
  </w:style>
  <w:style w:type="paragraph" w:styleId="6">
    <w:name w:val="Body Text Indent"/>
    <w:basedOn w:val="1"/>
    <w:next w:val="7"/>
    <w:qFormat/>
    <w:uiPriority w:val="0"/>
    <w:pPr>
      <w:ind w:left="420" w:leftChars="200"/>
    </w:pPr>
    <w:rPr>
      <w:rFonts w:ascii="Times New Roman" w:hAnsi="Times New Roman" w:eastAsia="宋体" w:cs="Times New Roman"/>
    </w:rPr>
  </w:style>
  <w:style w:type="paragraph" w:styleId="7">
    <w:name w:val="Body Text First Indent 2"/>
    <w:basedOn w:val="6"/>
    <w:next w:val="8"/>
    <w:qFormat/>
    <w:uiPriority w:val="0"/>
    <w:pPr>
      <w:ind w:firstLine="420" w:firstLineChars="200"/>
    </w:pPr>
  </w:style>
  <w:style w:type="paragraph" w:styleId="8">
    <w:name w:val="Plain Text"/>
    <w:basedOn w:val="1"/>
    <w:next w:val="4"/>
    <w:qFormat/>
    <w:uiPriority w:val="99"/>
    <w:rPr>
      <w:rFonts w:ascii="宋体" w:hAnsi="Courier New" w:cs="宋体"/>
      <w:szCs w:val="21"/>
    </w:rPr>
  </w:style>
  <w:style w:type="paragraph" w:styleId="9">
    <w:name w:val="Balloon Text"/>
    <w:basedOn w:val="1"/>
    <w:link w:val="2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able of figures"/>
    <w:basedOn w:val="1"/>
    <w:next w:val="1"/>
    <w:qFormat/>
    <w:uiPriority w:val="0"/>
    <w:pPr>
      <w:ind w:left="400" w:leftChars="200" w:hanging="200" w:hangingChars="200"/>
    </w:pPr>
  </w:style>
  <w:style w:type="paragraph" w:styleId="13">
    <w:name w:val="Normal (Web)"/>
    <w:basedOn w:val="1"/>
    <w:qFormat/>
    <w:uiPriority w:val="0"/>
    <w:rPr>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文档正文"/>
    <w:basedOn w:val="1"/>
    <w:qFormat/>
    <w:uiPriority w:val="0"/>
    <w:pPr>
      <w:adjustRightInd w:val="0"/>
      <w:spacing w:line="480" w:lineRule="atLeast"/>
      <w:textAlignment w:val="baseline"/>
    </w:pPr>
    <w:rPr>
      <w:rFonts w:ascii="Arial" w:hAnsi="Arial"/>
      <w:kern w:val="0"/>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0">
    <w:name w:val="Default"/>
    <w:qFormat/>
    <w:uiPriority w:val="6"/>
    <w:pPr>
      <w:widowControl w:val="0"/>
      <w:suppressAutoHyphens/>
      <w:autoSpaceDE w:val="0"/>
    </w:pPr>
    <w:rPr>
      <w:rFonts w:ascii="楷体à.ā" w:hAnsi="楷体à.ā" w:eastAsia="楷体à.ā" w:cs="Times New Roman"/>
      <w:color w:val="000000"/>
      <w:sz w:val="24"/>
      <w:szCs w:val="22"/>
      <w:lang w:val="en-US" w:eastAsia="zh-CN" w:bidi="ar-SA"/>
    </w:rPr>
  </w:style>
  <w:style w:type="character" w:customStyle="1" w:styleId="21">
    <w:name w:val="批注框文本 Char"/>
    <w:basedOn w:val="16"/>
    <w:link w:val="9"/>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11981</Words>
  <Characters>12216</Characters>
  <Lines>15</Lines>
  <Paragraphs>27</Paragraphs>
  <TotalTime>2</TotalTime>
  <ScaleCrop>false</ScaleCrop>
  <LinksUpToDate>false</LinksUpToDate>
  <CharactersWithSpaces>12525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denghui</dc:creator>
  <cp:lastModifiedBy>LENOVO</cp:lastModifiedBy>
  <cp:lastPrinted>2022-08-17T08:53:00Z</cp:lastPrinted>
  <dcterms:modified xsi:type="dcterms:W3CDTF">2022-10-15T04:26:51Z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410A0295BA844EABBEF9FE87655947F8</vt:lpwstr>
  </property>
</Properties>
</file>