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rPr>
          <w:rFonts w:hint="eastAsia"/>
        </w:rPr>
      </w:pPr>
      <w:r>
        <w:rPr>
          <w:rFonts w:ascii="Times New Roman" w:eastAsia="方正小标宋简体" w:cs="Times New Roman" w:hAnsi="Times New Roman"/>
          <w:color w:val="auto"/>
          <w:sz w:val="44"/>
          <w:szCs w:val="44"/>
          <w:lang w:val="en-US" w:eastAsia="zh-CN" w:bidi="ar-SA"/>
        </w:rPr>
        <w:drawing>
          <wp:anchor distT="0" distB="0" distL="114300" distR="114300" simplePos="0" relativeHeight="2" behindDoc="1" locked="0" layoutInCell="1" hidden="0" allowOverlap="1">
            <wp:simplePos x="0" y="0"/>
            <wp:positionH relativeFrom="column">
              <wp:posOffset>-1144906</wp:posOffset>
            </wp:positionH>
            <wp:positionV relativeFrom="paragraph">
              <wp:posOffset>-882647</wp:posOffset>
            </wp:positionV>
            <wp:extent cx="8119110" cy="10693233"/>
            <wp:effectExtent l="0" t="0" r="0" b="0"/>
            <wp:wrapNone/>
            <wp:docPr id="1" name="图片 2" descr="理府（理府发）"/>
            <wp:cNvGraphicFramePr>
              <a:graphicFrameLocks noChangeAspect="1"/>
            </wp:cNvGraphicFramePr>
            <a:graphic>
              <a:graphicData uri="http://schemas.openxmlformats.org/drawingml/2006/picture">
                <pic:pic>
                  <pic:nvPicPr>
                    <pic:cNvPr id="3" name="图片 2 3"/>
                    <pic:cNvPicPr/>
                  </pic:nvPicPr>
                  <pic:blipFill>
                    <a:blip r:embed="rId2"/>
                    <a:stretch>
                      <a:fillRect/>
                    </a:stretch>
                  </pic:blipFill>
                  <pic:spPr>
                    <a:xfrm rot="0">
                      <a:off x="0" y="0"/>
                      <a:ext cx="8119110" cy="10693233"/>
                    </a:xfrm>
                    <a:prstGeom prst="rect"/>
                    <a:noFill/>
                    <a:ln w="9525" cmpd="sng" cap="flat">
                      <a:noFill/>
                      <a:prstDash val="solid"/>
                      <a:round/>
                    </a:ln>
                  </pic:spPr>
                </pic:pic>
              </a:graphicData>
            </a:graphic>
          </wp:anchor>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rPr>
      </w:pPr>
      <w:r>
        <w:rPr>
          <w:rFonts w:ascii="Times New Roman" w:eastAsia="仿宋_GB2312" w:cs="Times New Roman" w:hAnsi="Times New Roman"/>
          <w:sz w:val="32"/>
          <w:szCs w:val="32"/>
          <w:u w:val="none"/>
          <w:lang w:val="en-US" w:eastAsia="zh-CN" w:bidi="ar-SA"/>
        </w:rPr>
        <w:t>理府〔2023〕</w:t>
      </w:r>
      <w:r>
        <w:rPr>
          <w:rFonts w:ascii="Times New Roman" w:eastAsia="仿宋_GB2312" w:cs="Times New Roman" w:hAnsi="Times New Roman"/>
          <w:sz w:val="32"/>
          <w:szCs w:val="32"/>
          <w:u w:val="none"/>
          <w:lang w:val="en-US" w:eastAsia="zh-CN" w:bidi="ar-SA"/>
        </w:rPr>
        <w:t>34</w:t>
      </w:r>
      <w:r>
        <w:rPr>
          <w:rFonts w:ascii="Times New Roman" w:eastAsia="仿宋_GB2312" w:cs="Times New Roman" w:hAnsi="Times New Roman"/>
          <w:sz w:val="32"/>
          <w:szCs w:val="32"/>
          <w:u w:val="none"/>
          <w:lang w:val="en-US" w:eastAsia="zh-CN" w:bidi="ar-SA"/>
        </w:rPr>
        <w:t>号</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eastAsia="方正小标宋简体" w:cs="方正小标宋简体" w:hint="eastAsia"/>
          <w:sz w:val="44"/>
          <w:szCs w:val="44"/>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eastAsia="方正小标宋简体" w:cs="方正小标宋简体" w:hint="eastAsia"/>
          <w:sz w:val="44"/>
          <w:szCs w:val="44"/>
        </w:rPr>
      </w:pPr>
      <w:r>
        <w:rPr>
          <w:rFonts w:ascii="方正小标宋简体" w:eastAsia="方正小标宋简体" w:cs="方正小标宋简体" w:hint="eastAsia"/>
          <w:sz w:val="44"/>
          <w:szCs w:val="44"/>
        </w:rPr>
        <w:t>理县人民政府</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eastAsia="方正小标宋简体" w:cs="方正小标宋简体" w:hint="eastAsia"/>
          <w:sz w:val="44"/>
          <w:szCs w:val="44"/>
        </w:rPr>
      </w:pPr>
      <w:r>
        <w:rPr>
          <w:rFonts w:ascii="方正小标宋简体" w:eastAsia="方正小标宋简体" w:cs="方正小标宋简体" w:hint="eastAsia"/>
          <w:sz w:val="44"/>
          <w:szCs w:val="44"/>
        </w:rPr>
        <w:t>关于印发《理县矿产资源总体规（2021-2025年）》的通知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eastAsia="方正小标宋简体" w:cs="方正小标宋简体" w:hint="eastAsia"/>
          <w:sz w:val="44"/>
          <w:szCs w:val="44"/>
        </w:rPr>
      </w:pP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ascii="Times New Roman" w:eastAsia="仿宋_GB2312" w:cs="Times New Roman" w:hAnsi="Times New Roman"/>
          <w:sz w:val="32"/>
          <w:szCs w:val="32"/>
        </w:rPr>
      </w:pPr>
      <w:r>
        <w:rPr>
          <w:rFonts w:ascii="Times New Roman" w:eastAsia="仿宋_GB2312" w:cs="Times New Roman" w:hAnsi="Times New Roman"/>
          <w:sz w:val="32"/>
          <w:szCs w:val="32"/>
        </w:rPr>
        <w:t>各乡镇人民政府、县级各部门：</w:t>
      </w:r>
    </w:p>
    <w:p>
      <w:pPr>
        <w:keepNext w:val="0"/>
        <w:keepLines w:val="0"/>
        <w:pageBreakBefore w:val="0"/>
        <w:widowControl w:val="0"/>
        <w:kinsoku/>
        <w:wordWrap/>
        <w:overflowPunct/>
        <w:topLinePunct w:val="0"/>
        <w:autoSpaceDE/>
        <w:autoSpaceDN/>
        <w:bidi w:val="0"/>
        <w:adjustRightInd/>
        <w:snapToGrid/>
        <w:spacing w:line="700" w:lineRule="exact"/>
        <w:ind w:firstLineChars="200" w:firstLine="640"/>
        <w:textAlignment w:val="auto"/>
        <w:rPr>
          <w:rFonts w:ascii="Times New Roman" w:eastAsia="仿宋_GB2312" w:cs="Times New Roman" w:hAnsi="Times New Roman"/>
          <w:sz w:val="32"/>
          <w:szCs w:val="32"/>
        </w:rPr>
      </w:pPr>
      <w:r>
        <w:rPr>
          <w:rFonts w:ascii="Times New Roman" w:eastAsia="仿宋_GB2312" w:cs="Times New Roman" w:hAnsi="Times New Roman"/>
          <w:sz w:val="32"/>
          <w:szCs w:val="32"/>
        </w:rPr>
        <w:t xml:space="preserve">为科学合理开发利用和保护矿产资源，全面深化矿产资源管理改革，促进矿业经济可持续健康发展，进一步提高矿产资源对经济社会发展、重大工程建设以及乡村振兴战略等需求的保障能力，经县人民政府研究，现将《理县矿产资源总体规划（2021-2025年）》印发你们，请严格遵照执行。 </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ascii="Times New Roman" w:eastAsia="仿宋_GB2312" w:cs="Times New Roman" w:hAnsi="Times New Roman"/>
          <w:sz w:val="32"/>
          <w:szCs w:val="32"/>
        </w:rPr>
      </w:pPr>
    </w:p>
    <w:p>
      <w:pPr>
        <w:keepNext w:val="0"/>
        <w:keepLines w:val="0"/>
        <w:pageBreakBefore w:val="0"/>
        <w:widowControl w:val="0"/>
        <w:kinsoku/>
        <w:wordWrap/>
        <w:overflowPunct/>
        <w:topLinePunct w:val="0"/>
        <w:autoSpaceDE/>
        <w:autoSpaceDN/>
        <w:bidi w:val="0"/>
        <w:adjustRightInd/>
        <w:snapToGrid/>
        <w:spacing w:line="700" w:lineRule="exact"/>
        <w:ind w:firstLineChars="200" w:firstLine="640"/>
        <w:textAlignment w:val="auto"/>
        <w:rPr>
          <w:rFonts w:ascii="Times New Roman" w:eastAsia="仿宋_GB2312" w:cs="Times New Roman" w:hAnsi="Times New Roman"/>
          <w:sz w:val="32"/>
          <w:szCs w:val="32"/>
        </w:rPr>
      </w:pPr>
      <w:r>
        <w:rPr>
          <w:rFonts w:ascii="Times New Roman" w:eastAsia="仿宋_GB2312" w:cs="Times New Roman" w:hAnsi="Times New Roman"/>
          <w:sz w:val="32"/>
          <w:szCs w:val="32"/>
        </w:rPr>
        <w:t>附件：理县矿产资源总体规划（2021-2025年）</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ascii="Times New Roman" w:eastAsia="仿宋_GB2312" w:cs="Times New Roman" w:hAnsi="Times New Roman"/>
          <w:sz w:val="32"/>
          <w:szCs w:val="32"/>
        </w:rPr>
      </w:pPr>
    </w:p>
    <w:p>
      <w:pPr>
        <w:keepNext w:val="0"/>
        <w:keepLines w:val="0"/>
        <w:pageBreakBefore w:val="0"/>
        <w:widowControl w:val="0"/>
        <w:kinsoku/>
        <w:wordWrap/>
        <w:overflowPunct/>
        <w:topLinePunct w:val="0"/>
        <w:autoSpaceDE/>
        <w:autoSpaceDN/>
        <w:bidi w:val="0"/>
        <w:adjustRightInd/>
        <w:snapToGrid/>
        <w:spacing w:line="700" w:lineRule="exact"/>
        <w:ind w:firstLineChars="1400" w:firstLine="4480"/>
        <w:textAlignment w:val="auto"/>
        <w:rPr>
          <w:rFonts w:ascii="Times New Roman" w:eastAsia="仿宋_GB2312" w:cs="Times New Roman" w:hAnsi="Times New Roman"/>
          <w:sz w:val="32"/>
          <w:szCs w:val="32"/>
        </w:rPr>
      </w:pPr>
    </w:p>
    <w:p>
      <w:pPr>
        <w:keepNext w:val="0"/>
        <w:keepLines w:val="0"/>
        <w:pageBreakBefore w:val="0"/>
        <w:widowControl w:val="0"/>
        <w:kinsoku/>
        <w:wordWrap/>
        <w:overflowPunct/>
        <w:topLinePunct w:val="0"/>
        <w:autoSpaceDE/>
        <w:autoSpaceDN/>
        <w:bidi w:val="0"/>
        <w:adjustRightInd/>
        <w:snapToGrid/>
        <w:spacing w:line="700" w:lineRule="exact"/>
        <w:ind w:firstLineChars="1400" w:firstLine="4480"/>
        <w:textAlignment w:val="auto"/>
        <w:rPr>
          <w:rFonts w:ascii="Times New Roman" w:eastAsia="仿宋_GB2312" w:cs="Times New Roman" w:hAnsi="Times New Roman"/>
          <w:sz w:val="32"/>
          <w:szCs w:val="32"/>
        </w:rPr>
      </w:pPr>
    </w:p>
    <w:p>
      <w:pPr>
        <w:keepNext w:val="0"/>
        <w:keepLines w:val="0"/>
        <w:pageBreakBefore w:val="0"/>
        <w:widowControl w:val="0"/>
        <w:kinsoku/>
        <w:wordWrap/>
        <w:overflowPunct/>
        <w:topLinePunct w:val="0"/>
        <w:autoSpaceDE/>
        <w:autoSpaceDN/>
        <w:bidi w:val="0"/>
        <w:adjustRightInd/>
        <w:snapToGrid/>
        <w:spacing w:line="700" w:lineRule="exact"/>
        <w:ind w:firstLineChars="1400" w:firstLine="4480"/>
        <w:textAlignment w:val="auto"/>
        <w:rPr>
          <w:rFonts w:ascii="Times New Roman" w:eastAsia="仿宋_GB2312" w:cs="Times New Roman" w:hAnsi="Times New Roman"/>
          <w:sz w:val="32"/>
          <w:szCs w:val="32"/>
        </w:rPr>
      </w:pPr>
      <w:r>
        <w:rPr>
          <w:rFonts w:ascii="Times New Roman" w:eastAsia="仿宋_GB2312" w:cs="Times New Roman" w:hAnsi="Times New Roman"/>
          <w:sz w:val="32"/>
          <w:szCs w:val="32"/>
        </w:rPr>
        <w:t>理县人民政府</w:t>
      </w:r>
    </w:p>
    <w:p>
      <w:pPr>
        <w:keepNext w:val="0"/>
        <w:keepLines w:val="0"/>
        <w:pageBreakBefore w:val="0"/>
        <w:widowControl w:val="0"/>
        <w:kinsoku/>
        <w:wordWrap/>
        <w:overflowPunct/>
        <w:topLinePunct w:val="0"/>
        <w:autoSpaceDE/>
        <w:autoSpaceDN/>
        <w:bidi w:val="0"/>
        <w:adjustRightInd/>
        <w:snapToGrid/>
        <w:spacing w:line="700" w:lineRule="exact"/>
        <w:ind w:firstLineChars="1350" w:firstLine="4320"/>
        <w:textAlignment w:val="auto"/>
        <w:rPr>
          <w:rFonts w:ascii="Times New Roman" w:eastAsia="仿宋_GB2312" w:cs="Times New Roman" w:hAnsi="Times New Roman"/>
          <w:sz w:val="32"/>
          <w:szCs w:val="32"/>
        </w:rPr>
      </w:pPr>
      <w:r>
        <w:rPr>
          <w:rFonts w:ascii="Times New Roman" w:eastAsia="仿宋_GB2312" w:cs="Times New Roman" w:hAnsi="Times New Roman"/>
          <w:sz w:val="32"/>
          <w:szCs w:val="32"/>
        </w:rPr>
        <w:t>2023年5月6日</w:t>
      </w: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ind w:firstLineChars="1100" w:firstLine="3520"/>
        <w:rPr>
          <w:rFonts w:ascii="Times New Roman" w:eastAsia="仿宋_GB2312" w:cs="Times New Roman" w:hAnsi="Times New Roman"/>
          <w:sz w:val="32"/>
          <w:szCs w:val="32"/>
        </w:rPr>
      </w:pPr>
    </w:p>
    <w:p>
      <w:pPr>
        <w:rPr>
          <w:rFonts w:ascii="Times New Roman" w:eastAsia="仿宋_GB2312" w:cs="Times New Roman" w:hAnsi="Times New Roman"/>
          <w:sz w:val="32"/>
          <w:szCs w:val="32"/>
        </w:rPr>
      </w:pPr>
    </w:p>
    <w:p>
      <w:pPr>
        <w:ind w:left="0"/>
        <w:rPr>
          <w:rFonts w:ascii="Times New Roman" w:eastAsia="仿宋_GB2312" w:cs="Times New Roman" w:hAnsi="Times New Roman"/>
          <w:sz w:val="32"/>
          <w:szCs w:val="32"/>
        </w:rPr>
      </w:pPr>
    </w:p>
    <w:p>
      <w:pPr>
        <w:pStyle w:val="21"/>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Chars="1800" w:firstLine="5760"/>
        <w:jc w:val="left"/>
        <w:textAlignment w:val="auto"/>
        <w:rPr>
          <w:rFonts w:ascii="Times New Roman" w:eastAsia="仿宋_GB2312" w:cs="Times New Roman" w:hAnsi="Times New Roman"/>
          <w:sz w:val="32"/>
          <w:szCs w:val="32"/>
          <w:lang w:eastAsia="zh-CN"/>
        </w:rPr>
      </w:pPr>
    </w:p>
    <w:p>
      <w:pPr>
        <w:pStyle w:val="21"/>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Chars="1800" w:firstLine="5760"/>
        <w:jc w:val="left"/>
        <w:textAlignment w:val="auto"/>
        <w:rPr>
          <w:rFonts w:ascii="Times New Roman" w:eastAsia="仿宋_GB2312" w:cs="Times New Roman" w:hAnsi="Times New Roman"/>
          <w:sz w:val="32"/>
          <w:szCs w:val="32"/>
          <w:lang w:eastAsia="zh-CN"/>
        </w:rPr>
      </w:pPr>
    </w:p>
    <w:p>
      <w:pPr>
        <w:pStyle w:val="21"/>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Chars="1800" w:firstLine="5760"/>
        <w:jc w:val="left"/>
        <w:textAlignment w:val="auto"/>
        <w:rPr>
          <w:rFonts w:ascii="Times New Roman" w:eastAsia="仿宋_GB2312" w:cs="Times New Roman" w:hAnsi="Times New Roman"/>
          <w:sz w:val="32"/>
          <w:szCs w:val="32"/>
          <w:lang w:eastAsia="zh-CN"/>
        </w:rPr>
      </w:pPr>
      <w:bookmarkStart w:id="0" w:name="_GoBack"/>
      <w:bookmarkEnd w:id="0"/>
    </w:p>
    <w:p>
      <w:pPr>
        <w:pStyle w:val="21"/>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76" w:lineRule="exact"/>
        <w:ind w:left="0" w:right="0"/>
        <w:jc w:val="left"/>
        <w:textAlignment w:val="auto"/>
        <w:rPr>
          <w:rFonts w:ascii="Times New Roman" w:eastAsia="仿宋_GB2312" w:cs="Times New Roman" w:hAnsi="Times New Roman"/>
          <w:sz w:val="32"/>
          <w:szCs w:val="32"/>
          <w:lang w:eastAsia="zh-CN"/>
        </w:rPr>
      </w:pPr>
    </w:p>
    <w:p>
      <w:pPr>
        <w:pStyle w:val="21"/>
        <w:keepNext w:val="0"/>
        <w:keepLines w:val="0"/>
        <w:pageBreakBefore w:val="0"/>
        <w:widowControl/>
        <w:suppressLineNumbers w:val="0"/>
        <w:pBdr>
          <w:top w:val="single" w:sz="4" w:space="0" w:color="auto"/>
          <w:left w:val="none" w:sz="0" w:space="0" w:color="auto"/>
          <w:bottom w:val="single" w:sz="4"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440" w:lineRule="exact"/>
        <w:ind w:left="0" w:right="0" w:firstLineChars="100" w:firstLine="280"/>
        <w:jc w:val="left"/>
        <w:textAlignment w:val="auto"/>
        <w:rPr>
          <w:rFonts w:ascii="Times New Roman" w:eastAsia="仿宋_GB2312" w:cs="Times New Roman" w:hAnsi="Times New Roman"/>
          <w:sz w:val="28"/>
          <w:szCs w:val="28"/>
          <w:lang w:val="en-US" w:eastAsia="zh-CN"/>
        </w:rPr>
      </w:pPr>
      <w:r>
        <w:rPr>
          <w:rFonts w:ascii="仿宋_GB2312" w:eastAsia="仿宋_GB2312" w:cs="仿宋_GB2312" w:hint="eastAsia"/>
          <w:sz w:val="28"/>
          <w:szCs w:val="28"/>
          <w:lang w:eastAsia="zh-CN"/>
        </w:rPr>
        <w:t>理县人民政府办公室</w:t>
      </w:r>
      <w:r>
        <w:rPr>
          <w:rFonts w:ascii="仿宋_GB2312" w:eastAsia="仿宋_GB2312" w:cs="仿宋_GB2312" w:hint="eastAsia"/>
          <w:sz w:val="28"/>
          <w:szCs w:val="28"/>
          <w:lang w:val="en-US" w:eastAsia="zh-CN"/>
        </w:rPr>
        <w:t xml:space="preserve">                   </w:t>
      </w:r>
      <w:r>
        <w:rPr>
          <w:rFonts w:ascii="Times New Roman" w:eastAsia="仿宋_GB2312" w:cs="Times New Roman" w:hAnsi="Times New Roman"/>
          <w:sz w:val="28"/>
          <w:szCs w:val="28"/>
          <w:lang w:val="en-US" w:eastAsia="zh-CN"/>
        </w:rPr>
        <w:t>2023年5月6日印发</w:t>
      </w:r>
    </w:p>
    <w:p>
      <w:pPr>
        <w:keepNext w:val="0"/>
        <w:keepLines w:val="0"/>
        <w:pageBreakBefore w:val="0"/>
        <w:widowControl w:val="0"/>
        <w:kinsoku/>
        <w:wordWrap/>
        <w:overflowPunct/>
        <w:topLinePunct w:val="0"/>
        <w:autoSpaceDE/>
        <w:autoSpaceDN/>
        <w:bidi w:val="0"/>
        <w:adjustRightInd/>
        <w:snapToGrid/>
        <w:spacing w:line="700" w:lineRule="exact"/>
        <w:ind w:right="0"/>
        <w:jc w:val="center"/>
        <w:textAlignment w:val="auto"/>
        <w:rPr>
          <w:rFonts w:ascii="Times New Roman" w:eastAsia="仿宋" w:cs="Times New Roman" w:hAnsi="Times New Roman"/>
          <w:sz w:val="72"/>
          <w:szCs w:val="72"/>
        </w:rPr>
      </w:pPr>
    </w:p>
    <w:p>
      <w:pPr>
        <w:keepNext w:val="0"/>
        <w:keepLines w:val="0"/>
        <w:pageBreakBefore w:val="0"/>
        <w:widowControl w:val="0"/>
        <w:kinsoku/>
        <w:wordWrap/>
        <w:overflowPunct/>
        <w:topLinePunct w:val="0"/>
        <w:autoSpaceDE/>
        <w:autoSpaceDN/>
        <w:bidi w:val="0"/>
        <w:adjustRightInd/>
        <w:snapToGrid/>
        <w:spacing w:line="700" w:lineRule="exact"/>
        <w:ind w:right="0"/>
        <w:jc w:val="center"/>
        <w:textAlignment w:val="auto"/>
        <w:rPr>
          <w:rFonts w:ascii="方正小标宋简体" w:eastAsia="方正小标宋简体" w:cs="Times New Roman" w:hint="eastAsia"/>
          <w:sz w:val="44"/>
          <w:szCs w:val="44"/>
        </w:rPr>
      </w:pPr>
      <w:r>
        <w:rPr>
          <w:rFonts w:ascii="方正小标宋简体" w:eastAsia="方正小标宋简体" w:cs="Times New Roman" w:hint="eastAsia"/>
          <w:sz w:val="44"/>
          <w:szCs w:val="44"/>
        </w:rPr>
        <w:t>理县矿产资源总体规划</w:t>
      </w:r>
    </w:p>
    <w:p>
      <w:pPr>
        <w:keepNext w:val="0"/>
        <w:keepLines w:val="0"/>
        <w:pageBreakBefore w:val="0"/>
        <w:widowControl w:val="0"/>
        <w:kinsoku/>
        <w:wordWrap/>
        <w:overflowPunct/>
        <w:topLinePunct w:val="0"/>
        <w:autoSpaceDE/>
        <w:autoSpaceDN/>
        <w:bidi w:val="0"/>
        <w:adjustRightInd/>
        <w:snapToGrid/>
        <w:spacing w:line="700" w:lineRule="exact"/>
        <w:ind w:left="0" w:right="0"/>
        <w:jc w:val="center"/>
        <w:textAlignment w:val="auto"/>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32"/>
          <w:szCs w:val="32"/>
        </w:rPr>
      </w:pPr>
      <w:r>
        <w:rPr>
          <w:rFonts w:ascii="Times New Roman" w:eastAsia="仿宋" w:cs="Times New Roman" w:hAnsi="Times New Roman"/>
          <w:sz w:val="32"/>
          <w:szCs w:val="32"/>
        </w:rPr>
        <w:t>（2021-2025年）</w:t>
      </w:r>
    </w:p>
    <w:p>
      <w:pPr>
        <w:pageBreakBefore w:val="0"/>
        <w:widowControl w:val="0"/>
        <w:kinsoku/>
        <w:wordWrap/>
        <w:overflowPunct/>
        <w:topLinePunct w:val="0"/>
        <w:bidi w:val="0"/>
        <w:spacing w:line="576" w:lineRule="exact"/>
        <w:ind w:left="0" w:right="0" w:firstLine="720"/>
        <w:jc w:val="center"/>
        <w:rPr>
          <w:rFonts w:ascii="Times New Roman" w:eastAsia="仿宋" w:cs="Times New Roman" w:hAnsi="Times New Roman"/>
          <w:sz w:val="36"/>
        </w:rPr>
      </w:pPr>
    </w:p>
    <w:p>
      <w:pPr>
        <w:pageBreakBefore w:val="0"/>
        <w:widowControl w:val="0"/>
        <w:kinsoku/>
        <w:wordWrap/>
        <w:overflowPunct/>
        <w:topLinePunct w:val="0"/>
        <w:bidi w:val="0"/>
        <w:spacing w:line="576" w:lineRule="exact"/>
        <w:ind w:left="0" w:right="0" w:firstLine="880"/>
        <w:jc w:val="center"/>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firstLine="880"/>
        <w:jc w:val="center"/>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jc w:val="center"/>
        <w:rPr>
          <w:rFonts w:ascii="仿宋_GB2312" w:eastAsia="仿宋_GB2312" w:cs="Times New Roman" w:hint="eastAsia"/>
          <w:sz w:val="32"/>
          <w:szCs w:val="32"/>
        </w:rPr>
      </w:pPr>
      <w:r>
        <w:rPr>
          <w:rFonts w:ascii="仿宋_GB2312" w:eastAsia="仿宋_GB2312" w:cs="Times New Roman" w:hint="eastAsia"/>
          <w:sz w:val="32"/>
          <w:szCs w:val="32"/>
        </w:rPr>
        <w:t>（脱 密 稿）</w:t>
      </w:r>
    </w:p>
    <w:p>
      <w:pPr>
        <w:pageBreakBefore w:val="0"/>
        <w:widowControl w:val="0"/>
        <w:kinsoku/>
        <w:wordWrap/>
        <w:overflowPunct/>
        <w:topLinePunct w:val="0"/>
        <w:bidi w:val="0"/>
        <w:spacing w:line="576" w:lineRule="exact"/>
        <w:ind w:left="0" w:right="0" w:firstLine="880"/>
        <w:jc w:val="center"/>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firstLine="880"/>
        <w:jc w:val="center"/>
        <w:rPr>
          <w:rFonts w:ascii="Times New Roman" w:eastAsia="仿宋" w:cs="Times New Roman" w:hAnsi="Times New Roman"/>
          <w:sz w:val="44"/>
        </w:rPr>
      </w:pPr>
    </w:p>
    <w:p>
      <w:pPr>
        <w:pStyle w:val="16"/>
        <w:pageBreakBefore w:val="0"/>
        <w:widowControl w:val="0"/>
        <w:kinsoku/>
        <w:wordWrap/>
        <w:overflowPunct/>
        <w:topLinePunct w:val="0"/>
        <w:bidi w:val="0"/>
        <w:spacing w:after="0" w:line="576" w:lineRule="exact"/>
        <w:ind w:leftChars="0" w:left="0" w:right="0"/>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rPr>
          <w:rFonts w:ascii="Times New Roman" w:eastAsia="仿宋" w:cs="Times New Roman" w:hAnsi="Times New Roman"/>
          <w:sz w:val="44"/>
        </w:rPr>
      </w:pPr>
    </w:p>
    <w:p>
      <w:pPr>
        <w:pStyle w:val="16"/>
        <w:pageBreakBefore w:val="0"/>
        <w:widowControl w:val="0"/>
        <w:kinsoku/>
        <w:wordWrap/>
        <w:overflowPunct/>
        <w:topLinePunct w:val="0"/>
        <w:bidi w:val="0"/>
        <w:spacing w:after="0" w:line="576" w:lineRule="exact"/>
        <w:ind w:leftChars="0" w:left="0" w:right="0"/>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rPr>
          <w:rFonts w:ascii="Times New Roman" w:eastAsia="仿宋" w:cs="Times New Roman" w:hAnsi="Times New Roman"/>
        </w:rPr>
      </w:pPr>
    </w:p>
    <w:p>
      <w:pPr>
        <w:pageBreakBefore w:val="0"/>
        <w:widowControl w:val="0"/>
        <w:kinsoku/>
        <w:wordWrap/>
        <w:overflowPunct/>
        <w:topLinePunct w:val="0"/>
        <w:bidi w:val="0"/>
        <w:spacing w:line="576" w:lineRule="exact"/>
        <w:ind w:left="0" w:right="0" w:firstLine="880"/>
        <w:jc w:val="center"/>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firstLine="880"/>
        <w:jc w:val="center"/>
        <w:rPr>
          <w:rFonts w:ascii="Times New Roman" w:eastAsia="仿宋" w:cs="Times New Roman" w:hAnsi="Times New Roman"/>
          <w:sz w:val="44"/>
        </w:rPr>
      </w:pPr>
    </w:p>
    <w:p>
      <w:pPr>
        <w:pStyle w:val="16"/>
        <w:pageBreakBefore w:val="0"/>
        <w:widowControl w:val="0"/>
        <w:kinsoku/>
        <w:wordWrap/>
        <w:overflowPunct/>
        <w:topLinePunct w:val="0"/>
        <w:bidi w:val="0"/>
        <w:spacing w:after="0" w:line="576" w:lineRule="exact"/>
        <w:ind w:leftChars="0" w:left="0" w:right="0"/>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rPr>
          <w:rFonts w:ascii="Times New Roman" w:eastAsia="仿宋" w:cs="Times New Roman" w:hAnsi="Times New Roman"/>
          <w:sz w:val="44"/>
        </w:rPr>
      </w:pPr>
    </w:p>
    <w:p>
      <w:pPr>
        <w:pageBreakBefore w:val="0"/>
        <w:widowControl w:val="0"/>
        <w:kinsoku/>
        <w:wordWrap/>
        <w:overflowPunct/>
        <w:topLinePunct w:val="0"/>
        <w:bidi w:val="0"/>
        <w:spacing w:line="576" w:lineRule="exact"/>
        <w:ind w:left="0" w:right="0"/>
        <w:jc w:val="center"/>
        <w:rPr>
          <w:rFonts w:ascii="仿宋_GB2312" w:eastAsia="仿宋_GB2312" w:cs="Times New Roman" w:hint="eastAsia"/>
          <w:sz w:val="32"/>
        </w:rPr>
      </w:pPr>
      <w:r>
        <w:rPr>
          <w:rFonts w:ascii="仿宋_GB2312" w:eastAsia="仿宋_GB2312" w:cs="Times New Roman" w:hint="eastAsia"/>
          <w:sz w:val="32"/>
        </w:rPr>
        <w:t>理县人民政府</w:t>
      </w:r>
    </w:p>
    <w:p>
      <w:pPr>
        <w:pageBreakBefore w:val="0"/>
        <w:widowControl w:val="0"/>
        <w:kinsoku/>
        <w:wordWrap/>
        <w:overflowPunct/>
        <w:topLinePunct w:val="0"/>
        <w:bidi w:val="0"/>
        <w:spacing w:line="576" w:lineRule="exact"/>
        <w:ind w:left="0" w:right="0"/>
        <w:jc w:val="center"/>
        <w:rPr>
          <w:rFonts w:ascii="仿宋_GB2312" w:eastAsia="仿宋_GB2312" w:cs="Times New Roman" w:hint="eastAsia"/>
          <w:sz w:val="32"/>
        </w:rPr>
      </w:pPr>
      <w:r>
        <w:rPr>
          <w:rFonts w:ascii="仿宋_GB2312" w:eastAsia="仿宋_GB2312" w:cs="Times New Roman" w:hint="eastAsia"/>
          <w:sz w:val="32"/>
        </w:rPr>
        <w:t>二○二三年三月</w:t>
      </w:r>
    </w:p>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36"/>
        </w:rPr>
        <w:sectPr>
          <w:pgSz w:w="11906" w:h="16838"/>
          <w:pgMar w:top="1440" w:right="1800" w:bottom="1440" w:left="1800" w:header="851" w:footer="992" w:gutter="0"/>
          <w:pgNumType w:fmt="numberInDash"/>
          <w:docGrid w:type="lines" w:linePitch="312" w:charSpace="0"/>
        </w:sectPr>
      </w:pPr>
    </w:p>
    <w:p>
      <w:pPr>
        <w:pStyle w:val="23"/>
        <w:keepNext/>
        <w:keepLines/>
        <w:pageBreakBefore w:val="0"/>
        <w:widowControl/>
        <w:kinsoku/>
        <w:wordWrap/>
        <w:overflowPunct/>
        <w:topLinePunct w:val="0"/>
        <w:bidi w:val="0"/>
        <w:spacing w:beforeLines="0" w:before="0" w:afterLines="0" w:after="0" w:line="576" w:lineRule="exact"/>
        <w:ind w:left="0" w:right="0"/>
        <w:jc w:val="center"/>
        <w:rPr>
          <w:rFonts w:ascii="Times New Roman" w:eastAsia="仿宋" w:cs="Times New Roman" w:hAnsi="Times New Roman"/>
          <w:color w:val="auto"/>
          <w:sz w:val="44"/>
          <w:lang w:val="zh-CN"/>
        </w:rPr>
      </w:pPr>
      <w:bookmarkStart w:id="1" w:name="_Toc14768"/>
      <w:bookmarkStart w:id="2" w:name="_Toc27845"/>
      <w:bookmarkStart w:id="3" w:name="_Toc14588"/>
      <w:bookmarkStart w:id="4" w:name="_Toc8591"/>
      <w:bookmarkStart w:id="5" w:name="_Toc28877"/>
      <w:bookmarkStart w:id="6" w:name="_Toc7078"/>
      <w:bookmarkStart w:id="7" w:name="_Toc21235"/>
      <w:bookmarkStart w:id="8" w:name="_Toc2868"/>
      <w:bookmarkStart w:id="9" w:name="_Toc16030"/>
      <w:bookmarkStart w:id="10" w:name="_Toc4711"/>
      <w:r>
        <w:rPr>
          <w:rFonts w:ascii="Times New Roman" w:eastAsia="仿宋" w:cs="Times New Roman" w:hAnsi="Times New Roman"/>
          <w:color w:val="auto"/>
          <w:sz w:val="44"/>
          <w:lang w:val="zh-CN"/>
        </w:rPr>
        <w:t>目  录</w:t>
      </w:r>
      <w:bookmarkEnd w:id="1"/>
      <w:bookmarkEnd w:id="2"/>
      <w:bookmarkEnd w:id="3"/>
      <w:bookmarkEnd w:id="4"/>
      <w:bookmarkEnd w:id="5"/>
      <w:bookmarkEnd w:id="6"/>
      <w:bookmarkEnd w:id="7"/>
      <w:bookmarkEnd w:id="8"/>
      <w:bookmarkEnd w:id="9"/>
      <w:bookmarkEnd w:id="10"/>
    </w:p>
    <w:p>
      <w:pPr>
        <w:pStyle w:val="19"/>
        <w:pageBreakBefore w:val="0"/>
        <w:widowControl w:val="0"/>
        <w:tabs>
          <w:tab w:val="right" w:leader="dot" w:pos="8296"/>
        </w:tabs>
        <w:kinsoku/>
        <w:wordWrap/>
        <w:overflowPunct/>
        <w:topLinePunct w:val="0"/>
        <w:bidi w:val="0"/>
        <w:spacing w:line="576" w:lineRule="exact"/>
        <w:ind w:left="0" w:right="0"/>
        <w:rPr>
          <w:rFonts w:ascii="Times New Roman" w:eastAsia="仿宋" w:cs="Times New Roman" w:hAnsi="Times New Roman"/>
          <w:caps w:val="0"/>
          <w:smallCaps w:val="0"/>
          <w:szCs w:val="28"/>
        </w:rPr>
      </w:pP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TOC \o "1-3" \h \z \u </w:instrText>
      </w:r>
      <w:r>
        <w:rPr>
          <w:rFonts w:ascii="Times New Roman" w:eastAsia="仿宋" w:cs="Times New Roman" w:hAnsi="Times New Roman"/>
          <w:szCs w:val="28"/>
        </w:rPr>
        <w:fldChar w:fldCharType="separate"/>
      </w:r>
      <w:r>
        <w:rPr>
          <w:rFonts w:ascii="Times New Roman" w:eastAsia="仿宋" w:cs="Times New Roman" w:hAnsi="Times New Roman"/>
          <w:szCs w:val="28"/>
        </w:rPr>
        <w:fldChar w:fldCharType="begin"/>
      </w:r>
      <w:r>
        <w:rPr>
          <w:rStyle w:val="22"/>
          <w:rFonts w:ascii="Times New Roman" w:eastAsia="仿宋" w:cs="Times New Roman" w:hAnsi="Times New Roman"/>
          <w:szCs w:val="28"/>
        </w:rPr>
        <w:instrText xml:space="preserve"> </w:instrText>
      </w:r>
      <w:r>
        <w:rPr>
          <w:rFonts w:ascii="Times New Roman" w:eastAsia="仿宋" w:cs="Times New Roman" w:hAnsi="Times New Roman"/>
          <w:szCs w:val="28"/>
        </w:rPr>
        <w:instrText>HYPERLINK \l "_Toc127347650"</w:instrText>
      </w:r>
      <w:r>
        <w:rPr>
          <w:rStyle w:val="22"/>
          <w:rFonts w:ascii="Times New Roman" w:eastAsia="仿宋" w:cs="Times New Roman" w:hAnsi="Times New Roman"/>
          <w:szCs w:val="28"/>
        </w:rPr>
        <w:instrText xml:space="preserve"> </w:instrText>
      </w:r>
      <w:r>
        <w:rPr>
          <w:rStyle w:val="22"/>
          <w:rFonts w:ascii="Times New Roman" w:eastAsia="仿宋" w:cs="Times New Roman" w:hAnsi="Times New Roman"/>
          <w:szCs w:val="28"/>
        </w:rPr>
        <w:fldChar w:fldCharType="separate"/>
      </w:r>
      <w:r>
        <w:rPr>
          <w:rFonts w:ascii="Times New Roman" w:eastAsia="仿宋" w:cs="Times New Roman" w:hAnsi="Times New Roman"/>
          <w:szCs w:val="28"/>
        </w:rPr>
        <w:t>导  语</w:t>
        <w:tab/>
      </w: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PAGEREF _Toc127347650 \h </w:instrText>
      </w:r>
      <w:r>
        <w:rPr>
          <w:rFonts w:ascii="Times New Roman" w:eastAsia="仿宋" w:cs="Times New Roman" w:hAnsi="Times New Roman"/>
          <w:szCs w:val="28"/>
        </w:rPr>
        <w:fldChar w:fldCharType="separate"/>
      </w:r>
      <w:r>
        <w:rPr>
          <w:rFonts w:ascii="Times New Roman" w:eastAsia="仿宋" w:cs="Times New Roman" w:hAnsi="Times New Roman"/>
          <w:szCs w:val="28"/>
        </w:rPr>
        <w:t>- 1 -</w:t>
      </w:r>
      <w:r>
        <w:rPr>
          <w:rFonts w:ascii="Times New Roman" w:eastAsia="仿宋" w:cs="Times New Roman" w:hAnsi="Times New Roman"/>
          <w:szCs w:val="28"/>
        </w:rPr>
        <w:fldChar w:fldCharType="end"/>
      </w:r>
      <w:r>
        <w:rPr>
          <w:rStyle w:val="22"/>
          <w:rFonts w:ascii="Times New Roman" w:eastAsia="仿宋" w:cs="Times New Roman" w:hAnsi="Times New Roman"/>
          <w:szCs w:val="28"/>
        </w:rPr>
        <w:fldChar w:fldCharType="end"/>
      </w:r>
    </w:p>
    <w:p>
      <w:pPr>
        <w:pStyle w:val="19"/>
        <w:pageBreakBefore w:val="0"/>
        <w:widowControl w:val="0"/>
        <w:tabs>
          <w:tab w:val="right" w:leader="dot" w:pos="8296"/>
        </w:tabs>
        <w:kinsoku/>
        <w:wordWrap/>
        <w:overflowPunct/>
        <w:topLinePunct w:val="0"/>
        <w:bidi w:val="0"/>
        <w:spacing w:line="576" w:lineRule="exact"/>
        <w:ind w:left="0" w:right="0"/>
        <w:rPr>
          <w:rFonts w:ascii="Times New Roman" w:eastAsia="仿宋" w:cs="Times New Roman" w:hAnsi="Times New Roman"/>
          <w:caps w:val="0"/>
          <w:smallCaps w:val="0"/>
          <w:szCs w:val="28"/>
        </w:rPr>
      </w:pPr>
      <w:r>
        <w:rPr>
          <w:rFonts w:ascii="Times New Roman" w:eastAsia="仿宋" w:cs="Times New Roman" w:hAnsi="Times New Roman"/>
          <w:szCs w:val="28"/>
        </w:rPr>
        <w:fldChar w:fldCharType="begin"/>
      </w:r>
      <w:r>
        <w:rPr>
          <w:rStyle w:val="22"/>
          <w:rFonts w:ascii="Times New Roman" w:eastAsia="仿宋" w:cs="Times New Roman" w:hAnsi="Times New Roman"/>
          <w:szCs w:val="28"/>
        </w:rPr>
        <w:instrText xml:space="preserve"> </w:instrText>
      </w:r>
      <w:r>
        <w:rPr>
          <w:rFonts w:ascii="Times New Roman" w:eastAsia="仿宋" w:cs="Times New Roman" w:hAnsi="Times New Roman"/>
          <w:szCs w:val="28"/>
        </w:rPr>
        <w:instrText>HYPERLINK \l "_Toc127347651"</w:instrText>
      </w:r>
      <w:r>
        <w:rPr>
          <w:rStyle w:val="22"/>
          <w:rFonts w:ascii="Times New Roman" w:eastAsia="仿宋" w:cs="Times New Roman" w:hAnsi="Times New Roman"/>
          <w:szCs w:val="28"/>
        </w:rPr>
        <w:instrText xml:space="preserve"> </w:instrText>
      </w:r>
      <w:r>
        <w:rPr>
          <w:rStyle w:val="22"/>
          <w:rFonts w:ascii="Times New Roman" w:eastAsia="仿宋" w:cs="Times New Roman" w:hAnsi="Times New Roman"/>
          <w:szCs w:val="28"/>
        </w:rPr>
        <w:fldChar w:fldCharType="separate"/>
      </w:r>
      <w:r>
        <w:rPr>
          <w:rFonts w:ascii="Times New Roman" w:eastAsia="仿宋" w:cs="Times New Roman" w:hAnsi="Times New Roman"/>
          <w:szCs w:val="28"/>
        </w:rPr>
        <w:t>第一章 现状与形势</w:t>
        <w:tab/>
      </w: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PAGEREF _Toc127347651 \h </w:instrText>
      </w:r>
      <w:r>
        <w:rPr>
          <w:rFonts w:ascii="Times New Roman" w:eastAsia="仿宋" w:cs="Times New Roman" w:hAnsi="Times New Roman"/>
          <w:szCs w:val="28"/>
        </w:rPr>
        <w:fldChar w:fldCharType="separate"/>
      </w:r>
      <w:r>
        <w:rPr>
          <w:rFonts w:ascii="Times New Roman" w:eastAsia="仿宋" w:cs="Times New Roman" w:hAnsi="Times New Roman"/>
          <w:szCs w:val="28"/>
        </w:rPr>
        <w:t>- 1 -</w:t>
      </w:r>
      <w:r>
        <w:rPr>
          <w:rFonts w:ascii="Times New Roman" w:eastAsia="仿宋" w:cs="Times New Roman" w:hAnsi="Times New Roman"/>
          <w:szCs w:val="28"/>
        </w:rPr>
        <w:fldChar w:fldCharType="end"/>
      </w:r>
      <w:r>
        <w:rPr>
          <w:rStyle w:val="22"/>
          <w:rFonts w:ascii="Times New Roman" w:eastAsia="仿宋" w:cs="Times New Roman" w:hAnsi="Times New Roman"/>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"_Toc127347652"</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第一节 经济社会与矿业发展现状</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_Toc127347652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"_Toc127347653"</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第二节 矿产资源特点及勘查开发现状</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_Toc127347653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- 2 -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"_Toc127347654"</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第三节 上轮矿产资源规划的实施成效</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_Toc127347654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- 3 -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"_Toc127347655"</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第四节 问题与形势</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_Toc127347655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- 4 -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19"/>
        <w:pageBreakBefore w:val="0"/>
        <w:widowControl w:val="0"/>
        <w:tabs>
          <w:tab w:val="right" w:leader="dot" w:pos="8296"/>
        </w:tabs>
        <w:kinsoku/>
        <w:wordWrap/>
        <w:overflowPunct/>
        <w:topLinePunct w:val="0"/>
        <w:bidi w:val="0"/>
        <w:spacing w:line="576" w:lineRule="exact"/>
        <w:ind w:left="0" w:right="0"/>
        <w:rPr>
          <w:rFonts w:ascii="Times New Roman" w:eastAsia="仿宋" w:cs="Times New Roman" w:hAnsi="Times New Roman"/>
          <w:caps w:val="0"/>
          <w:smallCaps w:val="0"/>
          <w:szCs w:val="28"/>
        </w:rPr>
      </w:pPr>
      <w:r>
        <w:rPr>
          <w:rFonts w:ascii="Times New Roman" w:eastAsia="仿宋" w:cs="Times New Roman" w:hAnsi="Times New Roman"/>
          <w:szCs w:val="28"/>
        </w:rPr>
        <w:fldChar w:fldCharType="begin"/>
      </w:r>
      <w:r>
        <w:rPr>
          <w:rStyle w:val="22"/>
          <w:rFonts w:ascii="Times New Roman" w:eastAsia="仿宋" w:cs="Times New Roman" w:hAnsi="Times New Roman"/>
          <w:szCs w:val="28"/>
        </w:rPr>
        <w:instrText xml:space="preserve"> </w:instrText>
      </w:r>
      <w:r>
        <w:rPr>
          <w:rFonts w:ascii="Times New Roman" w:eastAsia="仿宋" w:cs="Times New Roman" w:hAnsi="Times New Roman"/>
          <w:szCs w:val="28"/>
        </w:rPr>
        <w:instrText>HYPERLINK \l "_Toc127347656"</w:instrText>
      </w:r>
      <w:r>
        <w:rPr>
          <w:rStyle w:val="22"/>
          <w:rFonts w:ascii="Times New Roman" w:eastAsia="仿宋" w:cs="Times New Roman" w:hAnsi="Times New Roman"/>
          <w:szCs w:val="28"/>
        </w:rPr>
        <w:instrText xml:space="preserve"> </w:instrText>
      </w:r>
      <w:r>
        <w:rPr>
          <w:rStyle w:val="22"/>
          <w:rFonts w:ascii="Times New Roman" w:eastAsia="仿宋" w:cs="Times New Roman" w:hAnsi="Times New Roman"/>
          <w:szCs w:val="28"/>
        </w:rPr>
        <w:fldChar w:fldCharType="separate"/>
      </w:r>
      <w:r>
        <w:rPr>
          <w:rFonts w:ascii="Times New Roman" w:eastAsia="仿宋" w:cs="Times New Roman" w:hAnsi="Times New Roman"/>
          <w:szCs w:val="28"/>
        </w:rPr>
        <w:t>第二章 指导思想、原则和目标</w:t>
        <w:tab/>
      </w: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PAGEREF _Toc127347656 \h </w:instrText>
      </w:r>
      <w:r>
        <w:rPr>
          <w:rFonts w:ascii="Times New Roman" w:eastAsia="仿宋" w:cs="Times New Roman" w:hAnsi="Times New Roman"/>
          <w:szCs w:val="28"/>
        </w:rPr>
        <w:fldChar w:fldCharType="separate"/>
      </w:r>
      <w:r>
        <w:rPr>
          <w:rFonts w:ascii="Times New Roman" w:eastAsia="仿宋" w:cs="Times New Roman" w:hAnsi="Times New Roman"/>
          <w:szCs w:val="28"/>
        </w:rPr>
        <w:t>- 7 -</w:t>
      </w:r>
      <w:r>
        <w:rPr>
          <w:rFonts w:ascii="Times New Roman" w:eastAsia="仿宋" w:cs="Times New Roman" w:hAnsi="Times New Roman"/>
          <w:szCs w:val="28"/>
        </w:rPr>
        <w:fldChar w:fldCharType="end"/>
      </w:r>
      <w:r>
        <w:rPr>
          <w:rStyle w:val="22"/>
          <w:rFonts w:ascii="Times New Roman" w:eastAsia="仿宋" w:cs="Times New Roman" w:hAnsi="Times New Roman"/>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"_Toc127347657"</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第一节 指导思想</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_Toc127347657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- 7 -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"_Toc127347658"</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第二节 基本原则</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_Toc127347658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- 7 -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"_Toc127347659"</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第三节 规划目标</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_Toc127347659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- 8 -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19"/>
        <w:pageBreakBefore w:val="0"/>
        <w:widowControl w:val="0"/>
        <w:tabs>
          <w:tab w:val="right" w:leader="dot" w:pos="8296"/>
        </w:tabs>
        <w:kinsoku/>
        <w:wordWrap/>
        <w:overflowPunct/>
        <w:topLinePunct w:val="0"/>
        <w:bidi w:val="0"/>
        <w:spacing w:line="576" w:lineRule="exact"/>
        <w:ind w:left="0" w:right="0"/>
        <w:rPr>
          <w:rFonts w:ascii="Times New Roman" w:eastAsia="仿宋" w:cs="Times New Roman" w:hAnsi="Times New Roman"/>
          <w:caps w:val="0"/>
          <w:smallCaps w:val="0"/>
          <w:szCs w:val="28"/>
        </w:rPr>
      </w:pPr>
      <w:r>
        <w:rPr>
          <w:rFonts w:ascii="Times New Roman" w:eastAsia="仿宋" w:cs="Times New Roman" w:hAnsi="Times New Roman"/>
          <w:szCs w:val="28"/>
        </w:rPr>
        <w:fldChar w:fldCharType="begin"/>
      </w:r>
      <w:r>
        <w:rPr>
          <w:rStyle w:val="22"/>
          <w:rFonts w:ascii="Times New Roman" w:eastAsia="仿宋" w:cs="Times New Roman" w:hAnsi="Times New Roman"/>
          <w:szCs w:val="28"/>
        </w:rPr>
        <w:instrText xml:space="preserve"> </w:instrText>
      </w:r>
      <w:r>
        <w:rPr>
          <w:rFonts w:ascii="Times New Roman" w:eastAsia="仿宋" w:cs="Times New Roman" w:hAnsi="Times New Roman"/>
          <w:szCs w:val="28"/>
        </w:rPr>
        <w:instrText>HYPERLINK \l "_Toc127347660"</w:instrText>
      </w:r>
      <w:r>
        <w:rPr>
          <w:rStyle w:val="22"/>
          <w:rFonts w:ascii="Times New Roman" w:eastAsia="仿宋" w:cs="Times New Roman" w:hAnsi="Times New Roman"/>
          <w:szCs w:val="28"/>
        </w:rPr>
        <w:instrText xml:space="preserve"> </w:instrText>
      </w:r>
      <w:r>
        <w:rPr>
          <w:rStyle w:val="22"/>
          <w:rFonts w:ascii="Times New Roman" w:eastAsia="仿宋" w:cs="Times New Roman" w:hAnsi="Times New Roman"/>
          <w:szCs w:val="28"/>
        </w:rPr>
        <w:fldChar w:fldCharType="separate"/>
      </w:r>
      <w:r>
        <w:rPr>
          <w:rFonts w:ascii="Times New Roman" w:eastAsia="仿宋" w:cs="Times New Roman" w:hAnsi="Times New Roman"/>
          <w:szCs w:val="28"/>
        </w:rPr>
        <w:t>第三章 优化矿产勘查与开发布局</w:t>
        <w:tab/>
      </w: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PAGEREF _Toc127347660 \h </w:instrText>
      </w:r>
      <w:r>
        <w:rPr>
          <w:rFonts w:ascii="Times New Roman" w:eastAsia="仿宋" w:cs="Times New Roman" w:hAnsi="Times New Roman"/>
          <w:szCs w:val="28"/>
        </w:rPr>
        <w:fldChar w:fldCharType="separate"/>
      </w:r>
      <w:r>
        <w:rPr>
          <w:rFonts w:ascii="Times New Roman" w:eastAsia="仿宋" w:cs="Times New Roman" w:hAnsi="Times New Roman"/>
          <w:szCs w:val="28"/>
        </w:rPr>
        <w:t>- 11 -</w:t>
      </w:r>
      <w:r>
        <w:rPr>
          <w:rFonts w:ascii="Times New Roman" w:eastAsia="仿宋" w:cs="Times New Roman" w:hAnsi="Times New Roman"/>
          <w:szCs w:val="28"/>
        </w:rPr>
        <w:fldChar w:fldCharType="end"/>
      </w:r>
      <w:r>
        <w:rPr>
          <w:rStyle w:val="22"/>
          <w:rFonts w:ascii="Times New Roman" w:eastAsia="仿宋" w:cs="Times New Roman" w:hAnsi="Times New Roman"/>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"_Toc127347661"</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第一节 优化勘查开发保护格局</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_Toc127347661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- 11 -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"_Toc127347662"</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第二节 强化资源安全保障 统筹勘查开发布局</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_Toc127347662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- 12 -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"_Toc127347663"</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第三节 合理设置勘查开采区块</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_Toc127347663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- 13 -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19"/>
        <w:pageBreakBefore w:val="0"/>
        <w:widowControl w:val="0"/>
        <w:tabs>
          <w:tab w:val="right" w:leader="dot" w:pos="8296"/>
        </w:tabs>
        <w:kinsoku/>
        <w:wordWrap/>
        <w:overflowPunct/>
        <w:topLinePunct w:val="0"/>
        <w:bidi w:val="0"/>
        <w:spacing w:line="576" w:lineRule="exact"/>
        <w:ind w:left="0" w:right="0"/>
        <w:rPr>
          <w:rFonts w:ascii="Times New Roman" w:eastAsia="仿宋" w:cs="Times New Roman" w:hAnsi="Times New Roman"/>
          <w:caps w:val="0"/>
          <w:smallCaps w:val="0"/>
          <w:szCs w:val="28"/>
        </w:rPr>
      </w:pPr>
      <w:r>
        <w:rPr>
          <w:rFonts w:ascii="Times New Roman" w:eastAsia="仿宋" w:cs="Times New Roman" w:hAnsi="Times New Roman"/>
          <w:szCs w:val="28"/>
        </w:rPr>
        <w:fldChar w:fldCharType="begin"/>
      </w:r>
      <w:r>
        <w:rPr>
          <w:rStyle w:val="22"/>
          <w:rFonts w:ascii="Times New Roman" w:eastAsia="仿宋" w:cs="Times New Roman" w:hAnsi="Times New Roman"/>
          <w:szCs w:val="28"/>
        </w:rPr>
        <w:instrText xml:space="preserve"> </w:instrText>
      </w:r>
      <w:r>
        <w:rPr>
          <w:rFonts w:ascii="Times New Roman" w:eastAsia="仿宋" w:cs="Times New Roman" w:hAnsi="Times New Roman"/>
          <w:szCs w:val="28"/>
        </w:rPr>
        <w:instrText>HYPERLINK \l "_Toc127347664"</w:instrText>
      </w:r>
      <w:r>
        <w:rPr>
          <w:rStyle w:val="22"/>
          <w:rFonts w:ascii="Times New Roman" w:eastAsia="仿宋" w:cs="Times New Roman" w:hAnsi="Times New Roman"/>
          <w:szCs w:val="28"/>
        </w:rPr>
        <w:instrText xml:space="preserve"> </w:instrText>
      </w:r>
      <w:r>
        <w:rPr>
          <w:rStyle w:val="22"/>
          <w:rFonts w:ascii="Times New Roman" w:eastAsia="仿宋" w:cs="Times New Roman" w:hAnsi="Times New Roman"/>
          <w:szCs w:val="28"/>
        </w:rPr>
        <w:fldChar w:fldCharType="separate"/>
      </w:r>
      <w:r>
        <w:rPr>
          <w:rFonts w:ascii="Times New Roman" w:eastAsia="仿宋" w:cs="Times New Roman" w:hAnsi="Times New Roman"/>
          <w:szCs w:val="28"/>
        </w:rPr>
        <w:t>第四章 坚持集约节约 促进资源高效利用</w:t>
        <w:tab/>
      </w: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PAGEREF _Toc127347664 \h </w:instrText>
      </w:r>
      <w:r>
        <w:rPr>
          <w:rFonts w:ascii="Times New Roman" w:eastAsia="仿宋" w:cs="Times New Roman" w:hAnsi="Times New Roman"/>
          <w:szCs w:val="28"/>
        </w:rPr>
        <w:fldChar w:fldCharType="separate"/>
      </w:r>
      <w:r>
        <w:rPr>
          <w:rFonts w:ascii="Times New Roman" w:eastAsia="仿宋" w:cs="Times New Roman" w:hAnsi="Times New Roman"/>
          <w:szCs w:val="28"/>
        </w:rPr>
        <w:t>- 16 -</w:t>
      </w:r>
      <w:r>
        <w:rPr>
          <w:rFonts w:ascii="Times New Roman" w:eastAsia="仿宋" w:cs="Times New Roman" w:hAnsi="Times New Roman"/>
          <w:szCs w:val="28"/>
        </w:rPr>
        <w:fldChar w:fldCharType="end"/>
      </w:r>
      <w:r>
        <w:rPr>
          <w:rStyle w:val="22"/>
          <w:rFonts w:ascii="Times New Roman" w:eastAsia="仿宋" w:cs="Times New Roman" w:hAnsi="Times New Roman"/>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"_Toc127347665"</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 xml:space="preserve">第一节 </w:t>
      </w:r>
      <w:r>
        <w:rPr>
          <w:rFonts w:ascii="Times New Roman" w:eastAsia="仿宋" w:cs="Times New Roman" w:hAnsi="Times New Roman"/>
          <w:snapToGrid w:val="0"/>
          <w:sz w:val="28"/>
          <w:szCs w:val="28"/>
          <w:lang w:val="zh-CN"/>
        </w:rPr>
        <w:t>合理确定矿产资源开发利用总量</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_Toc127347665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- 16 -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"_Toc127347666"</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lang w:val="zh-CN"/>
        </w:rPr>
        <w:t>第二节 优化矿产资源开发利用结构</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_Toc127347666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- 16 -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"_Toc127347667"</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lang w:val="zh-CN"/>
        </w:rPr>
        <w:t>第三节 加强矿产资源节约与综合利用</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_Toc127347667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- 16 -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"_Toc127347668"</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lang w:val="zh-CN"/>
        </w:rPr>
        <w:t>第四节 深化矿产资源管理改革</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_Toc127347668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- 17 -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19"/>
        <w:pageBreakBefore w:val="0"/>
        <w:widowControl w:val="0"/>
        <w:tabs>
          <w:tab w:val="right" w:leader="dot" w:pos="8296"/>
        </w:tabs>
        <w:kinsoku/>
        <w:wordWrap/>
        <w:overflowPunct/>
        <w:topLinePunct w:val="0"/>
        <w:bidi w:val="0"/>
        <w:spacing w:line="576" w:lineRule="exact"/>
        <w:ind w:left="0" w:right="0"/>
        <w:rPr>
          <w:rFonts w:ascii="Times New Roman" w:eastAsia="仿宋" w:cs="Times New Roman" w:hAnsi="Times New Roman"/>
          <w:caps w:val="0"/>
          <w:smallCaps w:val="0"/>
          <w:szCs w:val="28"/>
        </w:rPr>
      </w:pPr>
      <w:r>
        <w:rPr>
          <w:rFonts w:ascii="Times New Roman" w:eastAsia="仿宋" w:cs="Times New Roman" w:hAnsi="Times New Roman"/>
          <w:szCs w:val="28"/>
        </w:rPr>
        <w:fldChar w:fldCharType="begin"/>
      </w:r>
      <w:r>
        <w:rPr>
          <w:rStyle w:val="22"/>
          <w:rFonts w:ascii="Times New Roman" w:eastAsia="仿宋" w:cs="Times New Roman" w:hAnsi="Times New Roman"/>
          <w:szCs w:val="28"/>
        </w:rPr>
        <w:instrText xml:space="preserve"> </w:instrText>
      </w:r>
      <w:r>
        <w:rPr>
          <w:rFonts w:ascii="Times New Roman" w:eastAsia="仿宋" w:cs="Times New Roman" w:hAnsi="Times New Roman"/>
          <w:szCs w:val="28"/>
        </w:rPr>
        <w:instrText>HYPERLINK \l "_Toc127347669"</w:instrText>
      </w:r>
      <w:r>
        <w:rPr>
          <w:rStyle w:val="22"/>
          <w:rFonts w:ascii="Times New Roman" w:eastAsia="仿宋" w:cs="Times New Roman" w:hAnsi="Times New Roman"/>
          <w:szCs w:val="28"/>
        </w:rPr>
        <w:instrText xml:space="preserve"> </w:instrText>
      </w:r>
      <w:r>
        <w:rPr>
          <w:rStyle w:val="22"/>
          <w:rFonts w:ascii="Times New Roman" w:eastAsia="仿宋" w:cs="Times New Roman" w:hAnsi="Times New Roman"/>
          <w:szCs w:val="28"/>
        </w:rPr>
        <w:fldChar w:fldCharType="separate"/>
      </w:r>
      <w:r>
        <w:rPr>
          <w:rFonts w:ascii="Times New Roman" w:eastAsia="仿宋" w:cs="Times New Roman" w:hAnsi="Times New Roman"/>
          <w:szCs w:val="28"/>
        </w:rPr>
        <w:t>第五章 加快推进绿色矿业发展 促进矿业转型升级</w:t>
        <w:tab/>
      </w: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PAGEREF _Toc127347669 \h </w:instrText>
      </w:r>
      <w:r>
        <w:rPr>
          <w:rFonts w:ascii="Times New Roman" w:eastAsia="仿宋" w:cs="Times New Roman" w:hAnsi="Times New Roman"/>
          <w:szCs w:val="28"/>
        </w:rPr>
        <w:fldChar w:fldCharType="separate"/>
      </w:r>
      <w:r>
        <w:rPr>
          <w:rFonts w:ascii="Times New Roman" w:eastAsia="仿宋" w:cs="Times New Roman" w:hAnsi="Times New Roman"/>
          <w:szCs w:val="28"/>
        </w:rPr>
        <w:t>- 19 -</w:t>
      </w:r>
      <w:r>
        <w:rPr>
          <w:rFonts w:ascii="Times New Roman" w:eastAsia="仿宋" w:cs="Times New Roman" w:hAnsi="Times New Roman"/>
          <w:szCs w:val="28"/>
        </w:rPr>
        <w:fldChar w:fldCharType="end"/>
      </w:r>
      <w:r>
        <w:rPr>
          <w:rStyle w:val="22"/>
          <w:rFonts w:ascii="Times New Roman" w:eastAsia="仿宋" w:cs="Times New Roman" w:hAnsi="Times New Roman"/>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"_Toc127347670"</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rPr>
        <w:t xml:space="preserve">第一节 </w:t>
      </w:r>
      <w:r>
        <w:rPr>
          <w:rFonts w:ascii="Times New Roman" w:eastAsia="仿宋" w:cs="Times New Roman" w:hAnsi="Times New Roman"/>
          <w:snapToGrid w:val="0"/>
          <w:sz w:val="28"/>
          <w:szCs w:val="28"/>
          <w:lang w:val="zh-CN"/>
        </w:rPr>
        <w:t>严格绿色勘查要求</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_Toc127347670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- 19 -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"_Toc127347671"</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lang w:val="zh-CN"/>
        </w:rPr>
        <w:t>第二节 加快推进绿色矿山建设</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_Toc127347671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- 19 -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"_Toc127347672"</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napToGrid w:val="0"/>
          <w:sz w:val="28"/>
          <w:szCs w:val="28"/>
          <w:lang w:val="zh-CN"/>
        </w:rPr>
        <w:t>第三节 加强废弃矿山生态保护修复</w:t>
      </w:r>
      <w:r>
        <w:rPr>
          <w:rFonts w:ascii="Times New Roman" w:eastAsia="仿宋" w:cs="Times New Roman" w:hAnsi="Times New Roman"/>
          <w:sz w:val="28"/>
          <w:szCs w:val="28"/>
        </w:rPr>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_Toc127347672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- 21 -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19"/>
        <w:pageBreakBefore w:val="0"/>
        <w:widowControl w:val="0"/>
        <w:tabs>
          <w:tab w:val="right" w:leader="dot" w:pos="8296"/>
        </w:tabs>
        <w:kinsoku/>
        <w:wordWrap/>
        <w:overflowPunct/>
        <w:topLinePunct w:val="0"/>
        <w:bidi w:val="0"/>
        <w:spacing w:line="576" w:lineRule="exact"/>
        <w:ind w:left="0" w:right="0"/>
        <w:rPr>
          <w:rFonts w:ascii="Times New Roman" w:eastAsia="仿宋" w:cs="Times New Roman" w:hAnsi="Times New Roman"/>
          <w:caps w:val="0"/>
          <w:smallCaps w:val="0"/>
          <w:szCs w:val="28"/>
        </w:rPr>
      </w:pPr>
      <w:r>
        <w:rPr>
          <w:rFonts w:ascii="Times New Roman" w:eastAsia="仿宋" w:cs="Times New Roman" w:hAnsi="Times New Roman"/>
          <w:szCs w:val="28"/>
        </w:rPr>
        <w:fldChar w:fldCharType="begin"/>
      </w:r>
      <w:r>
        <w:rPr>
          <w:rStyle w:val="22"/>
          <w:rFonts w:ascii="Times New Roman" w:eastAsia="仿宋" w:cs="Times New Roman" w:hAnsi="Times New Roman"/>
          <w:szCs w:val="28"/>
        </w:rPr>
        <w:instrText xml:space="preserve"> </w:instrText>
      </w:r>
      <w:r>
        <w:rPr>
          <w:rFonts w:ascii="Times New Roman" w:eastAsia="仿宋" w:cs="Times New Roman" w:hAnsi="Times New Roman"/>
          <w:szCs w:val="28"/>
        </w:rPr>
        <w:instrText>HYPERLINK \l "_Toc127347673"</w:instrText>
      </w:r>
      <w:r>
        <w:rPr>
          <w:rStyle w:val="22"/>
          <w:rFonts w:ascii="Times New Roman" w:eastAsia="仿宋" w:cs="Times New Roman" w:hAnsi="Times New Roman"/>
          <w:szCs w:val="28"/>
        </w:rPr>
        <w:instrText xml:space="preserve"> </w:instrText>
      </w:r>
      <w:r>
        <w:rPr>
          <w:rStyle w:val="22"/>
          <w:rFonts w:ascii="Times New Roman" w:eastAsia="仿宋" w:cs="Times New Roman" w:hAnsi="Times New Roman"/>
          <w:szCs w:val="28"/>
        </w:rPr>
        <w:fldChar w:fldCharType="separate"/>
      </w:r>
      <w:r>
        <w:rPr>
          <w:rFonts w:ascii="Times New Roman" w:eastAsia="仿宋" w:cs="Times New Roman" w:hAnsi="Times New Roman"/>
          <w:szCs w:val="28"/>
        </w:rPr>
        <w:t>第六章 强化规划管控 保障规划实施</w:t>
        <w:tab/>
      </w:r>
      <w:r>
        <w:rPr>
          <w:rFonts w:ascii="Times New Roman" w:eastAsia="仿宋" w:cs="Times New Roman" w:hAnsi="Times New Roman"/>
          <w:szCs w:val="28"/>
        </w:rPr>
        <w:fldChar w:fldCharType="begin"/>
      </w:r>
      <w:r>
        <w:rPr>
          <w:rFonts w:ascii="Times New Roman" w:eastAsia="仿宋" w:cs="Times New Roman" w:hAnsi="Times New Roman"/>
          <w:szCs w:val="28"/>
        </w:rPr>
        <w:instrText xml:space="preserve"> PAGEREF _Toc127347673 \h </w:instrText>
      </w:r>
      <w:r>
        <w:rPr>
          <w:rFonts w:ascii="Times New Roman" w:eastAsia="仿宋" w:cs="Times New Roman" w:hAnsi="Times New Roman"/>
          <w:szCs w:val="28"/>
        </w:rPr>
        <w:fldChar w:fldCharType="separate"/>
      </w:r>
      <w:r>
        <w:rPr>
          <w:rFonts w:ascii="Times New Roman" w:eastAsia="仿宋" w:cs="Times New Roman" w:hAnsi="Times New Roman"/>
          <w:szCs w:val="28"/>
        </w:rPr>
        <w:t>- 23 -</w:t>
      </w:r>
      <w:r>
        <w:rPr>
          <w:rFonts w:ascii="Times New Roman" w:eastAsia="仿宋" w:cs="Times New Roman" w:hAnsi="Times New Roman"/>
          <w:szCs w:val="28"/>
        </w:rPr>
        <w:fldChar w:fldCharType="end"/>
      </w:r>
      <w:r>
        <w:rPr>
          <w:rStyle w:val="22"/>
          <w:rFonts w:ascii="Times New Roman" w:eastAsia="仿宋" w:cs="Times New Roman" w:hAnsi="Times New Roman"/>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"_Toc127347674"</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附表1  理县能源资源基地表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_Toc127347674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- 25 -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"_Toc127347675"</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附表2  理县国家规划矿区表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_Toc127347675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- 26 -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"_Toc127347676"</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附表3  理县战略性矿产资源保护区表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_Toc127347676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- 27 -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"_Toc127347677"</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附表4  理县矿产资源重点勘查区表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_Toc127347677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- 28 -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"_Toc127347678"</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附表5  理县勘查规划区块表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_Toc127347678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- 29 -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"_Toc127347679"</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附表6  理县矿产资源重点开采区表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_Toc127347679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- 30 -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"_Toc127347680"</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附表7  理县矿产资源开采规划区块表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_Toc127347680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- 31 -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"_Toc127347681"</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附表8  理县建筑用砂石土类矿产集中开采区表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_Toc127347681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- 32 -</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20"/>
        <w:pageBreakBefore w:val="0"/>
        <w:widowControl w:val="0"/>
        <w:tabs>
          <w:tab w:val="right" w:leader="dot" w:pos="8296"/>
        </w:tabs>
        <w:kinsoku/>
        <w:wordWrap/>
        <w:overflowPunct/>
        <w:topLinePunct w:val="0"/>
        <w:bidi w:val="0"/>
        <w:spacing w:line="576" w:lineRule="exact"/>
        <w:ind w:leftChars="0" w:left="0" w:right="0"/>
        <w:rPr>
          <w:rFonts w:ascii="Times New Roman" w:eastAsia="仿宋" w:cs="Times New Roman" w:hAnsi="Times New Roman"/>
          <w:sz w:val="28"/>
          <w:szCs w:val="28"/>
        </w:rPr>
      </w:pPr>
      <w:r>
        <w:rPr>
          <w:rFonts w:ascii="Times New Roman" w:eastAsia="仿宋" w:cs="Times New Roman" w:hAnsi="Times New Roman"/>
          <w:sz w:val="28"/>
          <w:szCs w:val="28"/>
        </w:rPr>
        <w:fldChar w:fldCharType="begin"/>
      </w:r>
      <w:r>
        <w:rPr>
          <w:rStyle w:val="22"/>
          <w:rFonts w:ascii="Times New Roman" w:eastAsia="仿宋" w:cs="Times New Roman" w:hAnsi="Times New Roman"/>
          <w:sz w:val="28"/>
          <w:szCs w:val="28"/>
        </w:rPr>
        <w:instrText xml:space="preserve"> </w:instrText>
      </w:r>
      <w:r>
        <w:rPr>
          <w:rFonts w:ascii="Times New Roman" w:eastAsia="仿宋" w:cs="Times New Roman" w:hAnsi="Times New Roman"/>
          <w:sz w:val="28"/>
          <w:szCs w:val="28"/>
        </w:rPr>
        <w:instrText>HYPERLINK \l "_Toc127347682"</w:instrText>
      </w:r>
      <w:r>
        <w:rPr>
          <w:rStyle w:val="22"/>
          <w:rFonts w:ascii="Times New Roman" w:eastAsia="仿宋" w:cs="Times New Roman" w:hAnsi="Times New Roman"/>
          <w:sz w:val="28"/>
          <w:szCs w:val="28"/>
        </w:rPr>
        <w:instrText xml:space="preserve"> </w:instrText>
      </w:r>
      <w:r>
        <w:rPr>
          <w:rStyle w:val="22"/>
          <w:rFonts w:ascii="Times New Roman" w:eastAsia="仿宋" w:cs="Times New Roman" w:hAnsi="Times New Roman"/>
          <w:sz w:val="28"/>
          <w:szCs w:val="28"/>
        </w:rPr>
        <w:fldChar w:fldCharType="separate"/>
      </w:r>
      <w:r>
        <w:rPr>
          <w:rFonts w:ascii="Times New Roman" w:eastAsia="仿宋" w:cs="Times New Roman" w:hAnsi="Times New Roman"/>
          <w:sz w:val="28"/>
          <w:szCs w:val="28"/>
        </w:rPr>
        <w:t>附表9  理县重点矿种矿山最低开采规模规划表</w:t>
        <w:tab/>
      </w:r>
      <w:r>
        <w:rPr>
          <w:rFonts w:ascii="Times New Roman" w:eastAsia="仿宋" w:cs="Times New Roman" w:hAnsi="Times New Roman"/>
          <w:sz w:val="28"/>
          <w:szCs w:val="28"/>
        </w:rPr>
        <w:fldChar w:fldCharType="begin"/>
      </w:r>
      <w:r>
        <w:rPr>
          <w:rFonts w:ascii="Times New Roman" w:eastAsia="仿宋" w:cs="Times New Roman" w:hAnsi="Times New Roman"/>
          <w:sz w:val="28"/>
          <w:szCs w:val="28"/>
        </w:rPr>
        <w:instrText xml:space="preserve"> PAGEREF _Toc127347682 \h </w:instrText>
      </w:r>
      <w:r>
        <w:rPr>
          <w:rFonts w:ascii="Times New Roman" w:eastAsia="仿宋" w:cs="Times New Roman" w:hAnsi="Times New Roman"/>
          <w:sz w:val="28"/>
          <w:szCs w:val="28"/>
        </w:rPr>
        <w:fldChar w:fldCharType="separate"/>
      </w:r>
      <w:r>
        <w:rPr>
          <w:rFonts w:ascii="Times New Roman" w:eastAsia="仿宋" w:cs="Times New Roman" w:hAnsi="Times New Roman"/>
          <w:sz w:val="28"/>
          <w:szCs w:val="28"/>
        </w:rPr>
        <w:t>33</w:t>
      </w:r>
      <w:r>
        <w:rPr>
          <w:rFonts w:ascii="Times New Roman" w:eastAsia="仿宋" w:cs="Times New Roman" w:hAnsi="Times New Roman"/>
          <w:sz w:val="28"/>
          <w:szCs w:val="28"/>
        </w:rPr>
        <w:fldChar w:fldCharType="end"/>
      </w:r>
      <w:r>
        <w:rPr>
          <w:rStyle w:val="22"/>
          <w:rFonts w:ascii="Times New Roman" w:eastAsia="仿宋" w:cs="Times New Roman" w:hAnsi="Times New Roman"/>
          <w:sz w:val="28"/>
          <w:szCs w:val="28"/>
        </w:rPr>
        <w:fldChar w:fldCharType="end"/>
      </w:r>
    </w:p>
    <w:p>
      <w:pPr>
        <w:pStyle w:val="19"/>
        <w:pageBreakBefore w:val="0"/>
        <w:widowControl w:val="0"/>
        <w:tabs>
          <w:tab w:val="clear" w:pos="8296"/>
          <w:tab w:val="right" w:leader="dot" w:pos="8306"/>
        </w:tabs>
        <w:kinsoku/>
        <w:wordWrap/>
        <w:overflowPunct/>
        <w:topLinePunct w:val="0"/>
        <w:bidi w:val="0"/>
        <w:spacing w:line="576" w:lineRule="exact"/>
        <w:ind w:left="0" w:right="0"/>
        <w:textAlignment w:val="baseline"/>
        <w:rPr>
          <w:rFonts w:ascii="Times New Roman" w:eastAsia="仿宋" w:cs="Times New Roman" w:hAnsi="Times New Roman"/>
          <w:sz w:val="32"/>
        </w:rPr>
      </w:pPr>
      <w:r>
        <w:rPr>
          <w:rFonts w:ascii="Times New Roman" w:eastAsia="仿宋" w:cs="Times New Roman" w:hAnsi="Times New Roman"/>
          <w:szCs w:val="28"/>
          <w:lang w:val="zh-CN"/>
        </w:rPr>
        <w:fldChar w:fldCharType="end"/>
      </w:r>
    </w:p>
    <w:p>
      <w:pPr>
        <w:pageBreakBefore w:val="0"/>
        <w:widowControl w:val="0"/>
        <w:kinsoku/>
        <w:wordWrap/>
        <w:overflowPunct/>
        <w:topLinePunct w:val="0"/>
        <w:bidi w:val="0"/>
        <w:spacing w:line="576" w:lineRule="exact"/>
        <w:ind w:left="0" w:right="0" w:firstLineChars="350" w:firstLine="1120"/>
        <w:rPr>
          <w:rFonts w:ascii="Times New Roman" w:eastAsia="仿宋" w:cs="Times New Roman" w:hAnsi="Times New Roman"/>
          <w:sz w:val="32"/>
        </w:rPr>
        <w:sectPr>
          <w:footerReference w:type="default" r:id="rId3"/>
          <w:pgSz w:w="11906" w:h="16838"/>
          <w:pgMar w:top="1440" w:right="1800" w:bottom="1440" w:left="1800" w:header="851" w:footer="992" w:gutter="0"/>
          <w:pgNumType w:fmt="numberInDash" w:start="1"/>
          <w:docGrid w:type="lines" w:linePitch="312" w:charSpace="0"/>
        </w:sectPr>
      </w:pPr>
      <w:r>
        <w:rPr>
          <w:rFonts w:ascii="Times New Roman" w:eastAsia="仿宋" w:cs="Times New Roman" w:hAnsi="Times New Roman"/>
          <w:sz w:val="32"/>
        </w:rPr>
        <w:t xml:space="preserve"> </w:t>
      </w:r>
    </w:p>
    <w:p>
      <w:pPr>
        <w:pStyle w:val="1"/>
        <w:keepNext/>
        <w:keepLines/>
        <w:pageBreakBefore w:val="0"/>
        <w:widowControl w:val="0"/>
        <w:kinsoku/>
        <w:wordWrap/>
        <w:overflowPunct/>
        <w:topLinePunct w:val="0"/>
        <w:bidi w:val="0"/>
        <w:adjustRightInd/>
        <w:snapToGrid/>
        <w:spacing w:beforeLines="0" w:before="0" w:afterLines="0" w:after="0" w:line="576" w:lineRule="exact"/>
        <w:ind w:left="0" w:right="0"/>
        <w:rPr>
          <w:rFonts w:ascii="Times New Roman" w:eastAsia="方正小标宋简体" w:cs="Times New Roman" w:hAnsi="Times New Roman"/>
          <w:b w:val="0"/>
          <w:bCs w:val="0"/>
          <w:i w:val="0"/>
          <w:iCs w:val="0"/>
          <w:caps w:val="0"/>
          <w:smallCaps w:val="0"/>
          <w:color w:val="333333"/>
          <w:spacing w:val="0"/>
          <w:kern w:val="0"/>
          <w:sz w:val="44"/>
          <w:szCs w:val="44"/>
          <w:shd w:val="clear" w:color="auto" w:fill="FFFFFF"/>
          <w:lang w:val="en-US" w:eastAsia="zh-CN"/>
        </w:rPr>
      </w:pPr>
      <w:bookmarkStart w:id="11" w:name="_Toc127347650"/>
      <w:r>
        <w:rPr>
          <w:rFonts w:ascii="Times New Roman" w:eastAsia="方正小标宋简体" w:cs="Times New Roman" w:hAnsi="Times New Roman"/>
          <w:b w:val="0"/>
          <w:bCs w:val="0"/>
          <w:i w:val="0"/>
          <w:iCs w:val="0"/>
          <w:caps w:val="0"/>
          <w:smallCaps w:val="0"/>
          <w:color w:val="333333"/>
          <w:spacing w:val="0"/>
          <w:kern w:val="0"/>
          <w:sz w:val="44"/>
          <w:szCs w:val="44"/>
          <w:shd w:val="clear" w:color="auto" w:fill="FFFFFF"/>
          <w:lang w:val="en-US" w:eastAsia="zh-CN"/>
        </w:rPr>
        <w:t>导  语</w:t>
      </w:r>
      <w:bookmarkEnd w:id="11"/>
    </w:p>
    <w:p>
      <w:pPr>
        <w:pageBreakBefore w:val="0"/>
        <w:widowControl w:val="0"/>
        <w:kinsoku/>
        <w:wordWrap/>
        <w:overflowPunct/>
        <w:topLinePunct w:val="0"/>
        <w:bidi w:val="0"/>
        <w:spacing w:line="576" w:lineRule="exact"/>
        <w:ind w:left="0" w:right="0"/>
        <w:rPr>
          <w:lang w:val="en-US" w:eastAsia="zh-CN"/>
        </w:rPr>
      </w:pP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napToGrid w:val="0"/>
          <w:kern w:val="0"/>
          <w:sz w:val="32"/>
          <w:szCs w:val="32"/>
        </w:rPr>
      </w:pPr>
      <w:r>
        <w:rPr>
          <w:rFonts w:ascii="Times New Roman" w:eastAsia="仿宋" w:cs="Times New Roman" w:hAnsi="Times New Roman"/>
          <w:snapToGrid w:val="0"/>
          <w:kern w:val="0"/>
          <w:sz w:val="32"/>
          <w:szCs w:val="32"/>
        </w:rPr>
        <w:t>为科学合理开发利用和保护矿产资源，全面深化矿产资源管理改革，促进矿业经济的可持续健康发展，进一步提高理县经济社会高质量发展的矿产资源保障能力，依据《中华人民共和国矿产资源法》及其实施细则，《矿产资源规划编制实施办法》等部门规章，</w:t>
      </w:r>
      <w:r>
        <w:rPr>
          <w:rFonts w:ascii="Times New Roman" w:eastAsia="仿宋" w:cs="Times New Roman" w:hAnsi="Times New Roman"/>
          <w:snapToGrid w:val="0"/>
          <w:kern w:val="0"/>
          <w:sz w:val="32"/>
          <w:szCs w:val="32"/>
          <w:lang w:val="zh-CN"/>
        </w:rPr>
        <w:t>《阿坝藏族羌族自治州矿产资源总体规划（2021-2025年）》、</w:t>
      </w:r>
      <w:r>
        <w:rPr>
          <w:rFonts w:ascii="Times New Roman" w:eastAsia="仿宋" w:cs="Times New Roman" w:hAnsi="Times New Roman"/>
          <w:snapToGrid w:val="0"/>
          <w:kern w:val="0"/>
          <w:sz w:val="32"/>
          <w:szCs w:val="32"/>
        </w:rPr>
        <w:t>《</w:t>
      </w:r>
      <w:r>
        <w:rPr>
          <w:rFonts w:ascii="Times New Roman" w:eastAsia="仿宋" w:cs="Times New Roman" w:hAnsi="Times New Roman"/>
          <w:snapToGrid w:val="0"/>
          <w:kern w:val="0"/>
          <w:sz w:val="32"/>
          <w:szCs w:val="32"/>
          <w:lang w:val="zh-CN"/>
        </w:rPr>
        <w:t>理县国民经济和社会发展第十四个五年规划和二〇三五年远景目标纲要》、理县国土空间规划相关成果以及省、州矿产资源管理及相关产业政策等，结合理县矿产资源实际情况，</w:t>
      </w:r>
      <w:r>
        <w:rPr>
          <w:rFonts w:ascii="Times New Roman" w:eastAsia="仿宋" w:cs="Times New Roman" w:hAnsi="Times New Roman"/>
          <w:snapToGrid w:val="0"/>
          <w:kern w:val="0"/>
          <w:sz w:val="32"/>
          <w:szCs w:val="32"/>
        </w:rPr>
        <w:t>制定《理县矿产资源总体规划（2021-2025年）》（以下简称《规划》）。</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napToGrid w:val="0"/>
          <w:kern w:val="0"/>
          <w:sz w:val="32"/>
          <w:szCs w:val="32"/>
        </w:rPr>
      </w:pPr>
      <w:r>
        <w:rPr>
          <w:rFonts w:ascii="Times New Roman" w:eastAsia="仿宋" w:cs="Times New Roman" w:hAnsi="Times New Roman"/>
          <w:snapToGrid w:val="0"/>
          <w:kern w:val="0"/>
          <w:sz w:val="32"/>
          <w:szCs w:val="32"/>
          <w:lang w:val="zh-CN"/>
        </w:rPr>
        <w:t>《规划》是理县矿产资源勘查、开发利用与保护的指导性文件，是落实国家资源安全战略、加强和改善矿产资源宏观管理的重要手段，是依法审批和监管矿产资源勘查、开发和保护的重要依据。</w:t>
      </w:r>
      <w:r>
        <w:rPr>
          <w:rFonts w:ascii="Times New Roman" w:eastAsia="仿宋" w:cs="Times New Roman" w:hAnsi="Times New Roman"/>
          <w:sz w:val="32"/>
          <w:szCs w:val="32"/>
        </w:rPr>
        <w:t>涉及矿产资源开发利用活动的相关行业规划</w:t>
      </w:r>
      <w:r>
        <w:rPr>
          <w:rFonts w:ascii="Times New Roman" w:eastAsia="仿宋" w:cs="Times New Roman" w:hAnsi="Times New Roman"/>
          <w:snapToGrid w:val="0"/>
          <w:kern w:val="0"/>
          <w:sz w:val="32"/>
          <w:szCs w:val="32"/>
        </w:rPr>
        <w:t>，</w:t>
      </w:r>
      <w:r>
        <w:rPr>
          <w:rFonts w:ascii="Times New Roman" w:eastAsia="仿宋" w:cs="Times New Roman" w:hAnsi="Times New Roman"/>
          <w:snapToGrid w:val="0"/>
          <w:kern w:val="0"/>
          <w:sz w:val="32"/>
          <w:szCs w:val="32"/>
          <w:lang w:val="zh-CN"/>
        </w:rPr>
        <w:t>应与本《规划》做好衔接。</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napToGrid w:val="0"/>
          <w:kern w:val="0"/>
          <w:sz w:val="32"/>
          <w:szCs w:val="32"/>
          <w:lang w:val="zh-CN"/>
        </w:rPr>
        <w:sectPr>
          <w:footerReference w:type="default" r:id="rId4"/>
          <w:pgSz w:w="11906" w:h="16838"/>
          <w:pgMar w:top="1440" w:right="1800" w:bottom="1440" w:left="1800" w:header="851" w:footer="992" w:gutter="0"/>
          <w:pgNumType w:fmt="numberInDash" w:start="1"/>
          <w:docGrid w:type="lines" w:linePitch="312" w:charSpace="0"/>
        </w:sectPr>
      </w:pPr>
      <w:r>
        <w:rPr>
          <w:rFonts w:ascii="Times New Roman" w:eastAsia="仿宋" w:cs="Times New Roman" w:hAnsi="Times New Roman"/>
          <w:snapToGrid w:val="0"/>
          <w:kern w:val="0"/>
          <w:sz w:val="32"/>
          <w:szCs w:val="32"/>
          <w:lang w:val="zh-CN"/>
        </w:rPr>
        <w:t>《规划》适用范围为理县行政辖区内的矿产资源。以</w:t>
      </w:r>
      <w:r>
        <w:rPr>
          <w:rFonts w:ascii="Times New Roman" w:eastAsia="仿宋" w:cs="Times New Roman" w:hAnsi="Times New Roman"/>
          <w:snapToGrid w:val="0"/>
          <w:kern w:val="0"/>
          <w:sz w:val="32"/>
          <w:szCs w:val="32"/>
        </w:rPr>
        <w:t>2020</w:t>
      </w:r>
      <w:r>
        <w:rPr>
          <w:rFonts w:ascii="Times New Roman" w:eastAsia="仿宋" w:cs="Times New Roman" w:hAnsi="Times New Roman"/>
          <w:snapToGrid w:val="0"/>
          <w:kern w:val="0"/>
          <w:sz w:val="32"/>
          <w:szCs w:val="32"/>
          <w:lang w:val="zh-CN"/>
        </w:rPr>
        <w:t xml:space="preserve">年为基期，2025年为目标年，展望到2035年。    </w:t>
      </w:r>
      <w:bookmarkStart w:id="12" w:name="_Toc480445427"/>
      <w:bookmarkStart w:id="13" w:name="_Toc482345550"/>
    </w:p>
    <w:p>
      <w:pPr>
        <w:pStyle w:val="1"/>
        <w:keepNext/>
        <w:keepLines/>
        <w:pageBreakBefore w:val="0"/>
        <w:widowControl w:val="0"/>
        <w:kinsoku/>
        <w:wordWrap/>
        <w:overflowPunct/>
        <w:topLinePunct w:val="0"/>
        <w:bidi w:val="0"/>
        <w:spacing w:beforeLines="0" w:before="0" w:afterLines="0" w:after="0" w:line="576" w:lineRule="exact"/>
        <w:ind w:left="0" w:right="0"/>
        <w:rPr>
          <w:rFonts w:ascii="Times New Roman" w:eastAsia="仿宋" w:cs="Times New Roman" w:hAnsi="Times New Roman"/>
          <w:sz w:val="36"/>
        </w:rPr>
      </w:pPr>
      <w:bookmarkStart w:id="14" w:name="_Toc127347651"/>
      <w:r>
        <w:rPr>
          <w:rFonts w:ascii="Times New Roman" w:eastAsia="仿宋" w:cs="Times New Roman" w:hAnsi="Times New Roman"/>
          <w:sz w:val="36"/>
        </w:rPr>
        <w:t xml:space="preserve">第一章 </w:t>
      </w:r>
      <w:bookmarkEnd w:id="12"/>
      <w:bookmarkEnd w:id="13"/>
      <w:r>
        <w:rPr>
          <w:rFonts w:ascii="Times New Roman" w:eastAsia="仿宋" w:cs="Times New Roman" w:hAnsi="Times New Roman"/>
          <w:sz w:val="36"/>
        </w:rPr>
        <w:t>现状与形势</w:t>
      </w:r>
      <w:bookmarkEnd w:id="14"/>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15" w:name="_Toc127347652"/>
      <w:r>
        <w:rPr>
          <w:rFonts w:ascii="Times New Roman" w:eastAsia="仿宋" w:cs="Times New Roman" w:hAnsi="Times New Roman"/>
          <w:snapToGrid w:val="0"/>
        </w:rPr>
        <w:t>第一节 经济社会与矿业发展现状</w:t>
      </w:r>
      <w:bookmarkEnd w:id="15"/>
    </w:p>
    <w:p>
      <w:pPr>
        <w:pageBreakBefore w:val="0"/>
        <w:widowControl w:val="0"/>
        <w:kinsoku/>
        <w:wordWrap/>
        <w:overflowPunct/>
        <w:topLinePunct w:val="0"/>
        <w:bidi w:val="0"/>
        <w:spacing w:line="576" w:lineRule="exact"/>
        <w:ind w:left="0" w:right="0" w:firstLineChars="200" w:firstLine="640"/>
        <w:rPr>
          <w:rFonts w:ascii="Times New Roman" w:eastAsia="仿宋" w:cs="Times New Roman" w:hAnsi="Times New Roman"/>
          <w:snapToGrid w:val="0"/>
          <w:kern w:val="0"/>
          <w:sz w:val="32"/>
          <w:szCs w:val="32"/>
        </w:rPr>
      </w:pPr>
      <w:r>
        <w:rPr>
          <w:rFonts w:ascii="Times New Roman" w:eastAsia="仿宋" w:cs="Times New Roman" w:hAnsi="Times New Roman"/>
          <w:snapToGrid w:val="0"/>
          <w:kern w:val="0"/>
          <w:sz w:val="32"/>
          <w:szCs w:val="32"/>
        </w:rPr>
        <w:t>理县</w:t>
      </w:r>
      <w:r>
        <w:rPr>
          <w:rFonts w:ascii="Times New Roman" w:eastAsia="仿宋" w:cs="Times New Roman" w:hAnsi="Times New Roman"/>
          <w:snapToGrid w:val="0"/>
          <w:kern w:val="0"/>
          <w:sz w:val="32"/>
          <w:szCs w:val="32"/>
          <w:lang w:val="zh-CN"/>
        </w:rPr>
        <w:t>位于四川省西部，</w:t>
      </w:r>
      <w:r>
        <w:rPr>
          <w:rFonts w:ascii="Times New Roman" w:eastAsia="仿宋" w:cs="Times New Roman" w:hAnsi="Times New Roman"/>
          <w:snapToGrid w:val="0"/>
          <w:kern w:val="0"/>
          <w:sz w:val="32"/>
          <w:szCs w:val="32"/>
          <w:lang w:val="zh-CN"/>
        </w:rPr>
        <w:fldChar w:fldCharType="begin"/>
      </w:r>
      <w:r>
        <w:instrText>HYPERLINK "https://baike.baidu.com/item/%E9%9D%92%E8%97%8F%E9%AB%98%E5%8E%9F"</w:instrText>
      </w:r>
      <w:r>
        <w:rPr>
          <w:rFonts w:ascii="Times New Roman" w:eastAsia="仿宋" w:cs="Times New Roman" w:hAnsi="Times New Roman"/>
          <w:snapToGrid w:val="0"/>
          <w:kern w:val="0"/>
          <w:sz w:val="32"/>
          <w:szCs w:val="32"/>
          <w:lang w:val="zh-CN"/>
        </w:rPr>
        <w:fldChar w:fldCharType="separate"/>
      </w:r>
      <w:r>
        <w:rPr>
          <w:rFonts w:ascii="Times New Roman" w:eastAsia="仿宋" w:cs="Times New Roman" w:hAnsi="Times New Roman"/>
          <w:snapToGrid w:val="0"/>
          <w:kern w:val="0"/>
          <w:sz w:val="32"/>
          <w:szCs w:val="32"/>
          <w:lang w:val="zh-CN"/>
        </w:rPr>
        <w:t>青藏高原</w:t>
      </w:r>
      <w:r>
        <w:rPr>
          <w:rFonts w:ascii="Times New Roman" w:eastAsia="仿宋" w:cs="Times New Roman" w:hAnsi="Times New Roman"/>
          <w:snapToGrid w:val="0"/>
          <w:kern w:val="0"/>
          <w:sz w:val="32"/>
          <w:szCs w:val="32"/>
          <w:lang w:val="zh-CN"/>
        </w:rPr>
        <w:fldChar w:fldCharType="end"/>
      </w:r>
      <w:r>
        <w:rPr>
          <w:rFonts w:ascii="Times New Roman" w:eastAsia="仿宋" w:cs="Times New Roman" w:hAnsi="Times New Roman"/>
          <w:snapToGrid w:val="0"/>
          <w:kern w:val="0"/>
          <w:sz w:val="32"/>
          <w:szCs w:val="32"/>
          <w:lang w:val="zh-CN"/>
        </w:rPr>
        <w:t>东部，阿坝藏族羌族自治州东南缘。东南与</w:t>
      </w:r>
      <w:r>
        <w:rPr>
          <w:rFonts w:ascii="Times New Roman" w:eastAsia="仿宋" w:cs="Times New Roman" w:hAnsi="Times New Roman"/>
          <w:snapToGrid w:val="0"/>
          <w:kern w:val="0"/>
          <w:sz w:val="32"/>
          <w:szCs w:val="32"/>
          <w:lang w:val="zh-CN"/>
        </w:rPr>
        <w:fldChar w:fldCharType="begin"/>
      </w:r>
      <w:r>
        <w:instrText>HYPERLINK "https://baike.baidu.com/item/%E6%B1%B6%E5%B7%9D"</w:instrText>
      </w:r>
      <w:r>
        <w:rPr>
          <w:rFonts w:ascii="Times New Roman" w:eastAsia="仿宋" w:cs="Times New Roman" w:hAnsi="Times New Roman"/>
          <w:snapToGrid w:val="0"/>
          <w:kern w:val="0"/>
          <w:sz w:val="32"/>
          <w:szCs w:val="32"/>
          <w:lang w:val="zh-CN"/>
        </w:rPr>
        <w:fldChar w:fldCharType="separate"/>
      </w:r>
      <w:r>
        <w:rPr>
          <w:rFonts w:ascii="Times New Roman" w:eastAsia="仿宋" w:cs="Times New Roman" w:hAnsi="Times New Roman"/>
          <w:snapToGrid w:val="0"/>
          <w:kern w:val="0"/>
          <w:sz w:val="32"/>
          <w:szCs w:val="32"/>
          <w:lang w:val="zh-CN"/>
        </w:rPr>
        <w:t>汶川</w:t>
      </w:r>
      <w:r>
        <w:rPr>
          <w:rFonts w:ascii="Times New Roman" w:eastAsia="仿宋" w:cs="Times New Roman" w:hAnsi="Times New Roman"/>
          <w:snapToGrid w:val="0"/>
          <w:kern w:val="0"/>
          <w:sz w:val="32"/>
          <w:szCs w:val="32"/>
          <w:lang w:val="zh-CN"/>
        </w:rPr>
        <w:fldChar w:fldCharType="end"/>
      </w:r>
      <w:r>
        <w:rPr>
          <w:rFonts w:ascii="Times New Roman" w:eastAsia="仿宋" w:cs="Times New Roman" w:hAnsi="Times New Roman"/>
          <w:snapToGrid w:val="0"/>
          <w:kern w:val="0"/>
          <w:sz w:val="32"/>
          <w:szCs w:val="32"/>
          <w:lang w:val="zh-CN"/>
        </w:rPr>
        <w:t>相通，东北与茂县、</w:t>
      </w:r>
      <w:r>
        <w:rPr>
          <w:rFonts w:ascii="Times New Roman" w:eastAsia="仿宋" w:cs="Times New Roman" w:hAnsi="Times New Roman"/>
          <w:snapToGrid w:val="0"/>
          <w:kern w:val="0"/>
          <w:sz w:val="32"/>
          <w:szCs w:val="32"/>
          <w:lang w:val="zh-CN"/>
        </w:rPr>
        <w:fldChar w:fldCharType="begin"/>
      </w:r>
      <w:r>
        <w:instrText>HYPERLINK "https://baike.baidu.com/item/%E9%BB%91%E6%B0%B4"</w:instrText>
      </w:r>
      <w:r>
        <w:rPr>
          <w:rFonts w:ascii="Times New Roman" w:eastAsia="仿宋" w:cs="Times New Roman" w:hAnsi="Times New Roman"/>
          <w:snapToGrid w:val="0"/>
          <w:kern w:val="0"/>
          <w:sz w:val="32"/>
          <w:szCs w:val="32"/>
          <w:lang w:val="zh-CN"/>
        </w:rPr>
        <w:fldChar w:fldCharType="separate"/>
      </w:r>
      <w:r>
        <w:rPr>
          <w:rFonts w:ascii="Times New Roman" w:eastAsia="仿宋" w:cs="Times New Roman" w:hAnsi="Times New Roman"/>
          <w:snapToGrid w:val="0"/>
          <w:kern w:val="0"/>
          <w:sz w:val="32"/>
          <w:szCs w:val="32"/>
          <w:lang w:val="zh-CN"/>
        </w:rPr>
        <w:t>黑水</w:t>
      </w:r>
      <w:r>
        <w:rPr>
          <w:rFonts w:ascii="Times New Roman" w:eastAsia="仿宋" w:cs="Times New Roman" w:hAnsi="Times New Roman"/>
          <w:snapToGrid w:val="0"/>
          <w:kern w:val="0"/>
          <w:sz w:val="32"/>
          <w:szCs w:val="32"/>
          <w:lang w:val="zh-CN"/>
        </w:rPr>
        <w:fldChar w:fldCharType="end"/>
      </w:r>
      <w:r>
        <w:rPr>
          <w:rFonts w:ascii="Times New Roman" w:eastAsia="仿宋" w:cs="Times New Roman" w:hAnsi="Times New Roman"/>
          <w:snapToGrid w:val="0"/>
          <w:kern w:val="0"/>
          <w:sz w:val="32"/>
          <w:szCs w:val="32"/>
          <w:lang w:val="zh-CN"/>
        </w:rPr>
        <w:t>接壤，西南与小金相连，西北与马尔康、</w:t>
      </w:r>
      <w:r>
        <w:rPr>
          <w:rFonts w:ascii="Times New Roman" w:eastAsia="仿宋" w:cs="Times New Roman" w:hAnsi="Times New Roman"/>
          <w:snapToGrid w:val="0"/>
          <w:kern w:val="0"/>
          <w:sz w:val="32"/>
          <w:szCs w:val="32"/>
          <w:lang w:val="zh-CN"/>
        </w:rPr>
        <w:fldChar w:fldCharType="begin"/>
      </w:r>
      <w:r>
        <w:instrText>HYPERLINK "https://baike.baidu.com/item/%E7%BA%A2%E5%8E%9F"</w:instrText>
      </w:r>
      <w:r>
        <w:rPr>
          <w:rFonts w:ascii="Times New Roman" w:eastAsia="仿宋" w:cs="Times New Roman" w:hAnsi="Times New Roman"/>
          <w:snapToGrid w:val="0"/>
          <w:kern w:val="0"/>
          <w:sz w:val="32"/>
          <w:szCs w:val="32"/>
          <w:lang w:val="zh-CN"/>
        </w:rPr>
        <w:fldChar w:fldCharType="separate"/>
      </w:r>
      <w:r>
        <w:rPr>
          <w:rFonts w:ascii="Times New Roman" w:eastAsia="仿宋" w:cs="Times New Roman" w:hAnsi="Times New Roman"/>
          <w:snapToGrid w:val="0"/>
          <w:kern w:val="0"/>
          <w:sz w:val="32"/>
          <w:szCs w:val="32"/>
          <w:lang w:val="zh-CN"/>
        </w:rPr>
        <w:t>红原</w:t>
      </w:r>
      <w:r>
        <w:rPr>
          <w:rFonts w:ascii="Times New Roman" w:eastAsia="仿宋" w:cs="Times New Roman" w:hAnsi="Times New Roman"/>
          <w:snapToGrid w:val="0"/>
          <w:kern w:val="0"/>
          <w:sz w:val="32"/>
          <w:szCs w:val="32"/>
          <w:lang w:val="zh-CN"/>
        </w:rPr>
        <w:fldChar w:fldCharType="end"/>
      </w:r>
      <w:r>
        <w:rPr>
          <w:rFonts w:ascii="Times New Roman" w:eastAsia="仿宋" w:cs="Times New Roman" w:hAnsi="Times New Roman"/>
          <w:snapToGrid w:val="0"/>
          <w:kern w:val="0"/>
          <w:sz w:val="32"/>
          <w:szCs w:val="32"/>
          <w:lang w:val="zh-CN"/>
        </w:rPr>
        <w:t>毗邻。距离省会成都202公里，距离州府马尔康193公里。全县面积4313.42平方公里。国道317线沿杂谷脑河贯穿全境。地貌类型为低中山-中山-高山-极高山，海拔1422～5922米，平均海拔2700米，是典型的中高山峡谷区。</w:t>
      </w:r>
    </w:p>
    <w:p>
      <w:pPr>
        <w:pageBreakBefore w:val="0"/>
        <w:widowControl w:val="0"/>
        <w:kinsoku/>
        <w:wordWrap/>
        <w:overflowPunct/>
        <w:topLinePunct w:val="0"/>
        <w:bidi w:val="0"/>
        <w:spacing w:line="576" w:lineRule="exact"/>
        <w:ind w:left="0" w:right="0" w:firstLineChars="200" w:firstLine="640"/>
        <w:rPr>
          <w:rFonts w:ascii="Times New Roman" w:eastAsia="仿宋" w:cs="Times New Roman" w:hAnsi="Times New Roman"/>
          <w:snapToGrid w:val="0"/>
          <w:kern w:val="0"/>
          <w:sz w:val="32"/>
          <w:szCs w:val="32"/>
          <w:lang w:val="zh-CN"/>
        </w:rPr>
      </w:pPr>
      <w:r>
        <w:rPr>
          <w:rFonts w:ascii="Times New Roman" w:eastAsia="仿宋" w:cs="Times New Roman" w:hAnsi="Times New Roman"/>
          <w:snapToGrid w:val="0"/>
          <w:kern w:val="0"/>
          <w:sz w:val="32"/>
          <w:szCs w:val="32"/>
          <w:lang w:val="zh-CN"/>
        </w:rPr>
        <w:t>理县全县总人口</w:t>
      </w:r>
      <w:r>
        <w:rPr>
          <w:rFonts w:ascii="Times New Roman" w:eastAsia="仿宋" w:cs="Times New Roman" w:hAnsi="Times New Roman"/>
          <w:snapToGrid w:val="0"/>
          <w:kern w:val="0"/>
          <w:sz w:val="32"/>
          <w:szCs w:val="32"/>
        </w:rPr>
        <w:t>4.6万（2022年末），</w:t>
      </w:r>
      <w:r>
        <w:rPr>
          <w:rFonts w:ascii="Times New Roman" w:eastAsia="仿宋" w:cs="Times New Roman" w:hAnsi="Times New Roman"/>
          <w:snapToGrid w:val="0"/>
          <w:kern w:val="0"/>
          <w:sz w:val="32"/>
          <w:szCs w:val="32"/>
          <w:lang w:val="zh-CN"/>
        </w:rPr>
        <w:t>经济发展势头良好。县域内旅游资源丰富。米亚罗是我国最大的红叶景区之一，古尔沟温泉是当前四川省惟一的集浴用、饮用、疗用为一体的天然热矿泉，毕棚沟、桃坪羌寨、木卡羌寨、筹边楼等景区景点远近闻名。2020年6月，理县入选四川首批省级全域旅游示范区创建名单。</w:t>
      </w:r>
    </w:p>
    <w:p>
      <w:pPr>
        <w:pageBreakBefore w:val="0"/>
        <w:widowControl w:val="0"/>
        <w:kinsoku/>
        <w:wordWrap/>
        <w:overflowPunct/>
        <w:topLinePunct w:val="0"/>
        <w:bidi w:val="0"/>
        <w:spacing w:line="576" w:lineRule="exact"/>
        <w:ind w:left="0" w:right="0" w:firstLineChars="200" w:firstLine="640"/>
        <w:rPr>
          <w:rFonts w:ascii="Times New Roman" w:eastAsia="仿宋" w:cs="Times New Roman" w:hAnsi="Times New Roman"/>
          <w:snapToGrid w:val="0"/>
          <w:kern w:val="0"/>
          <w:sz w:val="32"/>
          <w:szCs w:val="32"/>
        </w:rPr>
      </w:pPr>
      <w:r>
        <w:rPr>
          <w:rFonts w:ascii="Times New Roman" w:eastAsia="仿宋" w:cs="Times New Roman" w:hAnsi="Times New Roman"/>
          <w:snapToGrid w:val="0"/>
          <w:kern w:val="0"/>
          <w:sz w:val="32"/>
          <w:szCs w:val="32"/>
        </w:rPr>
        <w:t>2021 年，全年实现地区生产总值（GDP）317675 万元，按可比价计算，比上年增长 7.2%。其中，第一产业实现增加值 41285 万元，增长 6.9%；第二产业实现增加值 86710 万元，增长 8.4%；第三产业实现增加值 189680 万元，增长 6.8%，三次产业对经济增长的贡献率分别为 11.87%、31.29%、56.84%，分别拉动经济 0.9、2.2、4.1 个百分点。人均地区生产总值 85858 元，同比增长 15.9%。三次产业增加值占地区生产总值（GDP）的比重由上年的 12.4：26.9：60.7，调整为13：27.3：59.7。</w:t>
      </w:r>
    </w:p>
    <w:p>
      <w:pPr>
        <w:pageBreakBefore w:val="0"/>
        <w:widowControl w:val="0"/>
        <w:kinsoku/>
        <w:wordWrap/>
        <w:overflowPunct/>
        <w:topLinePunct w:val="0"/>
        <w:bidi w:val="0"/>
        <w:spacing w:line="576" w:lineRule="exact"/>
        <w:ind w:left="0" w:right="0" w:firstLineChars="200" w:firstLine="640"/>
        <w:rPr>
          <w:rFonts w:ascii="Times New Roman" w:eastAsia="仿宋" w:cs="Times New Roman" w:hAnsi="Times New Roman"/>
          <w:snapToGrid w:val="0"/>
          <w:kern w:val="0"/>
          <w:sz w:val="32"/>
          <w:szCs w:val="32"/>
        </w:rPr>
      </w:pPr>
      <w:r>
        <w:rPr>
          <w:rFonts w:ascii="Times New Roman" w:eastAsia="仿宋" w:cs="Times New Roman" w:hAnsi="Times New Roman"/>
          <w:snapToGrid w:val="0"/>
          <w:kern w:val="0"/>
          <w:sz w:val="32"/>
          <w:szCs w:val="32"/>
        </w:rPr>
        <w:t>理县已发现的矿产资源包括岩金、铜、铍、锡、钼、铅、锌、硅灰石、大理石、石榴子石、钾长石、辉绿石、水晶、石棉、硫磺榍石、建筑用砂岩、地热、矿泉水等。硅矿资源量234.4万吨；金矿资源量15.3万吨；大理石资源量3180万吨；金刚砂资源量123万吨。理县矿产资源开发利用活动弱，生产总值占比低</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16" w:name="_Toc127347653"/>
      <w:r>
        <w:rPr>
          <w:rFonts w:ascii="Times New Roman" w:eastAsia="仿宋" w:cs="Times New Roman" w:hAnsi="Times New Roman"/>
          <w:snapToGrid w:val="0"/>
        </w:rPr>
        <w:t>第二节 矿产资源特点及勘查开发现状</w:t>
      </w:r>
      <w:bookmarkEnd w:id="16"/>
    </w:p>
    <w:p>
      <w:pPr>
        <w:pageBreakBefore w:val="0"/>
        <w:widowControl w:val="0"/>
        <w:kinsoku/>
        <w:wordWrap/>
        <w:overflowPunct/>
        <w:topLinePunct w:val="0"/>
        <w:bidi w:val="0"/>
        <w:spacing w:line="576" w:lineRule="exact"/>
        <w:ind w:left="0" w:right="0" w:firstLine="600"/>
        <w:rPr>
          <w:rFonts w:ascii="Times New Roman" w:eastAsia="仿宋" w:cs="Times New Roman" w:hAnsi="Times New Roman"/>
          <w:b/>
          <w:sz w:val="32"/>
          <w:szCs w:val="32"/>
        </w:rPr>
      </w:pPr>
      <w:r>
        <w:rPr>
          <w:rFonts w:ascii="Times New Roman" w:eastAsia="仿宋" w:cs="Times New Roman" w:hAnsi="Times New Roman"/>
          <w:b/>
          <w:sz w:val="32"/>
          <w:szCs w:val="32"/>
        </w:rPr>
        <w:t>一、矿产资源禀赋特点</w:t>
      </w:r>
    </w:p>
    <w:p>
      <w:pPr>
        <w:pageBreakBefore w:val="0"/>
        <w:widowControl w:val="0"/>
        <w:kinsoku/>
        <w:wordWrap/>
        <w:overflowPunct/>
        <w:topLinePunct w:val="0"/>
        <w:autoSpaceDE w:val="0"/>
        <w:autoSpaceDN w:val="0"/>
        <w:bidi w:val="0"/>
        <w:adjustRightInd w:val="0"/>
        <w:spacing w:line="576" w:lineRule="exact"/>
        <w:ind w:left="0" w:right="0" w:firstLine="645"/>
        <w:jc w:val="left"/>
        <w:rPr>
          <w:rFonts w:ascii="Times New Roman" w:eastAsia="仿宋" w:cs="Times New Roman" w:hAnsi="Times New Roman"/>
          <w:sz w:val="32"/>
          <w:szCs w:val="32"/>
        </w:rPr>
      </w:pPr>
      <w:r>
        <w:rPr>
          <w:rFonts w:ascii="Times New Roman" w:eastAsia="仿宋" w:cs="Times New Roman" w:hAnsi="Times New Roman"/>
          <w:sz w:val="32"/>
          <w:szCs w:val="32"/>
        </w:rPr>
        <w:t>理县以地热、矿泉水为优势矿产，金属矿产少且分散。</w:t>
      </w:r>
    </w:p>
    <w:p>
      <w:pPr>
        <w:pageBreakBefore w:val="0"/>
        <w:widowControl w:val="0"/>
        <w:kinsoku/>
        <w:wordWrap/>
        <w:overflowPunct/>
        <w:topLinePunct w:val="0"/>
        <w:autoSpaceDE w:val="0"/>
        <w:autoSpaceDN w:val="0"/>
        <w:bidi w:val="0"/>
        <w:adjustRightInd w:val="0"/>
        <w:spacing w:line="576" w:lineRule="exact"/>
        <w:ind w:left="0" w:right="0" w:firstLine="645"/>
        <w:jc w:val="left"/>
        <w:rPr>
          <w:rFonts w:ascii="Times New Roman" w:eastAsia="仿宋" w:cs="Times New Roman" w:hAnsi="Times New Roman"/>
          <w:sz w:val="32"/>
          <w:szCs w:val="32"/>
        </w:rPr>
      </w:pPr>
      <w:r>
        <w:rPr>
          <w:rFonts w:ascii="Times New Roman" w:eastAsia="仿宋" w:cs="Times New Roman" w:hAnsi="Times New Roman"/>
          <w:sz w:val="32"/>
          <w:szCs w:val="32"/>
        </w:rPr>
        <w:t>金属矿产主要有金矿。金矿主要分布于危关沟和海子沟，已探明金矿资源储量1337.05（金）千克。</w:t>
      </w:r>
    </w:p>
    <w:p>
      <w:pPr>
        <w:pageBreakBefore w:val="0"/>
        <w:widowControl w:val="0"/>
        <w:kinsoku/>
        <w:wordWrap/>
        <w:overflowPunct/>
        <w:topLinePunct w:val="0"/>
        <w:autoSpaceDE w:val="0"/>
        <w:autoSpaceDN w:val="0"/>
        <w:bidi w:val="0"/>
        <w:adjustRightInd w:val="0"/>
        <w:spacing w:line="576" w:lineRule="exact"/>
        <w:ind w:left="0" w:right="0" w:firstLine="645"/>
        <w:jc w:val="left"/>
        <w:rPr>
          <w:rFonts w:ascii="Times New Roman" w:eastAsia="仿宋" w:cs="Times New Roman" w:hAnsi="Times New Roman"/>
          <w:sz w:val="32"/>
          <w:szCs w:val="32"/>
        </w:rPr>
      </w:pPr>
      <w:r>
        <w:rPr>
          <w:rFonts w:ascii="Times New Roman" w:eastAsia="仿宋" w:cs="Times New Roman" w:hAnsi="Times New Roman"/>
          <w:sz w:val="32"/>
          <w:szCs w:val="32"/>
        </w:rPr>
        <w:t>非金属矿产包括硅灰石、大理石、石灰岩、花岗岩、矿泉水。硅灰石矿主要分布于杂谷脑镇、蒲溪乡，已探明资源储量234.4万吨；大理石矿主要分布于蒲溪乡、通化乡，探明资源储量531.2万立方米；石灰石矿分布于鹧鸪山垭口，已探明资源储量825万吨；花岗岩分布于上孟乡，已探明资源储量1300万立方米；地热、矿泉水分布于朴头乡毕棚沟、甲石口沟，古尔沟镇等地，资源潜力较大。</w:t>
      </w:r>
    </w:p>
    <w:p>
      <w:pPr>
        <w:pageBreakBefore w:val="0"/>
        <w:widowControl w:val="0"/>
        <w:kinsoku/>
        <w:wordWrap/>
        <w:overflowPunct/>
        <w:topLinePunct w:val="0"/>
        <w:bidi w:val="0"/>
        <w:spacing w:line="576" w:lineRule="exact"/>
        <w:ind w:left="0" w:right="0" w:firstLine="600"/>
        <w:rPr>
          <w:rFonts w:ascii="Times New Roman" w:eastAsia="仿宋" w:cs="Times New Roman" w:hAnsi="Times New Roman"/>
          <w:b/>
          <w:sz w:val="32"/>
          <w:szCs w:val="32"/>
        </w:rPr>
      </w:pPr>
      <w:r>
        <w:rPr>
          <w:rFonts w:ascii="Times New Roman" w:eastAsia="仿宋" w:cs="Times New Roman" w:hAnsi="Times New Roman"/>
          <w:b/>
          <w:sz w:val="32"/>
          <w:szCs w:val="32"/>
        </w:rPr>
        <w:t>二、矿产资源勘查开发利用现状</w:t>
      </w:r>
    </w:p>
    <w:p>
      <w:pPr>
        <w:pageBreakBefore w:val="0"/>
        <w:widowControl w:val="0"/>
        <w:kinsoku/>
        <w:wordWrap/>
        <w:overflowPunct/>
        <w:topLinePunct w:val="0"/>
        <w:autoSpaceDE w:val="0"/>
        <w:autoSpaceDN w:val="0"/>
        <w:bidi w:val="0"/>
        <w:adjustRightInd w:val="0"/>
        <w:spacing w:line="576" w:lineRule="exact"/>
        <w:ind w:left="0" w:right="0" w:firstLineChars="200" w:firstLine="640"/>
        <w:jc w:val="left"/>
        <w:textAlignment w:val="baseline"/>
        <w:rPr>
          <w:rFonts w:ascii="Times New Roman" w:eastAsia="仿宋" w:cs="Times New Roman" w:hAnsi="Times New Roman"/>
          <w:sz w:val="32"/>
          <w:szCs w:val="32"/>
        </w:rPr>
      </w:pPr>
      <w:r>
        <w:rPr>
          <w:rFonts w:ascii="Times New Roman" w:eastAsia="仿宋" w:cs="Times New Roman" w:hAnsi="Times New Roman"/>
          <w:sz w:val="32"/>
          <w:szCs w:val="32"/>
        </w:rPr>
        <w:t>截止2020年底，理县有采矿权2个：理县危关金矿和理县古尔沟神峰医疗热矿泉水（专栏1）。到2020年理县危关金矿因采矿证到期处于停采状态。目前正在完善延续材料，拟扩大生产规模。理县古尔沟神峰医疗热矿泉水于2021年6月投入生产，生产规模16万立方米/年。2021年半年生产总值736万元，实现利税收入260.48万元，旅游配套的地热开发经济效益明显。</w:t>
      </w:r>
    </w:p>
    <w:tbl>
      <w:tblPr>
        <w:jc w:val="left"/>
        <w:tblInd w:w="0" w:type="dxa"/>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805"/>
        <w:gridCol w:w="1259"/>
        <w:gridCol w:w="1259"/>
        <w:gridCol w:w="1676"/>
        <w:gridCol w:w="1817"/>
        <w:gridCol w:w="1588"/>
      </w:tblGrid>
      <w:tr>
        <w:trPr>
          <w:trHeight w:val="554"/>
        </w:trPr>
        <w:tc>
          <w:tcPr>
            <w:tcW w:w="5000" w:type="pct"/>
            <w:gridSpan w:val="6"/>
            <w:tcBorders>
              <w:top w:val="single" w:sz="8"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b/>
                <w:sz w:val="28"/>
                <w:szCs w:val="28"/>
              </w:rPr>
            </w:pPr>
            <w:r>
              <w:rPr>
                <w:rFonts w:ascii="Times New Roman" w:eastAsia="仿宋" w:cs="Times New Roman" w:hAnsi="Times New Roman"/>
                <w:b/>
                <w:snapToGrid w:val="0"/>
                <w:color w:val="000000"/>
                <w:kern w:val="0"/>
                <w:sz w:val="28"/>
                <w:szCs w:val="28"/>
              </w:rPr>
              <w:t>专栏1  理县矿产资源储量及开发利用情况统计表</w:t>
            </w:r>
          </w:p>
        </w:tc>
      </w:tr>
      <w:tr>
        <w:trPr>
          <w:trHeight w:val="554"/>
        </w:trPr>
        <w:tc>
          <w:tcPr>
            <w:tcW w:w="47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序号</w:t>
            </w:r>
          </w:p>
        </w:tc>
        <w:tc>
          <w:tcPr>
            <w:tcW w:w="74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矿种名称</w:t>
            </w:r>
          </w:p>
        </w:tc>
        <w:tc>
          <w:tcPr>
            <w:tcW w:w="74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矿山数量</w:t>
            </w:r>
          </w:p>
        </w:tc>
        <w:tc>
          <w:tcPr>
            <w:tcW w:w="997"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保有资源储量</w:t>
            </w:r>
          </w:p>
        </w:tc>
        <w:tc>
          <w:tcPr>
            <w:tcW w:w="1081"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设计生产规模</w:t>
            </w:r>
          </w:p>
        </w:tc>
        <w:tc>
          <w:tcPr>
            <w:tcW w:w="944"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备注</w:t>
            </w:r>
          </w:p>
        </w:tc>
      </w:tr>
      <w:tr>
        <w:trPr>
          <w:trHeight w:val="448"/>
        </w:trPr>
        <w:tc>
          <w:tcPr>
            <w:tcW w:w="47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74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岩金</w:t>
            </w:r>
          </w:p>
        </w:tc>
        <w:tc>
          <w:tcPr>
            <w:tcW w:w="74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997"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1.41万吨</w:t>
            </w:r>
          </w:p>
        </w:tc>
        <w:tc>
          <w:tcPr>
            <w:tcW w:w="1081"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1.5万吨/年</w:t>
            </w:r>
          </w:p>
        </w:tc>
        <w:tc>
          <w:tcPr>
            <w:tcW w:w="944"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p>
        </w:tc>
      </w:tr>
      <w:tr>
        <w:trPr>
          <w:trHeight w:val="480"/>
        </w:trPr>
        <w:tc>
          <w:tcPr>
            <w:tcW w:w="47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2</w:t>
            </w:r>
          </w:p>
        </w:tc>
        <w:tc>
          <w:tcPr>
            <w:tcW w:w="74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地热</w:t>
            </w:r>
          </w:p>
        </w:tc>
        <w:tc>
          <w:tcPr>
            <w:tcW w:w="749"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997"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32.94万立方米/年</w:t>
            </w:r>
          </w:p>
        </w:tc>
        <w:tc>
          <w:tcPr>
            <w:tcW w:w="1081"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16万立方米/年</w:t>
            </w:r>
          </w:p>
        </w:tc>
        <w:tc>
          <w:tcPr>
            <w:tcW w:w="944" w:type="pct"/>
            <w:tcBorders>
              <w:top w:val="single" w:sz="6" w:space="0" w:color="000000"/>
              <w:left w:val="single" w:sz="8" w:space="0" w:color="000000"/>
              <w:bottom w:val="single" w:sz="8" w:space="0" w:color="000000"/>
              <w:right w:val="single" w:sz="8"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2021年6月投产</w:t>
            </w:r>
          </w:p>
        </w:tc>
      </w:tr>
    </w:tbl>
    <w:p>
      <w:pPr>
        <w:pageBreakBefore w:val="0"/>
        <w:widowControl w:val="0"/>
        <w:kinsoku/>
        <w:wordWrap/>
        <w:overflowPunct/>
        <w:topLinePunct w:val="0"/>
        <w:bidi w:val="0"/>
        <w:spacing w:line="576" w:lineRule="exact"/>
        <w:ind w:left="0" w:right="0"/>
        <w:jc w:val="left"/>
        <w:rPr>
          <w:rFonts w:ascii="Times New Roman" w:eastAsia="仿宋" w:cs="Times New Roman" w:hAnsi="Times New Roman"/>
          <w:sz w:val="24"/>
        </w:rPr>
      </w:pPr>
      <w:r>
        <w:rPr>
          <w:rFonts w:ascii="Times New Roman" w:eastAsia="仿宋" w:cs="Times New Roman" w:hAnsi="Times New Roman"/>
          <w:sz w:val="24"/>
        </w:rPr>
        <w:t>注：数据来源于理县2020年矿山开发利用统计数据库。地热为2021年12月底。</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17" w:name="_Toc127347654"/>
      <w:bookmarkStart w:id="18" w:name="_Toc51579882"/>
      <w:r>
        <w:rPr>
          <w:rFonts w:ascii="Times New Roman" w:eastAsia="仿宋" w:cs="Times New Roman" w:hAnsi="Times New Roman"/>
          <w:snapToGrid w:val="0"/>
        </w:rPr>
        <w:t>第三节 上轮矿产资源规划的实施成效</w:t>
      </w:r>
      <w:bookmarkEnd w:id="17"/>
      <w:bookmarkEnd w:id="18"/>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bookmarkStart w:id="19" w:name="_Toc369615034"/>
      <w:bookmarkStart w:id="20" w:name="_Toc367605278"/>
      <w:r>
        <w:rPr>
          <w:rFonts w:ascii="Times New Roman" w:eastAsia="仿宋" w:cs="Times New Roman" w:hAnsi="Times New Roman"/>
          <w:sz w:val="32"/>
          <w:szCs w:val="32"/>
          <w:lang w:val="zh-CN"/>
        </w:rPr>
        <w:t>上轮规划发布实施以来，我县全面落实上级部署，加大矿业市场的整顿规范力度。全县矿产资源勘查和开发活动趋于规范，资源管理水平得到较大提升，资源浪费和环境破坏得到遏制，生态环境明显改善。</w:t>
      </w:r>
    </w:p>
    <w:p>
      <w:pPr>
        <w:pageBreakBefore w:val="0"/>
        <w:widowControl w:val="0"/>
        <w:kinsoku/>
        <w:wordWrap/>
        <w:overflowPunct/>
        <w:topLinePunct w:val="0"/>
        <w:bidi w:val="0"/>
        <w:spacing w:line="576" w:lineRule="exact"/>
        <w:ind w:left="0" w:right="0" w:firstLine="640"/>
        <w:rPr>
          <w:rFonts w:ascii="Times New Roman" w:eastAsia="仿宋" w:cs="Times New Roman" w:hAnsi="Times New Roman"/>
          <w:sz w:val="32"/>
          <w:szCs w:val="32"/>
        </w:rPr>
      </w:pPr>
      <w:r>
        <w:rPr>
          <w:rFonts w:ascii="Times New Roman" w:eastAsia="仿宋" w:cs="Times New Roman" w:hAnsi="Times New Roman"/>
          <w:b/>
          <w:sz w:val="32"/>
          <w:szCs w:val="32"/>
          <w:lang w:val="zh-CN"/>
        </w:rPr>
        <w:t>历史遗留矿山生态修复取得初步成效。</w:t>
      </w:r>
      <w:r>
        <w:rPr>
          <w:rFonts w:ascii="Times New Roman" w:eastAsia="仿宋" w:cs="Times New Roman" w:hAnsi="Times New Roman"/>
          <w:sz w:val="32"/>
          <w:szCs w:val="32"/>
        </w:rPr>
        <w:t>截止2020年理县历史遗留矿山地质环境恢复治理和矿山土地复垦面积0.7平方千米（专栏2）。通过矿山环境恢复治理，历史矿山遗留矿山生态修复取得初步成效。</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矿产资源开发布局渐趋合理，矿产资源开发秩序持续向好。</w:t>
      </w:r>
      <w:r>
        <w:rPr>
          <w:rFonts w:ascii="Times New Roman" w:eastAsia="仿宋" w:cs="Times New Roman" w:hAnsi="Times New Roman"/>
          <w:sz w:val="32"/>
          <w:szCs w:val="32"/>
          <w:lang w:val="zh-CN"/>
        </w:rPr>
        <w:t>上轮规划期间，理县以“生态优先，绿色高质量发展”为核心，合法退出或放弃了一批不符合产业政策的探矿权审批。理县矿产资源开发利用形成了以生态为导向的基本格局。到2020年，理县实际落实金矿采矿权1个、地热采矿权1个。</w:t>
      </w:r>
    </w:p>
    <w:p>
      <w:pPr>
        <w:pageBreakBefore w:val="0"/>
        <w:widowControl w:val="0"/>
        <w:kinsoku/>
        <w:wordWrap/>
        <w:overflowPunct/>
        <w:topLinePunct w:val="0"/>
        <w:bidi w:val="0"/>
        <w:spacing w:line="576" w:lineRule="exact"/>
        <w:ind w:left="0" w:right="0" w:firstLine="560"/>
        <w:rPr>
          <w:rFonts w:ascii="Times New Roman" w:eastAsia="仿宋" w:cs="Times New Roman" w:hAnsi="Times New Roman"/>
        </w:rPr>
      </w:pPr>
      <w:r>
        <w:rPr>
          <w:rFonts w:ascii="Times New Roman" w:eastAsia="仿宋" w:cs="Times New Roman" w:hAnsi="Times New Roman"/>
          <w:b/>
          <w:sz w:val="32"/>
          <w:szCs w:val="32"/>
        </w:rPr>
        <w:t>矿政管理水平进一步提高。</w:t>
      </w:r>
      <w:r>
        <w:rPr>
          <w:rFonts w:ascii="Times New Roman" w:eastAsia="仿宋" w:cs="Times New Roman" w:hAnsi="Times New Roman"/>
          <w:sz w:val="32"/>
          <w:szCs w:val="32"/>
        </w:rPr>
        <w:t>对矿业活动的监督管理进一步加强，矿山储量动态监管全面覆盖，矿业活动规范有序开展，矿产资源管理能力和水平大幅提升，为保障国民经济持续健康发展做出了重要贡献。</w:t>
      </w:r>
    </w:p>
    <w:tbl>
      <w:tblPr>
        <w:jc w:val="left"/>
        <w:tblInd w:w="0" w:type="dxa"/>
        <w:tblW w:w="505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086"/>
        <w:gridCol w:w="1957"/>
        <w:gridCol w:w="2797"/>
        <w:gridCol w:w="2656"/>
      </w:tblGrid>
      <w:tr>
        <w:trPr>
          <w:trHeight w:val="584"/>
        </w:trPr>
        <w:tc>
          <w:tcPr>
            <w:tcW w:w="5000" w:type="pct"/>
            <w:gridSpan w:val="4"/>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autoSpaceDE w:val="0"/>
              <w:autoSpaceDN w:val="0"/>
              <w:bidi w:val="0"/>
              <w:adjustRightInd w:val="0"/>
              <w:spacing w:line="576" w:lineRule="exact"/>
              <w:ind w:left="0" w:right="0"/>
              <w:jc w:val="left"/>
              <w:rPr>
                <w:rFonts w:ascii="Times New Roman" w:eastAsia="仿宋" w:cs="Times New Roman" w:hAnsi="Times New Roman"/>
                <w:b/>
                <w:sz w:val="24"/>
                <w:szCs w:val="24"/>
              </w:rPr>
            </w:pPr>
            <w:r>
              <w:rPr>
                <w:rFonts w:ascii="Times New Roman" w:eastAsia="仿宋" w:cs="Times New Roman" w:hAnsi="Times New Roman"/>
                <w:b/>
                <w:snapToGrid w:val="0"/>
                <w:color w:val="000000"/>
                <w:kern w:val="0"/>
                <w:sz w:val="28"/>
                <w:szCs w:val="28"/>
              </w:rPr>
              <w:t>专栏2  “十三五”期间理县矿产资源总体规划实施目标完成情况</w:t>
            </w:r>
          </w:p>
        </w:tc>
      </w:tr>
      <w:tr>
        <w:trPr>
          <w:trHeight w:val="554"/>
        </w:trPr>
        <w:tc>
          <w:tcPr>
            <w:tcW w:w="1791" w:type="pct"/>
            <w:gridSpan w:val="2"/>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指标</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autoSpaceDE w:val="0"/>
              <w:autoSpaceDN w:val="0"/>
              <w:bidi w:val="0"/>
              <w:adjustRightInd w:val="0"/>
              <w:spacing w:line="576" w:lineRule="exact"/>
              <w:ind w:left="0" w:right="0"/>
              <w:jc w:val="left"/>
              <w:rPr>
                <w:rFonts w:ascii="Times New Roman" w:eastAsia="仿宋" w:cs="Times New Roman" w:hAnsi="Times New Roman"/>
                <w:sz w:val="24"/>
                <w:szCs w:val="24"/>
              </w:rPr>
            </w:pPr>
            <w:r>
              <w:rPr>
                <w:rFonts w:ascii="Times New Roman" w:eastAsia="仿宋" w:cs="Times New Roman" w:hAnsi="Times New Roman"/>
                <w:sz w:val="24"/>
                <w:szCs w:val="24"/>
              </w:rPr>
              <w:t>2016-2020 年规划目标</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autoSpaceDE w:val="0"/>
              <w:autoSpaceDN w:val="0"/>
              <w:bidi w:val="0"/>
              <w:adjustRightInd w:val="0"/>
              <w:spacing w:line="576" w:lineRule="exact"/>
              <w:ind w:left="0" w:right="0"/>
              <w:jc w:val="left"/>
              <w:rPr>
                <w:rFonts w:ascii="Times New Roman" w:eastAsia="仿宋" w:cs="Times New Roman" w:hAnsi="Times New Roman"/>
                <w:sz w:val="24"/>
                <w:szCs w:val="24"/>
              </w:rPr>
            </w:pPr>
            <w:r>
              <w:rPr>
                <w:rFonts w:ascii="Times New Roman" w:eastAsia="仿宋" w:cs="Times New Roman" w:hAnsi="Times New Roman"/>
                <w:sz w:val="24"/>
                <w:szCs w:val="24"/>
              </w:rPr>
              <w:t>2020 年实际完成情况</w:t>
            </w:r>
          </w:p>
        </w:tc>
      </w:tr>
      <w:tr>
        <w:trPr>
          <w:trHeight w:val="349"/>
        </w:trPr>
        <w:tc>
          <w:tcPr>
            <w:tcW w:w="639" w:type="pct"/>
            <w:vMerge w:val="restar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勘查规划区块（处）</w:t>
            </w:r>
          </w:p>
        </w:tc>
        <w:tc>
          <w:tcPr>
            <w:tcW w:w="1152"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金矿</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r>
      <w:tr>
        <w:trPr>
          <w:trHeight w:val="394"/>
        </w:trPr>
        <w:tc>
          <w:tcPr>
            <w:tcW w:w="639" w:type="pct"/>
            <w:vMerge/>
            <w:tcBorders>
              <w:top w:val="single" w:sz="6" w:space="0" w:color="000000"/>
              <w:left w:val="single" w:sz="6" w:space="0" w:color="000000"/>
              <w:bottom w:val="single" w:sz="6" w:space="0" w:color="000000"/>
              <w:right w:val="single" w:sz="6" w:space="0" w:color="000000"/>
            </w:tcBorders>
            <w:noWrap/>
            <w:vAlign w:val="center"/>
          </w:tcPr>
          <w:p/>
        </w:tc>
        <w:tc>
          <w:tcPr>
            <w:tcW w:w="1152"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铜矿</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r>
      <w:tr>
        <w:trPr>
          <w:trHeight w:val="353"/>
        </w:trPr>
        <w:tc>
          <w:tcPr>
            <w:tcW w:w="639" w:type="pct"/>
            <w:vMerge/>
            <w:tcBorders>
              <w:top w:val="single" w:sz="6" w:space="0" w:color="000000"/>
              <w:left w:val="single" w:sz="6" w:space="0" w:color="000000"/>
              <w:bottom w:val="single" w:sz="6" w:space="0" w:color="000000"/>
              <w:right w:val="single" w:sz="6" w:space="0" w:color="000000"/>
            </w:tcBorders>
            <w:noWrap/>
            <w:vAlign w:val="center"/>
          </w:tcPr>
          <w:p/>
        </w:tc>
        <w:tc>
          <w:tcPr>
            <w:tcW w:w="1152"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石英矿</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r>
      <w:tr>
        <w:trPr>
          <w:trHeight w:val="236"/>
        </w:trPr>
        <w:tc>
          <w:tcPr>
            <w:tcW w:w="639" w:type="pct"/>
            <w:vMerge/>
            <w:tcBorders>
              <w:top w:val="single" w:sz="6" w:space="0" w:color="000000"/>
              <w:left w:val="single" w:sz="6" w:space="0" w:color="000000"/>
              <w:bottom w:val="single" w:sz="6" w:space="0" w:color="000000"/>
              <w:right w:val="single" w:sz="6" w:space="0" w:color="000000"/>
            </w:tcBorders>
            <w:noWrap/>
            <w:vAlign w:val="center"/>
          </w:tcPr>
          <w:p/>
        </w:tc>
        <w:tc>
          <w:tcPr>
            <w:tcW w:w="1152"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地热</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5</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r>
      <w:tr>
        <w:trPr>
          <w:trHeight w:val="377"/>
        </w:trPr>
        <w:tc>
          <w:tcPr>
            <w:tcW w:w="639" w:type="pct"/>
            <w:vMerge w:val="restar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开采规划区块</w:t>
            </w:r>
          </w:p>
        </w:tc>
        <w:tc>
          <w:tcPr>
            <w:tcW w:w="1152"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金矿</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r>
      <w:tr>
        <w:trPr>
          <w:trHeight w:val="367"/>
        </w:trPr>
        <w:tc>
          <w:tcPr>
            <w:tcW w:w="639" w:type="pct"/>
            <w:vMerge/>
            <w:tcBorders>
              <w:top w:val="single" w:sz="6" w:space="0" w:color="000000"/>
              <w:left w:val="single" w:sz="6" w:space="0" w:color="000000"/>
              <w:bottom w:val="single" w:sz="6" w:space="0" w:color="000000"/>
              <w:right w:val="single" w:sz="6" w:space="0" w:color="000000"/>
            </w:tcBorders>
            <w:noWrap/>
            <w:vAlign w:val="center"/>
          </w:tcPr>
          <w:p/>
        </w:tc>
        <w:tc>
          <w:tcPr>
            <w:tcW w:w="1152"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矿泉水</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r>
      <w:tr>
        <w:trPr>
          <w:trHeight w:val="367"/>
        </w:trPr>
        <w:tc>
          <w:tcPr>
            <w:tcW w:w="639" w:type="pct"/>
            <w:vMerge/>
            <w:tcBorders>
              <w:top w:val="single" w:sz="6" w:space="0" w:color="000000"/>
              <w:left w:val="single" w:sz="6" w:space="0" w:color="000000"/>
              <w:bottom w:val="single" w:sz="6" w:space="0" w:color="000000"/>
              <w:right w:val="single" w:sz="6" w:space="0" w:color="000000"/>
            </w:tcBorders>
            <w:noWrap/>
            <w:vAlign w:val="center"/>
          </w:tcPr>
          <w:p/>
        </w:tc>
        <w:tc>
          <w:tcPr>
            <w:tcW w:w="1152"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建筑石料用灰岩</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r>
      <w:tr>
        <w:trPr>
          <w:trHeight w:val="367"/>
        </w:trPr>
        <w:tc>
          <w:tcPr>
            <w:tcW w:w="1791" w:type="pct"/>
            <w:gridSpan w:val="2"/>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矿山地质环境恢复治理和面积（km</w:t>
            </w:r>
            <w:r>
              <w:rPr>
                <w:rFonts w:ascii="Times New Roman" w:eastAsia="仿宋" w:cs="Times New Roman" w:hAnsi="Times New Roman"/>
                <w:sz w:val="24"/>
                <w:szCs w:val="24"/>
                <w:vertAlign w:val="superscript"/>
              </w:rPr>
              <w:t>2</w:t>
            </w:r>
            <w:r>
              <w:rPr>
                <w:rFonts w:ascii="Times New Roman" w:eastAsia="仿宋" w:cs="Times New Roman" w:hAnsi="Times New Roman"/>
                <w:sz w:val="24"/>
                <w:szCs w:val="24"/>
              </w:rPr>
              <w:t>）</w:t>
            </w:r>
          </w:p>
        </w:tc>
        <w:tc>
          <w:tcPr>
            <w:tcW w:w="1646"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0.7</w:t>
            </w:r>
          </w:p>
        </w:tc>
        <w:tc>
          <w:tcPr>
            <w:tcW w:w="1563" w:type="pct"/>
            <w:tcBorders>
              <w:top w:val="single" w:sz="6" w:space="0" w:color="000000"/>
              <w:left w:val="single" w:sz="6" w:space="0" w:color="000000"/>
              <w:bottom w:val="single" w:sz="6" w:space="0" w:color="000000"/>
              <w:right w:val="single" w:sz="6" w:space="0" w:color="000000"/>
            </w:tcBorders>
            <w:noWrap/>
            <w:vAlign w:val="center"/>
          </w:tcPr>
          <w:p>
            <w:pPr>
              <w:pageBreakBefore w:val="0"/>
              <w:widowControl w:val="0"/>
              <w:kinsoku/>
              <w:wordWrap/>
              <w:overflowPunct/>
              <w:topLinePunct w:val="0"/>
              <w:bidi w:val="0"/>
              <w:adjustRightInd w:val="0"/>
              <w:snapToGrid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0.7</w:t>
            </w:r>
          </w:p>
        </w:tc>
      </w:tr>
    </w:tbl>
    <w:p>
      <w:pPr>
        <w:pageBreakBefore w:val="0"/>
        <w:widowControl w:val="0"/>
        <w:kinsoku/>
        <w:wordWrap/>
        <w:overflowPunct/>
        <w:topLinePunct w:val="0"/>
        <w:bidi w:val="0"/>
        <w:spacing w:line="576" w:lineRule="exact"/>
        <w:ind w:left="0" w:right="0"/>
        <w:rPr>
          <w:rFonts w:ascii="Times New Roman" w:eastAsia="仿宋" w:cs="Times New Roman" w:hAnsi="Times New Roman"/>
        </w:rPr>
      </w:pP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21" w:name="_Toc127347655"/>
      <w:bookmarkEnd w:id="19"/>
      <w:bookmarkEnd w:id="20"/>
      <w:r>
        <w:rPr>
          <w:rFonts w:ascii="Times New Roman" w:eastAsia="仿宋" w:cs="Times New Roman" w:hAnsi="Times New Roman"/>
          <w:snapToGrid w:val="0"/>
        </w:rPr>
        <w:t>第四节 问题与形势</w:t>
      </w:r>
      <w:bookmarkEnd w:id="21"/>
    </w:p>
    <w:p>
      <w:pPr>
        <w:pageBreakBefore w:val="0"/>
        <w:widowControl w:val="0"/>
        <w:kinsoku/>
        <w:wordWrap/>
        <w:overflowPunct/>
        <w:topLinePunct w:val="0"/>
        <w:bidi w:val="0"/>
        <w:spacing w:line="576" w:lineRule="exact"/>
        <w:ind w:left="0" w:right="0" w:firstLine="600"/>
        <w:rPr>
          <w:rFonts w:ascii="Times New Roman" w:eastAsia="仿宋" w:cs="Times New Roman" w:hAnsi="Times New Roman"/>
          <w:b/>
          <w:sz w:val="32"/>
          <w:szCs w:val="32"/>
        </w:rPr>
      </w:pPr>
      <w:r>
        <w:rPr>
          <w:rFonts w:ascii="Times New Roman" w:eastAsia="仿宋" w:cs="Times New Roman" w:hAnsi="Times New Roman"/>
          <w:b/>
          <w:sz w:val="32"/>
          <w:szCs w:val="32"/>
        </w:rPr>
        <w:t>一、面临问题</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rPr>
        <w:t>矿业经济发展速度趋缓。</w:t>
      </w:r>
      <w:r>
        <w:rPr>
          <w:rFonts w:ascii="Times New Roman" w:eastAsia="仿宋" w:cs="Times New Roman" w:hAnsi="Times New Roman"/>
          <w:sz w:val="32"/>
          <w:szCs w:val="32"/>
        </w:rPr>
        <w:t>上一轮规划期间，随着经济转型升级，我县矿业经济发展受限。矿山企业因自身债务、“三线一单”管控限制、生态建设</w:t>
      </w:r>
      <w:r>
        <w:rPr>
          <w:rFonts w:ascii="Times New Roman" w:eastAsia="仿宋" w:cs="Times New Roman" w:hAnsi="Times New Roman"/>
          <w:sz w:val="32"/>
          <w:szCs w:val="32"/>
          <w:lang w:val="zh-CN"/>
        </w:rPr>
        <w:t>、环境保护等影响，矿业产业投入和发展都受到诸多限制。</w:t>
      </w:r>
      <w:r>
        <w:rPr>
          <w:rFonts w:ascii="Times New Roman" w:eastAsia="仿宋" w:cs="Times New Roman" w:hAnsi="Times New Roman"/>
          <w:sz w:val="32"/>
          <w:szCs w:val="32"/>
        </w:rPr>
        <w:t>到2020年全县设置采矿权共计2个。</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历史遗留矿山生态修复难度大。</w:t>
      </w:r>
      <w:r>
        <w:rPr>
          <w:rFonts w:ascii="Times New Roman" w:eastAsia="仿宋" w:cs="Times New Roman" w:hAnsi="Times New Roman"/>
          <w:sz w:val="32"/>
          <w:szCs w:val="32"/>
          <w:lang w:val="zh-CN"/>
        </w:rPr>
        <w:t>理县地处川西高原，生态环境比较脆弱，所需生态治理修复周期长，矿山生态修复投入成本高。</w:t>
      </w:r>
    </w:p>
    <w:p>
      <w:pPr>
        <w:pageBreakBefore w:val="0"/>
        <w:widowControl w:val="0"/>
        <w:kinsoku/>
        <w:wordWrap/>
        <w:overflowPunct/>
        <w:topLinePunct w:val="0"/>
        <w:bidi w:val="0"/>
        <w:spacing w:line="576" w:lineRule="exact"/>
        <w:ind w:left="0" w:right="0" w:firstLine="643"/>
        <w:rPr>
          <w:rFonts w:ascii="Times New Roman" w:eastAsia="仿宋" w:cs="Times New Roman" w:hAnsi="Times New Roman"/>
          <w:sz w:val="32"/>
          <w:szCs w:val="32"/>
        </w:rPr>
      </w:pPr>
      <w:r>
        <w:rPr>
          <w:rFonts w:ascii="Times New Roman" w:eastAsia="仿宋" w:cs="Times New Roman" w:hAnsi="Times New Roman"/>
          <w:b/>
          <w:sz w:val="32"/>
          <w:szCs w:val="32"/>
        </w:rPr>
        <w:t>地热资源开发利用不高。</w:t>
      </w:r>
      <w:r>
        <w:rPr>
          <w:rFonts w:ascii="Times New Roman" w:eastAsia="仿宋" w:cs="Times New Roman" w:hAnsi="Times New Roman"/>
          <w:sz w:val="32"/>
          <w:szCs w:val="32"/>
        </w:rPr>
        <w:t>全县范围内地热资源禀赋总体较好，目前地热资源开发利用规模小、市场份额占比偏低，仅有理县古尔沟神峰医疗热矿泉水于2021年建成投产。</w:t>
      </w:r>
    </w:p>
    <w:p>
      <w:pPr>
        <w:pageBreakBefore w:val="0"/>
        <w:widowControl w:val="0"/>
        <w:kinsoku/>
        <w:wordWrap/>
        <w:overflowPunct/>
        <w:topLinePunct w:val="0"/>
        <w:autoSpaceDE w:val="0"/>
        <w:autoSpaceDN w:val="0"/>
        <w:bidi w:val="0"/>
        <w:adjustRightInd w:val="0"/>
        <w:spacing w:line="576" w:lineRule="exact"/>
        <w:ind w:left="0" w:right="0" w:firstLine="645"/>
        <w:jc w:val="left"/>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rPr>
        <w:t>二、形势与要求</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sz w:val="32"/>
          <w:szCs w:val="32"/>
          <w:lang w:val="zh-CN"/>
        </w:rPr>
        <w:t>国家推进长江经济带发展、促进黄河流域生态保护和高质量发展，为我县筑牢长江黄河上游生态安全屏障提供了有力支撑；加快构建双循环新发展格局，为我县加快发展特色优势产业、释放内需活力带来了重大契机。</w:t>
      </w:r>
      <w:r>
        <w:rPr>
          <w:rFonts w:ascii="Times New Roman" w:eastAsia="仿宋" w:cs="Times New Roman" w:hAnsi="Times New Roman"/>
          <w:snapToGrid w:val="0"/>
          <w:kern w:val="0"/>
          <w:sz w:val="32"/>
          <w:szCs w:val="32"/>
          <w:lang w:val="zh-CN"/>
        </w:rPr>
        <w:t>做强全域全时全季全景旅游作为《理县民经济</w:t>
      </w:r>
      <w:r>
        <w:rPr>
          <w:rFonts w:ascii="Times New Roman" w:eastAsia="仿宋" w:cs="Times New Roman" w:hAnsi="Times New Roman"/>
          <w:sz w:val="32"/>
          <w:szCs w:val="32"/>
          <w:lang w:val="zh-CN"/>
        </w:rPr>
        <w:t>和社会发展第十四个五年规划和二〇三五年远景目标纲要》重要一节，发展“旅游+康养度假”是我县生态示范区特色文化旅游发展目标，为我县高质量发展赋予了全新优势、创造了更为有利的条件。</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加强地热开发与全域旅游配套建设为大势所趋。</w:t>
      </w:r>
      <w:r>
        <w:rPr>
          <w:rFonts w:ascii="Times New Roman" w:eastAsia="仿宋" w:cs="Times New Roman" w:hAnsi="Times New Roman"/>
          <w:sz w:val="32"/>
          <w:szCs w:val="32"/>
          <w:lang w:val="zh-CN"/>
        </w:rPr>
        <w:t>我县地热资源丰富，为</w:t>
      </w:r>
      <w:r>
        <w:rPr>
          <w:rFonts w:ascii="Times New Roman" w:eastAsia="仿宋" w:cs="Times New Roman" w:hAnsi="Times New Roman"/>
          <w:sz w:val="32"/>
          <w:szCs w:val="32"/>
        </w:rPr>
        <w:t>“</w:t>
      </w:r>
      <w:r>
        <w:rPr>
          <w:rFonts w:ascii="Times New Roman" w:eastAsia="仿宋" w:cs="Times New Roman" w:hAnsi="Times New Roman"/>
          <w:sz w:val="32"/>
          <w:szCs w:val="32"/>
          <w:lang w:val="zh-CN"/>
        </w:rPr>
        <w:t>旅游+康养度假</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相配套的发展，加速推进度假旅游，加快旅游景区的转型升级，构建一站式度假配套体系，拉长产业链，为构建全域、全时、全季、全景旅游格局提供坚实基础。</w:t>
      </w:r>
    </w:p>
    <w:p>
      <w:pPr>
        <w:pageBreakBefore w:val="0"/>
        <w:widowControl w:val="0"/>
        <w:kinsoku/>
        <w:wordWrap/>
        <w:overflowPunct/>
        <w:topLinePunct w:val="0"/>
        <w:bidi w:val="0"/>
        <w:spacing w:line="576" w:lineRule="exact"/>
        <w:ind w:left="0" w:right="0" w:firstLineChars="200" w:firstLine="640"/>
        <w:rPr>
          <w:rFonts w:ascii="Times New Roman" w:eastAsia="仿宋" w:cs="Times New Roman" w:hAnsi="Times New Roman"/>
          <w:sz w:val="32"/>
          <w:szCs w:val="32"/>
        </w:rPr>
      </w:pPr>
      <w:r>
        <w:rPr>
          <w:rFonts w:ascii="Times New Roman" w:eastAsia="仿宋" w:cs="Times New Roman" w:hAnsi="Times New Roman"/>
          <w:b/>
          <w:sz w:val="32"/>
          <w:szCs w:val="32"/>
          <w:lang w:val="zh-CN"/>
        </w:rPr>
        <w:t>坚持绿色矿业可持续性发展势态</w:t>
      </w:r>
      <w:r>
        <w:rPr>
          <w:rFonts w:ascii="Times New Roman" w:eastAsia="仿宋" w:cs="Times New Roman" w:hAnsi="Times New Roman"/>
          <w:sz w:val="32"/>
          <w:szCs w:val="32"/>
          <w:lang w:val="zh-CN"/>
        </w:rPr>
        <w:t>。积极引导矿业企业参与绿色矿山建设，促进矿业绿色发展。不断深化和巩固矿业企业绿色矿业发展理念。坚持践行“三线一单”、“三区三线”、国土空间管控等政策，应不断深入推动矿业权人从勘查到开发等各个环节监察，坚守矿业绿色可持续性发展底线。</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提升矿政管理服务水平。</w:t>
      </w:r>
      <w:r>
        <w:rPr>
          <w:rFonts w:ascii="Times New Roman" w:eastAsia="仿宋" w:cs="Times New Roman" w:hAnsi="Times New Roman"/>
          <w:sz w:val="32"/>
          <w:szCs w:val="32"/>
          <w:lang w:val="zh-CN"/>
        </w:rPr>
        <w:t>贯彻并落实《四川省自然资源厅关于贯彻落实</w:t>
      </w:r>
      <w:r>
        <w:rPr>
          <w:rFonts w:ascii="Times New Roman" w:eastAsia="仿宋" w:cs="Times New Roman" w:hAnsi="Times New Roman"/>
          <w:sz w:val="32"/>
          <w:szCs w:val="32"/>
        </w:rPr>
        <w:t>&lt;</w:t>
      </w:r>
      <w:r>
        <w:rPr>
          <w:rFonts w:ascii="Times New Roman" w:eastAsia="仿宋" w:cs="Times New Roman" w:hAnsi="Times New Roman"/>
          <w:sz w:val="32"/>
          <w:szCs w:val="32"/>
          <w:lang w:val="zh-CN"/>
        </w:rPr>
        <w:t>自然资源部关于推进矿产资源管理改革若干事项的意见（试行）</w:t>
      </w:r>
      <w:r>
        <w:rPr>
          <w:rFonts w:ascii="Times New Roman" w:eastAsia="仿宋" w:cs="Times New Roman" w:hAnsi="Times New Roman"/>
          <w:sz w:val="32"/>
          <w:szCs w:val="32"/>
        </w:rPr>
        <w:t>&gt;</w:t>
      </w:r>
      <w:r>
        <w:rPr>
          <w:rFonts w:ascii="Times New Roman" w:eastAsia="仿宋" w:cs="Times New Roman" w:hAnsi="Times New Roman"/>
          <w:sz w:val="32"/>
          <w:szCs w:val="32"/>
          <w:lang w:val="zh-CN"/>
        </w:rPr>
        <w:t>精神若干事项的通知》（川自然资规〔</w:t>
      </w:r>
      <w:r>
        <w:rPr>
          <w:rFonts w:ascii="Times New Roman" w:eastAsia="仿宋" w:cs="Times New Roman" w:hAnsi="Times New Roman"/>
          <w:sz w:val="32"/>
          <w:szCs w:val="32"/>
        </w:rPr>
        <w:t>2020</w:t>
      </w:r>
      <w:r>
        <w:rPr>
          <w:rFonts w:ascii="Times New Roman" w:eastAsia="仿宋" w:cs="Times New Roman" w:hAnsi="Times New Roman"/>
          <w:sz w:val="32"/>
          <w:szCs w:val="32"/>
          <w:lang w:val="zh-CN"/>
        </w:rPr>
        <w:t>〕</w:t>
      </w:r>
      <w:r>
        <w:rPr>
          <w:rFonts w:ascii="Times New Roman" w:eastAsia="仿宋" w:cs="Times New Roman" w:hAnsi="Times New Roman"/>
          <w:sz w:val="32"/>
          <w:szCs w:val="32"/>
        </w:rPr>
        <w:t>9</w:t>
      </w:r>
      <w:r>
        <w:rPr>
          <w:rFonts w:ascii="Times New Roman" w:eastAsia="仿宋" w:cs="Times New Roman" w:hAnsi="Times New Roman"/>
          <w:sz w:val="32"/>
          <w:szCs w:val="32"/>
          <w:lang w:val="zh-CN"/>
        </w:rPr>
        <w:t>号），严格遵循矿山最低开采规模、储量规模要求。积极探索</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净矿出让</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工作，坚持依法行政，深化管理服务意识，研究探索信息化政务服务，不断提升管理能力与服务水平。</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rPr>
      </w:pPr>
      <w:r>
        <w:rPr>
          <w:rFonts w:ascii="Times New Roman" w:eastAsia="仿宋" w:cs="Times New Roman" w:hAnsi="Times New Roman"/>
          <w:b/>
          <w:bCs/>
          <w:sz w:val="32"/>
          <w:szCs w:val="32"/>
          <w:lang w:val="zh-CN"/>
        </w:rPr>
        <w:t>认真践行生态文明建设对矿业高质量发展的要求。</w:t>
      </w:r>
      <w:r>
        <w:rPr>
          <w:rFonts w:ascii="Times New Roman" w:eastAsia="仿宋" w:cs="Times New Roman" w:hAnsi="Times New Roman"/>
          <w:sz w:val="32"/>
          <w:szCs w:val="32"/>
          <w:lang w:val="zh-CN"/>
        </w:rPr>
        <w:t>理县地处长江上游生态安全屏障区，本着坚持生态文明建设，坚持践行“绿水青山就是金山银山”，做好“既要绿水青山，也要金山银山”是我县长期面临的形势和挑战。加强统筹谋划，精准施策，做好杂谷脑河干旱河谷和地质灾害修复、历史遗留矿山的生态修复工作，促进矿产资源开发与生态保护协调发展。</w:t>
      </w:r>
    </w:p>
    <w:p>
      <w:pPr>
        <w:pStyle w:val="1"/>
        <w:keepNext/>
        <w:keepLines/>
        <w:pageBreakBefore w:val="0"/>
        <w:widowControl w:val="0"/>
        <w:kinsoku/>
        <w:wordWrap/>
        <w:overflowPunct/>
        <w:topLinePunct w:val="0"/>
        <w:bidi w:val="0"/>
        <w:spacing w:beforeLines="0" w:before="0" w:afterLines="0" w:after="0" w:line="576" w:lineRule="exact"/>
        <w:ind w:left="0" w:right="0"/>
        <w:rPr>
          <w:rFonts w:ascii="Times New Roman" w:eastAsia="仿宋" w:cs="Times New Roman" w:hAnsi="Times New Roman"/>
          <w:sz w:val="36"/>
        </w:rPr>
        <w:sectPr>
          <w:pgSz w:w="11906" w:h="16838"/>
          <w:pgMar w:top="1440" w:right="1800" w:bottom="1440" w:left="1800" w:header="851" w:footer="992" w:gutter="0"/>
          <w:pgNumType w:fmt="numberInDash" w:start="1"/>
          <w:docGrid w:type="lines" w:linePitch="312" w:charSpace="0"/>
        </w:sectPr>
      </w:pPr>
    </w:p>
    <w:p>
      <w:pPr>
        <w:pStyle w:val="1"/>
        <w:keepNext/>
        <w:keepLines/>
        <w:pageBreakBefore w:val="0"/>
        <w:widowControl w:val="0"/>
        <w:kinsoku/>
        <w:wordWrap/>
        <w:overflowPunct/>
        <w:topLinePunct w:val="0"/>
        <w:bidi w:val="0"/>
        <w:spacing w:beforeLines="0" w:before="0" w:afterLines="0" w:after="0" w:line="576" w:lineRule="exact"/>
        <w:ind w:left="0" w:right="0"/>
        <w:rPr>
          <w:rFonts w:ascii="Times New Roman" w:eastAsia="仿宋" w:cs="Times New Roman" w:hAnsi="Times New Roman"/>
          <w:sz w:val="36"/>
        </w:rPr>
      </w:pPr>
      <w:bookmarkStart w:id="22" w:name="_Toc127347656"/>
      <w:r>
        <w:rPr>
          <w:rFonts w:ascii="Times New Roman" w:eastAsia="仿宋" w:cs="Times New Roman" w:hAnsi="Times New Roman"/>
          <w:sz w:val="36"/>
        </w:rPr>
        <w:t>第二章 指导思想、原则和目标</w:t>
      </w:r>
      <w:bookmarkEnd w:id="22"/>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23" w:name="_Toc127347657"/>
      <w:r>
        <w:rPr>
          <w:rFonts w:ascii="Times New Roman" w:eastAsia="仿宋" w:cs="Times New Roman" w:hAnsi="Times New Roman"/>
          <w:snapToGrid w:val="0"/>
        </w:rPr>
        <w:t>第一节 指导思想</w:t>
      </w:r>
      <w:bookmarkEnd w:id="23"/>
    </w:p>
    <w:p>
      <w:pPr>
        <w:pageBreakBefore w:val="0"/>
        <w:widowControl w:val="0"/>
        <w:kinsoku/>
        <w:wordWrap/>
        <w:overflowPunct/>
        <w:topLinePunct w:val="0"/>
        <w:bidi w:val="0"/>
        <w:spacing w:line="576" w:lineRule="exact"/>
        <w:ind w:left="0" w:right="0" w:firstLineChars="200" w:firstLine="640"/>
        <w:rPr>
          <w:rFonts w:ascii="Times New Roman" w:eastAsia="仿宋" w:cs="Times New Roman" w:hAnsi="Times New Roman"/>
          <w:sz w:val="32"/>
          <w:szCs w:val="32"/>
        </w:rPr>
      </w:pPr>
      <w:bookmarkStart w:id="24" w:name="_Hlk127537804"/>
      <w:r>
        <w:rPr>
          <w:rFonts w:ascii="Times New Roman" w:eastAsia="仿宋" w:cs="Times New Roman" w:hAnsi="Times New Roman"/>
          <w:sz w:val="32"/>
          <w:szCs w:val="32"/>
          <w:lang w:val="zh-CN"/>
        </w:rPr>
        <w:t>全面贯彻学习中共中央“二十大”</w:t>
      </w:r>
      <w:r>
        <w:rPr>
          <w:rFonts w:ascii="Times New Roman" w:eastAsia="仿宋" w:cs="Times New Roman" w:hAnsi="Times New Roman"/>
          <w:color w:val="333333"/>
          <w:sz w:val="32"/>
          <w:szCs w:val="32"/>
          <w:lang w:val="zh-CN"/>
        </w:rPr>
        <w:t>推动绿色发展，促进人与自然和谐共生</w:t>
      </w:r>
      <w:r>
        <w:rPr>
          <w:rFonts w:ascii="Times New Roman" w:eastAsia="仿宋" w:cs="Times New Roman" w:hAnsi="Times New Roman"/>
          <w:sz w:val="32"/>
          <w:szCs w:val="32"/>
          <w:lang w:val="zh-CN"/>
        </w:rPr>
        <w:t>、省委</w:t>
      </w:r>
      <w:r>
        <w:rPr>
          <w:rFonts w:ascii="Times New Roman" w:eastAsia="仿宋" w:cs="Times New Roman" w:hAnsi="Times New Roman"/>
          <w:sz w:val="32"/>
          <w:szCs w:val="32"/>
        </w:rPr>
        <w:t>十二届一中全会和习</w:t>
      </w:r>
      <w:r>
        <w:rPr>
          <w:rFonts w:ascii="Times New Roman" w:eastAsia="仿宋" w:cs="Times New Roman" w:hAnsi="Times New Roman"/>
          <w:sz w:val="32"/>
          <w:szCs w:val="32"/>
          <w:lang w:val="zh-CN"/>
        </w:rPr>
        <w:t>近平总书记对四川工作系列重要指示精神，落实新时代党的治藏方略和省委涉藏工作重要部署，认真践行</w:t>
      </w:r>
      <w:r>
        <w:rPr>
          <w:rFonts w:ascii="Times New Roman" w:eastAsia="仿宋" w:cs="Times New Roman" w:hAnsi="Times New Roman"/>
          <w:sz w:val="32"/>
          <w:szCs w:val="32"/>
        </w:rPr>
        <w:t xml:space="preserve"> “</w:t>
      </w:r>
      <w:r>
        <w:rPr>
          <w:rFonts w:ascii="Times New Roman" w:eastAsia="仿宋" w:cs="Times New Roman" w:hAnsi="Times New Roman"/>
          <w:sz w:val="32"/>
          <w:szCs w:val="32"/>
          <w:lang w:val="zh-CN"/>
        </w:rPr>
        <w:t>重在保护、要在治理、高质量发展”生态保护理念，以深化创新、生态环境保护、生态价值转化为主线，以改革创新为根本动力，以满足人民日益增长的美好生活需要为根本目的，紧扣</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生态、发展、民生、稳定、作风</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五个关键点，</w:t>
      </w:r>
      <w:r>
        <w:rPr>
          <w:rFonts w:ascii="Times New Roman" w:eastAsia="仿宋" w:cs="Times New Roman" w:hAnsi="Times New Roman"/>
          <w:sz w:val="32"/>
          <w:szCs w:val="32"/>
        </w:rPr>
        <w:t>统筹安排理县矿产开发利用和矿山环境保护与治理恢复</w:t>
      </w:r>
      <w:bookmarkEnd w:id="24"/>
      <w:r>
        <w:rPr>
          <w:rFonts w:ascii="Times New Roman" w:eastAsia="仿宋" w:cs="Times New Roman" w:hAnsi="Times New Roman"/>
          <w:sz w:val="32"/>
          <w:szCs w:val="32"/>
        </w:rPr>
        <w:t>，有效监督管理矿产资源勘查开发活动，发展绿色矿业</w:t>
      </w:r>
      <w:r>
        <w:rPr>
          <w:rFonts w:ascii="Times New Roman" w:eastAsia="仿宋" w:cs="Times New Roman" w:hAnsi="Times New Roman"/>
          <w:sz w:val="32"/>
          <w:szCs w:val="32"/>
          <w:lang w:val="zh-CN"/>
        </w:rPr>
        <w:t>，实现全县矿产资源可持续发展。</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25" w:name="_Toc127347658"/>
      <w:r>
        <w:rPr>
          <w:rFonts w:ascii="Times New Roman" w:eastAsia="仿宋" w:cs="Times New Roman" w:hAnsi="Times New Roman"/>
          <w:snapToGrid w:val="0"/>
        </w:rPr>
        <w:t>第二节 基本原则</w:t>
      </w:r>
      <w:bookmarkEnd w:id="25"/>
    </w:p>
    <w:p>
      <w:pPr>
        <w:pageBreakBefore w:val="0"/>
        <w:widowControl w:val="0"/>
        <w:kinsoku/>
        <w:wordWrap/>
        <w:overflowPunct/>
        <w:topLinePunct w:val="0"/>
        <w:bidi w:val="0"/>
        <w:spacing w:line="576" w:lineRule="exact"/>
        <w:ind w:left="0" w:right="0" w:firstLine="560"/>
        <w:rPr>
          <w:rFonts w:ascii="Times New Roman" w:eastAsia="仿宋" w:cs="Times New Roman" w:hAnsi="Times New Roman"/>
          <w:sz w:val="32"/>
          <w:szCs w:val="32"/>
        </w:rPr>
      </w:pPr>
      <w:bookmarkStart w:id="26" w:name="_Hlk127537985"/>
      <w:r>
        <w:rPr>
          <w:rFonts w:ascii="Times New Roman" w:eastAsia="仿宋" w:cs="Times New Roman" w:hAnsi="Times New Roman"/>
          <w:b/>
          <w:sz w:val="32"/>
          <w:szCs w:val="32"/>
        </w:rPr>
        <w:t>抓紧落实地绿色勘查理念，做好资源储量储备工作。</w:t>
      </w:r>
      <w:r>
        <w:rPr>
          <w:rFonts w:ascii="Times New Roman" w:eastAsia="仿宋" w:cs="Times New Roman" w:hAnsi="Times New Roman"/>
          <w:sz w:val="32"/>
          <w:szCs w:val="32"/>
        </w:rPr>
        <w:t>积极推进理县境内地热、岩金等矿产需要进一步加大地质勘查力度，提高资源的可供性和保障能力。</w:t>
      </w:r>
    </w:p>
    <w:p>
      <w:pPr>
        <w:pageBreakBefore w:val="0"/>
        <w:widowControl w:val="0"/>
        <w:kinsoku/>
        <w:wordWrap/>
        <w:overflowPunct/>
        <w:topLinePunct w:val="0"/>
        <w:bidi w:val="0"/>
        <w:spacing w:line="576" w:lineRule="exact"/>
        <w:ind w:left="0" w:right="0" w:firstLine="560"/>
        <w:rPr>
          <w:rFonts w:ascii="Times New Roman" w:eastAsia="仿宋" w:cs="Times New Roman" w:hAnsi="Times New Roman"/>
          <w:sz w:val="32"/>
          <w:szCs w:val="32"/>
        </w:rPr>
      </w:pPr>
      <w:bookmarkStart w:id="27" w:name="_Hlk127538037"/>
      <w:bookmarkEnd w:id="26"/>
      <w:r>
        <w:rPr>
          <w:rFonts w:ascii="Times New Roman" w:eastAsia="仿宋" w:cs="Times New Roman" w:hAnsi="Times New Roman"/>
          <w:b/>
          <w:sz w:val="32"/>
          <w:szCs w:val="32"/>
        </w:rPr>
        <w:t>坚持资源开发利用与环境保护协调发展原则。</w:t>
      </w:r>
      <w:r>
        <w:rPr>
          <w:rFonts w:ascii="Times New Roman" w:eastAsia="仿宋" w:cs="Times New Roman" w:hAnsi="Times New Roman"/>
          <w:sz w:val="32"/>
          <w:szCs w:val="32"/>
        </w:rPr>
        <w:t>根据理县自然保护区和风景名胜区面积较大的特点（全县317国道以南基本为米亚罗自然保护区所覆盖，北部还有第一海子沟、孟屯河谷、桃坪羌寨等大面积的重点风景名胜区，可供矿产开发的地段相对较小），“大生态、小矿业”为我县矿业发展的基本态势，坚持矿业开发与生态环境保护并重，合理统筹开发、开采布局。将“生态优先、绿色发展”作为矿业发展的基本思路，妥善处理现有矿山环境问题，坚持树立矿业绿色发展理念，按照生态文明建设的总体要求，统筹资源开发的经济效益和环境效益，着力推进绿色发展、循环发展、低碳发展。坚持“预防为主、防治结合”，“谁开发、谁保护，谁污染、谁治理，谁破坏、谁恢复”，“谁破坏、谁治理”的原则，推进实施矿山地质环境治理恢复与土地复垦，构建一个资源节约、环境友好、人与自然协调和谐发展的社会。</w:t>
      </w:r>
    </w:p>
    <w:p>
      <w:pPr>
        <w:pageBreakBefore w:val="0"/>
        <w:widowControl w:val="0"/>
        <w:kinsoku/>
        <w:wordWrap/>
        <w:overflowPunct/>
        <w:topLinePunct w:val="0"/>
        <w:bidi w:val="0"/>
        <w:spacing w:line="576" w:lineRule="exact"/>
        <w:ind w:left="0" w:right="0" w:firstLine="560"/>
        <w:rPr>
          <w:rFonts w:ascii="Times New Roman" w:eastAsia="仿宋" w:cs="Times New Roman" w:hAnsi="Times New Roman"/>
          <w:sz w:val="32"/>
          <w:szCs w:val="32"/>
        </w:rPr>
      </w:pPr>
      <w:bookmarkStart w:id="28" w:name="_Hlk127538063"/>
      <w:bookmarkEnd w:id="27"/>
      <w:r>
        <w:rPr>
          <w:rFonts w:ascii="Times New Roman" w:eastAsia="仿宋" w:cs="Times New Roman" w:hAnsi="Times New Roman"/>
          <w:b/>
          <w:sz w:val="32"/>
          <w:szCs w:val="32"/>
        </w:rPr>
        <w:t>坚持市场调节与宏观调控相结合机制。</w:t>
      </w:r>
      <w:bookmarkEnd w:id="28"/>
      <w:r>
        <w:rPr>
          <w:rFonts w:ascii="Times New Roman" w:eastAsia="仿宋" w:cs="Times New Roman" w:hAnsi="Times New Roman"/>
          <w:sz w:val="32"/>
          <w:szCs w:val="32"/>
        </w:rPr>
        <w:t>以市场调节为导向，以宏观调控为杠杆，建立有效的矿产资源勘查和开发利用宏观调控体系，创造平等竞争和公开、有序、健全、统一的市场环境，充分发挥市场配置资源作用和宏观调控约束作用。按照统筹规划、调控总量、合理布局、优化结构的要求，把宏观调控与市场配置有机结合起来。</w:t>
      </w:r>
    </w:p>
    <w:p>
      <w:pPr>
        <w:pageBreakBefore w:val="0"/>
        <w:widowControl w:val="0"/>
        <w:kinsoku/>
        <w:wordWrap/>
        <w:overflowPunct/>
        <w:topLinePunct w:val="0"/>
        <w:bidi w:val="0"/>
        <w:spacing w:line="576" w:lineRule="exact"/>
        <w:ind w:left="0" w:right="0" w:firstLineChars="200" w:firstLine="640"/>
        <w:rPr>
          <w:rFonts w:ascii="Times New Roman" w:eastAsia="仿宋" w:cs="Times New Roman" w:hAnsi="Times New Roman"/>
          <w:b/>
          <w:snapToGrid w:val="0"/>
          <w:sz w:val="32"/>
          <w:szCs w:val="32"/>
        </w:rPr>
      </w:pPr>
      <w:bookmarkStart w:id="29" w:name="_Hlk127538081"/>
      <w:r>
        <w:rPr>
          <w:rFonts w:ascii="Times New Roman" w:eastAsia="仿宋" w:cs="Times New Roman" w:hAnsi="Times New Roman"/>
          <w:b/>
          <w:sz w:val="32"/>
          <w:szCs w:val="32"/>
        </w:rPr>
        <w:t>坚持从实际出发，合理配置矿业权。</w:t>
      </w:r>
      <w:r>
        <w:rPr>
          <w:rFonts w:ascii="Times New Roman" w:eastAsia="仿宋" w:cs="Times New Roman" w:hAnsi="Times New Roman"/>
          <w:sz w:val="32"/>
          <w:szCs w:val="32"/>
        </w:rPr>
        <w:t>地热作为我县优势矿产资源，也是“全域旅游产品体系”中重要一环。积极推进地热资源勘查，做好矿产资源优化配置，合理配置矿业权，做好矿业发展与区域经济、市场需求协调发展。</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30" w:name="_Toc127347659"/>
      <w:bookmarkStart w:id="31" w:name="_Toc51579887"/>
      <w:bookmarkEnd w:id="29"/>
      <w:r>
        <w:rPr>
          <w:rFonts w:ascii="Times New Roman" w:eastAsia="仿宋" w:cs="Times New Roman" w:hAnsi="Times New Roman"/>
          <w:snapToGrid w:val="0"/>
        </w:rPr>
        <w:t>第三节 规划目标</w:t>
      </w:r>
      <w:bookmarkEnd w:id="30"/>
      <w:bookmarkEnd w:id="31"/>
    </w:p>
    <w:p>
      <w:pPr>
        <w:pageBreakBefore w:val="0"/>
        <w:widowControl w:val="0"/>
        <w:kinsoku/>
        <w:wordWrap/>
        <w:overflowPunct/>
        <w:topLinePunct w:val="0"/>
        <w:bidi w:val="0"/>
        <w:spacing w:line="576" w:lineRule="exact"/>
        <w:ind w:left="0" w:right="0" w:firstLine="600"/>
        <w:rPr>
          <w:rFonts w:ascii="Times New Roman" w:eastAsia="仿宋" w:cs="Times New Roman" w:hAnsi="Times New Roman"/>
          <w:b/>
          <w:sz w:val="32"/>
          <w:szCs w:val="32"/>
        </w:rPr>
      </w:pPr>
      <w:r>
        <w:rPr>
          <w:rFonts w:ascii="Times New Roman" w:eastAsia="仿宋" w:cs="Times New Roman" w:hAnsi="Times New Roman"/>
          <w:b/>
          <w:sz w:val="32"/>
          <w:szCs w:val="32"/>
        </w:rPr>
        <w:t>一、2025年目标</w:t>
      </w:r>
    </w:p>
    <w:p>
      <w:pPr>
        <w:pageBreakBefore w:val="0"/>
        <w:widowControl w:val="0"/>
        <w:kinsoku/>
        <w:wordWrap/>
        <w:overflowPunct/>
        <w:topLinePunct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sz w:val="32"/>
          <w:szCs w:val="32"/>
          <w:lang w:val="zh-CN"/>
        </w:rPr>
        <w:t>到</w:t>
      </w:r>
      <w:r>
        <w:rPr>
          <w:rFonts w:ascii="Times New Roman" w:eastAsia="仿宋" w:cs="Times New Roman" w:hAnsi="Times New Roman"/>
          <w:sz w:val="32"/>
          <w:szCs w:val="32"/>
        </w:rPr>
        <w:t>2025</w:t>
      </w:r>
      <w:r>
        <w:rPr>
          <w:rFonts w:ascii="Times New Roman" w:eastAsia="仿宋" w:cs="Times New Roman" w:hAnsi="Times New Roman"/>
          <w:sz w:val="32"/>
          <w:szCs w:val="32"/>
          <w:lang w:val="zh-CN"/>
        </w:rPr>
        <w:t>年底，我县地热资源开发利用与旅游配套格局基本形成，县域内矿产勘查开发利用与保护空间布局更为合理。资源节约集约和高效利用水平显著提升，绿色矿业建设全面推进，基本形成矿产资源勘查开发与环境保护协调发展新格局。</w:t>
      </w:r>
    </w:p>
    <w:tbl>
      <w:tblPr>
        <w:jc w:val="left"/>
        <w:tblInd w:w="0" w:type="dxa"/>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top w:w="0" w:type="dxa"/>
          <w:left w:w="108" w:type="dxa"/>
          <w:bottom w:w="0" w:type="dxa"/>
          <w:right w:w="108" w:type="dxa"/>
        </w:tblCellMar>
      </w:tblPr>
      <w:tblGrid>
        <w:gridCol w:w="946"/>
        <w:gridCol w:w="978"/>
        <w:gridCol w:w="1398"/>
        <w:gridCol w:w="1677"/>
        <w:gridCol w:w="1062"/>
        <w:gridCol w:w="1173"/>
        <w:gridCol w:w="1168"/>
      </w:tblGrid>
      <w:tr>
        <w:trPr>
          <w:trHeight w:val="579"/>
        </w:trPr>
        <w:tc>
          <w:tcPr>
            <w:tcW w:w="5000" w:type="pct"/>
            <w:gridSpan w:val="7"/>
            <w:tcBorders>
              <w:top w:val="single" w:sz="8"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b/>
                <w:bCs/>
                <w:kern w:val="0"/>
                <w:sz w:val="30"/>
                <w:szCs w:val="30"/>
              </w:rPr>
            </w:pPr>
            <w:r>
              <w:rPr>
                <w:rFonts w:ascii="Times New Roman" w:eastAsia="仿宋" w:cs="Times New Roman" w:hAnsi="Times New Roman"/>
                <w:b/>
                <w:bCs/>
                <w:kern w:val="0"/>
                <w:sz w:val="30"/>
                <w:szCs w:val="30"/>
              </w:rPr>
              <w:t>专栏3  理县矿产资源规划主要目标</w:t>
            </w:r>
          </w:p>
        </w:tc>
      </w:tr>
      <w:tr>
        <w:trPr>
          <w:trHeight w:val="473"/>
        </w:trPr>
        <w:tc>
          <w:tcPr>
            <w:tcW w:w="563"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类别</w:t>
            </w:r>
          </w:p>
        </w:tc>
        <w:tc>
          <w:tcPr>
            <w:tcW w:w="1414" w:type="pct"/>
            <w:gridSpan w:val="2"/>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指标名称</w:t>
            </w:r>
          </w:p>
        </w:tc>
        <w:tc>
          <w:tcPr>
            <w:tcW w:w="998"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指标单位</w:t>
            </w:r>
          </w:p>
        </w:tc>
        <w:tc>
          <w:tcPr>
            <w:tcW w:w="6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2020年</w:t>
            </w:r>
          </w:p>
        </w:tc>
        <w:tc>
          <w:tcPr>
            <w:tcW w:w="698" w:type="pct"/>
            <w:tcBorders>
              <w:top w:val="single" w:sz="6" w:space="0" w:color="auto"/>
              <w:left w:val="single" w:sz="8" w:space="0" w:color="auto"/>
              <w:bottom w:val="single" w:sz="8" w:space="0" w:color="auto"/>
              <w:right w:val="single" w:sz="8" w:space="0" w:color="auto"/>
            </w:tcBorders>
            <w:noWrap/>
            <w:vAlign w:val="center"/>
          </w:tcPr>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2025年</w:t>
            </w:r>
          </w:p>
        </w:tc>
        <w:tc>
          <w:tcPr>
            <w:tcW w:w="695"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指标属性</w:t>
            </w:r>
          </w:p>
        </w:tc>
      </w:tr>
      <w:tr>
        <w:trPr>
          <w:trHeight w:val="324"/>
        </w:trPr>
        <w:tc>
          <w:tcPr>
            <w:tcW w:w="563" w:type="pct"/>
            <w:vMerge w:val="restar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矿产资源开发利用与保护</w:t>
            </w:r>
          </w:p>
        </w:tc>
        <w:tc>
          <w:tcPr>
            <w:tcW w:w="582" w:type="pct"/>
            <w:vMerge w:val="restar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年开采总量</w:t>
            </w:r>
          </w:p>
        </w:tc>
        <w:tc>
          <w:tcPr>
            <w:tcW w:w="8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岩金</w:t>
            </w:r>
          </w:p>
        </w:tc>
        <w:tc>
          <w:tcPr>
            <w:tcW w:w="998"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 xml:space="preserve">矿石 万吨 </w:t>
            </w:r>
          </w:p>
        </w:tc>
        <w:tc>
          <w:tcPr>
            <w:tcW w:w="6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c>
          <w:tcPr>
            <w:tcW w:w="698" w:type="pct"/>
            <w:tcBorders>
              <w:top w:val="single" w:sz="6" w:space="0" w:color="auto"/>
              <w:left w:val="single" w:sz="8" w:space="0" w:color="auto"/>
              <w:bottom w:val="single" w:sz="8" w:space="0" w:color="auto"/>
              <w:right w:val="single" w:sz="8" w:space="0" w:color="auto"/>
            </w:tcBorders>
            <w:noWrap/>
            <w:vAlign w:val="center"/>
          </w:tcPr>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3</w:t>
            </w:r>
          </w:p>
        </w:tc>
        <w:tc>
          <w:tcPr>
            <w:tcW w:w="695" w:type="pct"/>
            <w:vMerge w:val="restar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预期性</w:t>
            </w:r>
          </w:p>
        </w:tc>
      </w:tr>
      <w:tr>
        <w:trPr>
          <w:trHeight w:val="349"/>
        </w:trPr>
        <w:tc>
          <w:tcPr>
            <w:tcW w:w="563" w:type="pct"/>
            <w:vMerge/>
            <w:tcBorders>
              <w:top w:val="single" w:sz="6" w:space="0" w:color="auto"/>
              <w:left w:val="single" w:sz="8" w:space="0" w:color="auto"/>
              <w:bottom w:val="single" w:sz="8" w:space="0" w:color="auto"/>
              <w:right w:val="single" w:sz="8" w:space="0" w:color="auto"/>
            </w:tcBorders>
            <w:noWrap/>
            <w:vAlign w:val="center"/>
          </w:tcPr>
          <w:p/>
        </w:tc>
        <w:tc>
          <w:tcPr>
            <w:tcW w:w="582" w:type="pct"/>
            <w:vMerge/>
            <w:tcBorders>
              <w:top w:val="single" w:sz="6" w:space="0" w:color="auto"/>
              <w:left w:val="single" w:sz="8" w:space="0" w:color="auto"/>
              <w:bottom w:val="single" w:sz="8" w:space="0" w:color="auto"/>
              <w:right w:val="single" w:sz="8" w:space="0" w:color="auto"/>
            </w:tcBorders>
            <w:noWrap/>
            <w:vAlign w:val="center"/>
          </w:tcPr>
          <w:p/>
        </w:tc>
        <w:tc>
          <w:tcPr>
            <w:tcW w:w="8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地热</w:t>
            </w:r>
          </w:p>
        </w:tc>
        <w:tc>
          <w:tcPr>
            <w:tcW w:w="998"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万立方米/年</w:t>
            </w:r>
          </w:p>
        </w:tc>
        <w:tc>
          <w:tcPr>
            <w:tcW w:w="6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c>
          <w:tcPr>
            <w:tcW w:w="698" w:type="pct"/>
            <w:tcBorders>
              <w:top w:val="single" w:sz="6" w:space="0" w:color="auto"/>
              <w:left w:val="single" w:sz="8" w:space="0" w:color="auto"/>
              <w:bottom w:val="single" w:sz="8" w:space="0" w:color="auto"/>
              <w:right w:val="single" w:sz="8" w:space="0" w:color="auto"/>
            </w:tcBorders>
            <w:noWrap/>
            <w:vAlign w:val="center"/>
          </w:tcPr>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16</w:t>
            </w:r>
          </w:p>
        </w:tc>
        <w:tc>
          <w:tcPr>
            <w:tcW w:w="695" w:type="pct"/>
            <w:vMerge/>
            <w:tcBorders>
              <w:top w:val="single" w:sz="6" w:space="0" w:color="auto"/>
              <w:left w:val="single" w:sz="8" w:space="0" w:color="auto"/>
              <w:bottom w:val="single" w:sz="8" w:space="0" w:color="auto"/>
              <w:right w:val="single" w:sz="8" w:space="0" w:color="auto"/>
            </w:tcBorders>
            <w:noWrap/>
            <w:vAlign w:val="center"/>
          </w:tcPr>
          <w:p/>
        </w:tc>
      </w:tr>
      <w:tr>
        <w:trPr>
          <w:trHeight w:val="324"/>
        </w:trPr>
        <w:tc>
          <w:tcPr>
            <w:tcW w:w="563" w:type="pct"/>
            <w:vMerge/>
            <w:tcBorders>
              <w:top w:val="single" w:sz="6" w:space="0" w:color="auto"/>
              <w:left w:val="single" w:sz="8" w:space="0" w:color="auto"/>
              <w:bottom w:val="single" w:sz="8" w:space="0" w:color="auto"/>
              <w:right w:val="single" w:sz="8" w:space="0" w:color="auto"/>
            </w:tcBorders>
            <w:noWrap/>
            <w:vAlign w:val="center"/>
          </w:tcPr>
          <w:p/>
        </w:tc>
        <w:tc>
          <w:tcPr>
            <w:tcW w:w="582" w:type="pct"/>
            <w:vMerge w:val="restar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矿山数量</w:t>
            </w:r>
          </w:p>
        </w:tc>
        <w:tc>
          <w:tcPr>
            <w:tcW w:w="8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矿山总数</w:t>
            </w:r>
          </w:p>
        </w:tc>
        <w:tc>
          <w:tcPr>
            <w:tcW w:w="998"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个</w:t>
            </w:r>
          </w:p>
        </w:tc>
        <w:tc>
          <w:tcPr>
            <w:tcW w:w="6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2</w:t>
            </w:r>
          </w:p>
        </w:tc>
        <w:tc>
          <w:tcPr>
            <w:tcW w:w="698" w:type="pct"/>
            <w:tcBorders>
              <w:top w:val="single" w:sz="6" w:space="0" w:color="auto"/>
              <w:left w:val="single" w:sz="8" w:space="0" w:color="auto"/>
              <w:bottom w:val="single" w:sz="8" w:space="0" w:color="auto"/>
              <w:right w:val="single" w:sz="8" w:space="0" w:color="auto"/>
            </w:tcBorders>
            <w:noWrap/>
            <w:vAlign w:val="center"/>
          </w:tcPr>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2</w:t>
            </w:r>
          </w:p>
        </w:tc>
        <w:tc>
          <w:tcPr>
            <w:tcW w:w="695" w:type="pct"/>
            <w:vMerge w:val="restar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约束性</w:t>
            </w:r>
          </w:p>
        </w:tc>
      </w:tr>
      <w:tr>
        <w:trPr>
          <w:trHeight w:val="324"/>
        </w:trPr>
        <w:tc>
          <w:tcPr>
            <w:tcW w:w="563" w:type="pct"/>
            <w:vMerge/>
            <w:tcBorders>
              <w:top w:val="single" w:sz="6" w:space="0" w:color="auto"/>
              <w:left w:val="single" w:sz="8" w:space="0" w:color="auto"/>
              <w:bottom w:val="single" w:sz="8" w:space="0" w:color="auto"/>
              <w:right w:val="single" w:sz="8" w:space="0" w:color="auto"/>
            </w:tcBorders>
            <w:noWrap/>
            <w:vAlign w:val="center"/>
          </w:tcPr>
          <w:p/>
        </w:tc>
        <w:tc>
          <w:tcPr>
            <w:tcW w:w="582" w:type="pct"/>
            <w:vMerge/>
            <w:tcBorders>
              <w:top w:val="single" w:sz="6" w:space="0" w:color="auto"/>
              <w:left w:val="single" w:sz="8" w:space="0" w:color="auto"/>
              <w:bottom w:val="single" w:sz="8" w:space="0" w:color="auto"/>
              <w:right w:val="single" w:sz="8" w:space="0" w:color="auto"/>
            </w:tcBorders>
            <w:noWrap/>
            <w:vAlign w:val="center"/>
          </w:tcPr>
          <w:p/>
        </w:tc>
        <w:tc>
          <w:tcPr>
            <w:tcW w:w="8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地热</w:t>
            </w:r>
          </w:p>
        </w:tc>
        <w:tc>
          <w:tcPr>
            <w:tcW w:w="998"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个</w:t>
            </w:r>
          </w:p>
        </w:tc>
        <w:tc>
          <w:tcPr>
            <w:tcW w:w="6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698" w:type="pct"/>
            <w:tcBorders>
              <w:top w:val="single" w:sz="6" w:space="0" w:color="auto"/>
              <w:left w:val="single" w:sz="8" w:space="0" w:color="auto"/>
              <w:bottom w:val="single" w:sz="8" w:space="0" w:color="auto"/>
              <w:right w:val="single" w:sz="8" w:space="0" w:color="auto"/>
            </w:tcBorders>
            <w:noWrap/>
            <w:vAlign w:val="center"/>
          </w:tcPr>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695" w:type="pct"/>
            <w:vMerge/>
            <w:tcBorders>
              <w:top w:val="single" w:sz="6" w:space="0" w:color="auto"/>
              <w:left w:val="single" w:sz="8" w:space="0" w:color="auto"/>
              <w:bottom w:val="single" w:sz="8" w:space="0" w:color="auto"/>
              <w:right w:val="single" w:sz="8" w:space="0" w:color="auto"/>
            </w:tcBorders>
            <w:noWrap/>
            <w:vAlign w:val="center"/>
          </w:tcPr>
          <w:p/>
        </w:tc>
      </w:tr>
      <w:tr>
        <w:trPr>
          <w:trHeight w:val="348"/>
        </w:trPr>
        <w:tc>
          <w:tcPr>
            <w:tcW w:w="563" w:type="pct"/>
            <w:vMerge/>
            <w:tcBorders>
              <w:top w:val="single" w:sz="6" w:space="0" w:color="auto"/>
              <w:left w:val="single" w:sz="8" w:space="0" w:color="auto"/>
              <w:bottom w:val="single" w:sz="8" w:space="0" w:color="auto"/>
              <w:right w:val="single" w:sz="8" w:space="0" w:color="auto"/>
            </w:tcBorders>
            <w:noWrap/>
            <w:vAlign w:val="center"/>
          </w:tcPr>
          <w:p/>
        </w:tc>
        <w:tc>
          <w:tcPr>
            <w:tcW w:w="582" w:type="pct"/>
            <w:vMerge/>
            <w:tcBorders>
              <w:top w:val="single" w:sz="6" w:space="0" w:color="auto"/>
              <w:left w:val="single" w:sz="8" w:space="0" w:color="auto"/>
              <w:bottom w:val="single" w:sz="8" w:space="0" w:color="auto"/>
              <w:right w:val="single" w:sz="8" w:space="0" w:color="auto"/>
            </w:tcBorders>
            <w:noWrap/>
            <w:vAlign w:val="center"/>
          </w:tcPr>
          <w:p/>
        </w:tc>
        <w:tc>
          <w:tcPr>
            <w:tcW w:w="8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岩金</w:t>
            </w:r>
          </w:p>
        </w:tc>
        <w:tc>
          <w:tcPr>
            <w:tcW w:w="998"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个</w:t>
            </w:r>
          </w:p>
        </w:tc>
        <w:tc>
          <w:tcPr>
            <w:tcW w:w="6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698" w:type="pct"/>
            <w:tcBorders>
              <w:top w:val="single" w:sz="6" w:space="0" w:color="auto"/>
              <w:left w:val="single" w:sz="8" w:space="0" w:color="auto"/>
              <w:bottom w:val="single" w:sz="8" w:space="0" w:color="auto"/>
              <w:right w:val="single" w:sz="8" w:space="0" w:color="auto"/>
            </w:tcBorders>
            <w:noWrap/>
            <w:vAlign w:val="center"/>
          </w:tcPr>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695" w:type="pct"/>
            <w:vMerge/>
            <w:tcBorders>
              <w:top w:val="single" w:sz="6" w:space="0" w:color="auto"/>
              <w:left w:val="single" w:sz="8" w:space="0" w:color="auto"/>
              <w:bottom w:val="single" w:sz="8" w:space="0" w:color="auto"/>
              <w:right w:val="single" w:sz="8" w:space="0" w:color="auto"/>
            </w:tcBorders>
            <w:noWrap/>
            <w:vAlign w:val="center"/>
          </w:tcPr>
          <w:p/>
        </w:tc>
      </w:tr>
      <w:tr>
        <w:trPr>
          <w:trHeight w:val="619"/>
        </w:trPr>
        <w:tc>
          <w:tcPr>
            <w:tcW w:w="563"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矿业绿色发展</w:t>
            </w:r>
          </w:p>
        </w:tc>
        <w:tc>
          <w:tcPr>
            <w:tcW w:w="1414" w:type="pct"/>
            <w:gridSpan w:val="2"/>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大中型矿山比例</w:t>
            </w:r>
          </w:p>
        </w:tc>
        <w:tc>
          <w:tcPr>
            <w:tcW w:w="998"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w:t>
            </w:r>
          </w:p>
        </w:tc>
        <w:tc>
          <w:tcPr>
            <w:tcW w:w="632"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1</w:t>
            </w:r>
          </w:p>
        </w:tc>
        <w:tc>
          <w:tcPr>
            <w:tcW w:w="698" w:type="pct"/>
            <w:tcBorders>
              <w:top w:val="single" w:sz="6" w:space="0" w:color="auto"/>
              <w:left w:val="single" w:sz="8" w:space="0" w:color="auto"/>
              <w:bottom w:val="single" w:sz="8" w:space="0" w:color="auto"/>
              <w:right w:val="single" w:sz="8" w:space="0" w:color="auto"/>
            </w:tcBorders>
            <w:noWrap/>
            <w:vAlign w:val="center"/>
          </w:tcPr>
          <w:p>
            <w:pPr>
              <w:pageBreakBefore w:val="0"/>
              <w:widowControl w:val="0"/>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50%</w:t>
            </w:r>
          </w:p>
        </w:tc>
        <w:tc>
          <w:tcPr>
            <w:tcW w:w="695" w:type="pct"/>
            <w:tcBorders>
              <w:top w:val="single" w:sz="6"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sz w:val="24"/>
                <w:szCs w:val="24"/>
              </w:rPr>
            </w:pPr>
            <w:r>
              <w:rPr>
                <w:rFonts w:ascii="Times New Roman" w:eastAsia="仿宋" w:cs="Times New Roman" w:hAnsi="Times New Roman"/>
                <w:sz w:val="24"/>
                <w:szCs w:val="24"/>
              </w:rPr>
              <w:t>预期性</w:t>
            </w:r>
          </w:p>
        </w:tc>
      </w:tr>
    </w:tbl>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地热资源实现找矿新突破。</w:t>
      </w:r>
      <w:r>
        <w:rPr>
          <w:rFonts w:ascii="Times New Roman" w:eastAsia="仿宋" w:cs="Times New Roman" w:hAnsi="Times New Roman"/>
          <w:snapToGrid w:val="0"/>
          <w:kern w:val="0"/>
          <w:sz w:val="32"/>
          <w:szCs w:val="32"/>
        </w:rPr>
        <w:t>积极开展</w:t>
      </w:r>
      <w:r>
        <w:rPr>
          <w:rFonts w:ascii="Times New Roman" w:eastAsia="仿宋" w:cs="Times New Roman" w:hAnsi="Times New Roman"/>
          <w:sz w:val="32"/>
          <w:szCs w:val="32"/>
          <w:lang w:val="zh-CN"/>
        </w:rPr>
        <w:t>地热勘查工作，全面落实绿色勘查要求。到2025年落实地热勘查区块1个</w:t>
      </w:r>
      <w:r>
        <w:rPr>
          <w:rFonts w:ascii="Times New Roman" w:eastAsia="仿宋" w:cs="Times New Roman" w:hAnsi="Times New Roman"/>
          <w:snapToGrid w:val="0"/>
          <w:kern w:val="0"/>
          <w:sz w:val="32"/>
          <w:szCs w:val="32"/>
        </w:rPr>
        <w:t>，助推全域旅游经济发展事业，</w:t>
      </w:r>
      <w:r>
        <w:rPr>
          <w:rFonts w:ascii="Times New Roman" w:eastAsia="仿宋" w:cs="Times New Roman" w:hAnsi="Times New Roman"/>
          <w:sz w:val="32"/>
          <w:szCs w:val="32"/>
          <w:lang w:val="zh-CN"/>
        </w:rPr>
        <w:t>为全县经济可持续发展提供资源保障。</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矿产资源开发利用与保护水平明显提高。</w:t>
      </w:r>
      <w:r>
        <w:rPr>
          <w:rFonts w:ascii="Times New Roman" w:eastAsia="仿宋" w:cs="Times New Roman" w:hAnsi="Times New Roman"/>
          <w:sz w:val="32"/>
          <w:szCs w:val="32"/>
          <w:lang w:val="zh-CN"/>
        </w:rPr>
        <w:t>有效调控优势矿产资源开采总量，稳定重要矿产资源开采量。到</w:t>
      </w:r>
      <w:r>
        <w:rPr>
          <w:rFonts w:ascii="Times New Roman" w:eastAsia="仿宋" w:cs="Times New Roman" w:hAnsi="Times New Roman"/>
          <w:sz w:val="32"/>
          <w:szCs w:val="32"/>
        </w:rPr>
        <w:t>2025</w:t>
      </w:r>
      <w:r>
        <w:rPr>
          <w:rFonts w:ascii="Times New Roman" w:eastAsia="仿宋" w:cs="Times New Roman" w:hAnsi="Times New Roman"/>
          <w:sz w:val="32"/>
          <w:szCs w:val="32"/>
          <w:lang w:val="zh-CN"/>
        </w:rPr>
        <w:t>年，全县采矿权数量稳定在</w:t>
      </w:r>
      <w:r>
        <w:rPr>
          <w:rFonts w:ascii="Times New Roman" w:eastAsia="仿宋" w:cs="Times New Roman" w:hAnsi="Times New Roman"/>
          <w:sz w:val="32"/>
          <w:szCs w:val="32"/>
        </w:rPr>
        <w:t>2</w:t>
      </w:r>
      <w:r>
        <w:rPr>
          <w:rFonts w:ascii="Times New Roman" w:eastAsia="仿宋" w:cs="Times New Roman" w:hAnsi="Times New Roman"/>
          <w:sz w:val="32"/>
          <w:szCs w:val="32"/>
          <w:lang w:val="zh-CN"/>
        </w:rPr>
        <w:t>个。通过危关金矿深部及周边资源延伸勘探工作，获得新增金矿资源量，提升危关金矿的年开采量至3万吨，地热年开采量达</w:t>
      </w:r>
      <w:r>
        <w:rPr>
          <w:rFonts w:ascii="Times New Roman" w:eastAsia="仿宋" w:cs="Times New Roman" w:hAnsi="Times New Roman"/>
          <w:sz w:val="32"/>
          <w:szCs w:val="32"/>
        </w:rPr>
        <w:t>16</w:t>
      </w:r>
      <w:r>
        <w:rPr>
          <w:rFonts w:ascii="Times New Roman" w:eastAsia="仿宋" w:cs="Times New Roman" w:hAnsi="Times New Roman"/>
          <w:sz w:val="32"/>
          <w:szCs w:val="32"/>
          <w:lang w:val="zh-CN"/>
        </w:rPr>
        <w:t>万立方米。</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绿色矿山建设取得明显进展。</w:t>
      </w:r>
      <w:r>
        <w:rPr>
          <w:rFonts w:ascii="Times New Roman" w:eastAsia="仿宋" w:cs="Times New Roman" w:hAnsi="Times New Roman"/>
          <w:sz w:val="32"/>
          <w:szCs w:val="32"/>
          <w:lang w:val="zh-CN"/>
        </w:rPr>
        <w:t>按照绿色矿山建设条件，严格要求矿山企业，到</w:t>
      </w:r>
      <w:r>
        <w:rPr>
          <w:rFonts w:ascii="Times New Roman" w:eastAsia="仿宋" w:cs="Times New Roman" w:hAnsi="Times New Roman"/>
          <w:sz w:val="32"/>
          <w:szCs w:val="32"/>
        </w:rPr>
        <w:t>2025</w:t>
      </w:r>
      <w:r>
        <w:rPr>
          <w:rFonts w:ascii="Times New Roman" w:eastAsia="仿宋" w:cs="Times New Roman" w:hAnsi="Times New Roman"/>
          <w:sz w:val="32"/>
          <w:szCs w:val="32"/>
          <w:lang w:val="zh-CN"/>
        </w:rPr>
        <w:t>年，新建矿山全部达到绿色矿山要求，大中型矿山比例达到</w:t>
      </w:r>
      <w:r>
        <w:rPr>
          <w:rFonts w:ascii="Times New Roman" w:eastAsia="仿宋" w:cs="Times New Roman" w:hAnsi="Times New Roman"/>
          <w:sz w:val="32"/>
          <w:szCs w:val="32"/>
        </w:rPr>
        <w:t>50%以上</w:t>
      </w:r>
      <w:r>
        <w:rPr>
          <w:rFonts w:ascii="Times New Roman" w:eastAsia="仿宋" w:cs="Times New Roman" w:hAnsi="Times New Roman"/>
          <w:sz w:val="32"/>
          <w:szCs w:val="32"/>
          <w:lang w:val="zh-CN"/>
        </w:rPr>
        <w:t>。到</w:t>
      </w:r>
      <w:r>
        <w:rPr>
          <w:rFonts w:ascii="Times New Roman" w:eastAsia="仿宋" w:cs="Times New Roman" w:hAnsi="Times New Roman"/>
          <w:sz w:val="32"/>
          <w:szCs w:val="32"/>
        </w:rPr>
        <w:t>2035</w:t>
      </w:r>
      <w:r>
        <w:rPr>
          <w:rFonts w:ascii="Times New Roman" w:eastAsia="仿宋" w:cs="Times New Roman" w:hAnsi="Times New Roman"/>
          <w:sz w:val="32"/>
          <w:szCs w:val="32"/>
          <w:lang w:val="zh-CN"/>
        </w:rPr>
        <w:t>年县域内矿山全部达到绿色矿山建设要求。</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矿山生产要素结构不断优化。</w:t>
      </w:r>
      <w:r>
        <w:rPr>
          <w:rFonts w:ascii="Times New Roman" w:eastAsia="仿宋" w:cs="Times New Roman" w:hAnsi="Times New Roman"/>
          <w:sz w:val="32"/>
          <w:szCs w:val="32"/>
          <w:lang w:val="zh-CN"/>
        </w:rPr>
        <w:t>引导、支持矿山企业进行矿山开采升级，提升选矿工艺，大力开展</w:t>
      </w:r>
      <w:r>
        <w:rPr>
          <w:rFonts w:ascii="Times New Roman" w:eastAsia="仿宋" w:cs="Times New Roman" w:hAnsi="Times New Roman"/>
          <w:sz w:val="32"/>
          <w:szCs w:val="32"/>
        </w:rPr>
        <w:t>“</w:t>
      </w:r>
      <w:r>
        <w:rPr>
          <w:rFonts w:ascii="Times New Roman" w:eastAsia="仿宋" w:cs="Times New Roman" w:hAnsi="Times New Roman"/>
          <w:sz w:val="32"/>
          <w:szCs w:val="32"/>
          <w:lang w:val="zh-CN"/>
        </w:rPr>
        <w:t>数字矿山</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建设，包括智能化、数字化、机械化采矿技术。提高劳动者素质及其安全生产能力，提高资源综合利用水平，提高</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三废</w:t>
      </w:r>
      <w:r>
        <w:rPr>
          <w:rFonts w:ascii="Times New Roman" w:eastAsia="仿宋" w:cs="Times New Roman" w:hAnsi="Times New Roman"/>
          <w:sz w:val="32"/>
          <w:szCs w:val="32"/>
        </w:rPr>
        <w:t>”</w:t>
      </w:r>
      <w:r>
        <w:rPr>
          <w:rFonts w:ascii="Times New Roman" w:eastAsia="仿宋" w:cs="Times New Roman" w:hAnsi="Times New Roman"/>
          <w:sz w:val="32"/>
          <w:szCs w:val="32"/>
          <w:lang w:val="zh-CN"/>
        </w:rPr>
        <w:t>治理与综合利用技术，提高资源综合利用水平，改善矿山生态环境。</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全面提升矿政管理和信息化管理服务水平</w:t>
      </w:r>
      <w:r>
        <w:rPr>
          <w:rFonts w:ascii="Times New Roman" w:eastAsia="仿宋" w:cs="Times New Roman" w:hAnsi="Times New Roman"/>
          <w:sz w:val="32"/>
          <w:szCs w:val="32"/>
          <w:lang w:val="zh-CN"/>
        </w:rPr>
        <w:t>。全面推进矿产资源管理体制机制改革，提高矿产资源信息化程度，持续做好矿山储量动态监管与矿产资源储量管理工作，摸清资源“家底”台账。基本完成矿业权市场信息化建设，</w:t>
      </w:r>
      <w:r>
        <w:rPr>
          <w:rFonts w:ascii="Times New Roman" w:eastAsia="仿宋" w:cs="Times New Roman" w:hAnsi="Times New Roman"/>
          <w:sz w:val="32"/>
          <w:szCs w:val="32"/>
        </w:rPr>
        <w:t>推进矿业权管理工作规范化，进一步提升</w:t>
      </w:r>
      <w:r>
        <w:rPr>
          <w:rFonts w:ascii="Times New Roman" w:eastAsia="仿宋" w:cs="Times New Roman" w:hAnsi="Times New Roman"/>
          <w:sz w:val="32"/>
          <w:szCs w:val="32"/>
          <w:lang w:val="zh-CN"/>
        </w:rPr>
        <w:t>矿产资源管理水平。</w:t>
      </w:r>
    </w:p>
    <w:p>
      <w:pPr>
        <w:pageBreakBefore w:val="0"/>
        <w:widowControl w:val="0"/>
        <w:kinsoku/>
        <w:wordWrap/>
        <w:overflowPunct/>
        <w:topLinePunct w:val="0"/>
        <w:bidi w:val="0"/>
        <w:spacing w:line="576" w:lineRule="exact"/>
        <w:ind w:left="0" w:right="0" w:firstLine="600"/>
        <w:rPr>
          <w:rFonts w:ascii="Times New Roman" w:eastAsia="仿宋" w:cs="Times New Roman" w:hAnsi="Times New Roman"/>
          <w:b/>
          <w:sz w:val="32"/>
          <w:szCs w:val="32"/>
        </w:rPr>
      </w:pPr>
      <w:r>
        <w:rPr>
          <w:rFonts w:ascii="Times New Roman" w:eastAsia="仿宋" w:cs="Times New Roman" w:hAnsi="Times New Roman"/>
          <w:b/>
          <w:sz w:val="32"/>
          <w:szCs w:val="32"/>
        </w:rPr>
        <w:t>二、2035年展望</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sectPr>
          <w:pgSz w:w="11906" w:h="16838"/>
          <w:pgMar w:top="1440" w:right="1800" w:bottom="1440" w:left="1800" w:header="851" w:footer="992" w:gutter="0"/>
          <w:pgNumType w:fmt="numberInDash"/>
          <w:docGrid w:type="lines" w:linePitch="312" w:charSpace="0"/>
        </w:sectPr>
      </w:pPr>
      <w:r>
        <w:rPr>
          <w:rFonts w:ascii="Times New Roman" w:eastAsia="仿宋" w:cs="Times New Roman" w:hAnsi="Times New Roman"/>
          <w:sz w:val="32"/>
          <w:szCs w:val="32"/>
          <w:lang w:val="zh-CN"/>
        </w:rPr>
        <w:t>到</w:t>
      </w:r>
      <w:r>
        <w:rPr>
          <w:rFonts w:ascii="Times New Roman" w:eastAsia="仿宋" w:cs="Times New Roman" w:hAnsi="Times New Roman"/>
          <w:sz w:val="32"/>
          <w:szCs w:val="32"/>
        </w:rPr>
        <w:t>2035</w:t>
      </w:r>
      <w:r>
        <w:rPr>
          <w:rFonts w:ascii="Times New Roman" w:eastAsia="仿宋" w:cs="Times New Roman" w:hAnsi="Times New Roman"/>
          <w:sz w:val="32"/>
          <w:szCs w:val="32"/>
          <w:lang w:val="zh-CN"/>
        </w:rPr>
        <w:t>年，做好全县地热资源储量调查工作，为下一步开发利用提供基础，逐步实现矿产资源开发利用保护与生态保护协调发展，丰富地热开发利用产业链，进一步完善矿政管理体制。</w:t>
      </w:r>
    </w:p>
    <w:p>
      <w:pPr>
        <w:pStyle w:val="1"/>
        <w:keepNext/>
        <w:keepLines/>
        <w:pageBreakBefore w:val="0"/>
        <w:widowControl w:val="0"/>
        <w:kinsoku/>
        <w:wordWrap/>
        <w:overflowPunct/>
        <w:topLinePunct w:val="0"/>
        <w:bidi w:val="0"/>
        <w:spacing w:beforeLines="0" w:before="0" w:afterLines="0" w:after="0" w:line="576" w:lineRule="exact"/>
        <w:ind w:left="0" w:right="0"/>
        <w:rPr>
          <w:rFonts w:ascii="Times New Roman" w:eastAsia="仿宋" w:cs="Times New Roman" w:hAnsi="Times New Roman"/>
          <w:sz w:val="36"/>
        </w:rPr>
      </w:pPr>
      <w:bookmarkStart w:id="32" w:name="_Toc127347660"/>
      <w:r>
        <w:rPr>
          <w:rFonts w:ascii="Times New Roman" w:eastAsia="仿宋" w:cs="Times New Roman" w:hAnsi="Times New Roman"/>
          <w:sz w:val="36"/>
        </w:rPr>
        <w:t>第三章 优化矿产勘查与开发布局</w:t>
      </w:r>
      <w:bookmarkEnd w:id="32"/>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33" w:name="_Toc127347661"/>
      <w:r>
        <w:rPr>
          <w:rFonts w:ascii="Times New Roman" w:eastAsia="仿宋" w:cs="Times New Roman" w:hAnsi="Times New Roman"/>
          <w:snapToGrid w:val="0"/>
        </w:rPr>
        <w:t>第一节 优化勘查开发保护格局</w:t>
      </w:r>
      <w:bookmarkEnd w:id="33"/>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sz w:val="32"/>
          <w:szCs w:val="32"/>
          <w:lang w:val="zh-CN"/>
        </w:rPr>
        <w:t>中央第七次西藏工作座谈会和省委涉藏工作会议出台系列政策举措，继续支持涉藏地区发展，为我县加快发展提供了重大政策保障。</w:t>
      </w:r>
    </w:p>
    <w:p>
      <w:pPr>
        <w:pageBreakBefore w:val="0"/>
        <w:widowControl w:val="0"/>
        <w:kinsoku/>
        <w:wordWrap/>
        <w:overflowPunct/>
        <w:topLinePunct w:val="0"/>
        <w:bidi w:val="0"/>
        <w:spacing w:line="576" w:lineRule="exact"/>
        <w:ind w:left="0" w:right="0" w:firstLineChars="200" w:firstLine="64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一、生态保护与矿产资源勘查开发协调发展</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坚定贯彻习近平生态文明思想，持续深化</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一屏四带、全域生态</w:t>
      </w:r>
      <w:r>
        <w:rPr>
          <w:rFonts w:ascii="Times New Roman" w:eastAsia="仿宋" w:cs="Times New Roman" w:hAnsi="Times New Roman"/>
          <w:sz w:val="32"/>
          <w:szCs w:val="32"/>
        </w:rPr>
        <w:t>”</w:t>
      </w:r>
      <w:r>
        <w:rPr>
          <w:rFonts w:ascii="Times New Roman" w:eastAsia="仿宋" w:cs="Times New Roman" w:hAnsi="Times New Roman"/>
          <w:sz w:val="32"/>
          <w:szCs w:val="32"/>
          <w:lang w:val="zh-CN"/>
        </w:rPr>
        <w:t>战略，大力推进</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一增一减</w:t>
      </w:r>
      <w:r>
        <w:rPr>
          <w:rFonts w:ascii="Times New Roman" w:eastAsia="仿宋" w:cs="Times New Roman" w:hAnsi="Times New Roman"/>
          <w:sz w:val="32"/>
          <w:szCs w:val="32"/>
        </w:rPr>
        <w:t>”</w:t>
      </w:r>
      <w:r>
        <w:rPr>
          <w:rFonts w:ascii="Times New Roman" w:eastAsia="仿宋" w:cs="Times New Roman" w:hAnsi="Times New Roman"/>
          <w:sz w:val="32"/>
          <w:szCs w:val="32"/>
          <w:lang w:val="zh-CN"/>
        </w:rPr>
        <w:t>措施，促进生态保护与矿产资源勘查开发协调发展。</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严守重要生态功能区保护底线。</w:t>
      </w:r>
      <w:r>
        <w:rPr>
          <w:rFonts w:ascii="Times New Roman" w:eastAsia="仿宋" w:cs="Times New Roman" w:hAnsi="Times New Roman"/>
          <w:sz w:val="32"/>
          <w:szCs w:val="32"/>
          <w:lang w:val="zh-CN"/>
        </w:rPr>
        <w:t>在</w:t>
      </w:r>
      <w:r>
        <w:rPr>
          <w:rFonts w:ascii="Times New Roman" w:eastAsia="仿宋" w:cs="Times New Roman" w:hAnsi="Times New Roman"/>
          <w:sz w:val="32"/>
          <w:szCs w:val="32"/>
        </w:rPr>
        <w:t>米亚罗自然保护区、桃坪羌寨等重点风景名胜区</w:t>
      </w:r>
      <w:r>
        <w:rPr>
          <w:rFonts w:ascii="Times New Roman" w:eastAsia="仿宋" w:cs="Times New Roman" w:hAnsi="Times New Roman"/>
          <w:sz w:val="32"/>
          <w:szCs w:val="32"/>
          <w:lang w:val="zh-CN"/>
        </w:rPr>
        <w:t>内，严格执行自然保护区、风景名胜区等相关管理条例，严守重要生态功能区保护底线。</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严格落实国土空间规划布局管控要求。</w:t>
      </w:r>
      <w:r>
        <w:rPr>
          <w:rFonts w:ascii="Times New Roman" w:eastAsia="仿宋" w:cs="Times New Roman" w:hAnsi="Times New Roman"/>
          <w:sz w:val="32"/>
          <w:szCs w:val="32"/>
          <w:lang w:val="zh-CN"/>
        </w:rPr>
        <w:t>矿产资源勘查开发要严格遵守生态保护红线、永久基本农田、城镇开发边界三条控制线的管控要求。法律法规对勘查开采活动有其它禁止、限制性要求的，应严格遵守相关规定。</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严格落实国家公益林和基本草原征（占）用管理工作。</w:t>
      </w:r>
      <w:r>
        <w:rPr>
          <w:rFonts w:ascii="Times New Roman" w:eastAsia="仿宋" w:cs="Times New Roman" w:hAnsi="Times New Roman"/>
          <w:sz w:val="32"/>
          <w:szCs w:val="32"/>
          <w:lang w:val="zh-CN"/>
        </w:rPr>
        <w:t>深入贯彻《国家林业和草原局关于印发</w:t>
      </w:r>
      <w:r>
        <w:rPr>
          <w:rFonts w:ascii="Times New Roman" w:eastAsia="仿宋" w:cs="Times New Roman" w:hAnsi="Times New Roman"/>
          <w:sz w:val="32"/>
          <w:szCs w:val="32"/>
        </w:rPr>
        <w:t>&lt;</w:t>
      </w:r>
      <w:r>
        <w:rPr>
          <w:rFonts w:ascii="Times New Roman" w:eastAsia="仿宋" w:cs="Times New Roman" w:hAnsi="Times New Roman"/>
          <w:sz w:val="32"/>
          <w:szCs w:val="32"/>
          <w:lang w:val="zh-CN"/>
        </w:rPr>
        <w:t>草原征占用审核审批管理规范</w:t>
      </w:r>
      <w:r>
        <w:rPr>
          <w:rFonts w:ascii="Times New Roman" w:eastAsia="仿宋" w:cs="Times New Roman" w:hAnsi="Times New Roman"/>
          <w:sz w:val="32"/>
          <w:szCs w:val="32"/>
        </w:rPr>
        <w:t>&gt;</w:t>
      </w:r>
      <w:r>
        <w:rPr>
          <w:rFonts w:ascii="Times New Roman" w:eastAsia="仿宋" w:cs="Times New Roman" w:hAnsi="Times New Roman"/>
          <w:sz w:val="32"/>
          <w:szCs w:val="32"/>
          <w:lang w:val="zh-CN"/>
        </w:rPr>
        <w:t>的通知》（林草规〔</w:t>
      </w:r>
      <w:r>
        <w:rPr>
          <w:rFonts w:ascii="Times New Roman" w:eastAsia="仿宋" w:cs="Times New Roman" w:hAnsi="Times New Roman"/>
          <w:sz w:val="32"/>
          <w:szCs w:val="32"/>
        </w:rPr>
        <w:t>2020</w:t>
      </w:r>
      <w:r>
        <w:rPr>
          <w:rFonts w:ascii="Times New Roman" w:eastAsia="仿宋" w:cs="Times New Roman" w:hAnsi="Times New Roman"/>
          <w:sz w:val="32"/>
          <w:szCs w:val="32"/>
          <w:lang w:val="zh-CN"/>
        </w:rPr>
        <w:t>〕</w:t>
      </w:r>
      <w:r>
        <w:rPr>
          <w:rFonts w:ascii="Times New Roman" w:eastAsia="仿宋" w:cs="Times New Roman" w:hAnsi="Times New Roman"/>
          <w:sz w:val="32"/>
          <w:szCs w:val="32"/>
        </w:rPr>
        <w:t>2</w:t>
      </w:r>
      <w:r>
        <w:rPr>
          <w:rFonts w:ascii="Times New Roman" w:eastAsia="仿宋" w:cs="Times New Roman" w:hAnsi="Times New Roman"/>
          <w:sz w:val="32"/>
          <w:szCs w:val="32"/>
          <w:lang w:val="zh-CN"/>
        </w:rPr>
        <w:t>号）、《国家林业和草原局关于</w:t>
      </w:r>
      <w:r>
        <w:rPr>
          <w:rFonts w:ascii="Times New Roman" w:eastAsia="仿宋" w:cs="Times New Roman" w:hAnsi="Times New Roman"/>
          <w:sz w:val="32"/>
          <w:szCs w:val="32"/>
        </w:rPr>
        <w:t>&lt;</w:t>
      </w:r>
      <w:r>
        <w:rPr>
          <w:rFonts w:ascii="Times New Roman" w:eastAsia="仿宋" w:cs="Times New Roman" w:hAnsi="Times New Roman"/>
          <w:sz w:val="32"/>
          <w:szCs w:val="32"/>
          <w:lang w:val="zh-CN"/>
        </w:rPr>
        <w:t>建设项目使用林地审核审批管理规范</w:t>
      </w:r>
      <w:r>
        <w:rPr>
          <w:rFonts w:ascii="Times New Roman" w:eastAsia="仿宋" w:cs="Times New Roman" w:hAnsi="Times New Roman"/>
          <w:sz w:val="32"/>
          <w:szCs w:val="32"/>
        </w:rPr>
        <w:t>&gt;</w:t>
      </w:r>
      <w:r>
        <w:rPr>
          <w:rFonts w:ascii="Times New Roman" w:eastAsia="仿宋" w:cs="Times New Roman" w:hAnsi="Times New Roman"/>
          <w:sz w:val="32"/>
          <w:szCs w:val="32"/>
          <w:lang w:val="zh-CN"/>
        </w:rPr>
        <w:t>的通知》林资规〔</w:t>
      </w:r>
      <w:r>
        <w:rPr>
          <w:rFonts w:ascii="Times New Roman" w:eastAsia="仿宋" w:cs="Times New Roman" w:hAnsi="Times New Roman"/>
          <w:sz w:val="32"/>
          <w:szCs w:val="32"/>
        </w:rPr>
        <w:t>2021</w:t>
      </w:r>
      <w:r>
        <w:rPr>
          <w:rFonts w:ascii="Times New Roman" w:eastAsia="仿宋" w:cs="Times New Roman" w:hAnsi="Times New Roman"/>
          <w:sz w:val="32"/>
          <w:szCs w:val="32"/>
          <w:lang w:val="zh-CN"/>
        </w:rPr>
        <w:t>〕</w:t>
      </w:r>
      <w:r>
        <w:rPr>
          <w:rFonts w:ascii="Times New Roman" w:eastAsia="仿宋" w:cs="Times New Roman" w:hAnsi="Times New Roman"/>
          <w:sz w:val="32"/>
          <w:szCs w:val="32"/>
        </w:rPr>
        <w:t>5</w:t>
      </w:r>
      <w:r>
        <w:rPr>
          <w:rFonts w:ascii="Times New Roman" w:eastAsia="仿宋" w:cs="Times New Roman" w:hAnsi="Times New Roman"/>
          <w:sz w:val="32"/>
          <w:szCs w:val="32"/>
          <w:lang w:val="zh-CN"/>
        </w:rPr>
        <w:t>号文件要求。矿产勘查开采严禁占用国家一级公益林，三类矿产开发利用原则上不得占用国家二级以上公益林，除三类矿产以外的矿产勘查开采必须办理林地占用手续。矿产勘查开采必须办理占用林地的手续。</w:t>
      </w:r>
    </w:p>
    <w:p>
      <w:pPr>
        <w:pageBreakBefore w:val="0"/>
        <w:widowControl w:val="0"/>
        <w:kinsoku/>
        <w:wordWrap/>
        <w:overflowPunct/>
        <w:topLinePunct w:val="0"/>
        <w:bidi w:val="0"/>
        <w:spacing w:line="576" w:lineRule="exact"/>
        <w:ind w:left="0" w:right="0" w:firstLineChars="200" w:firstLine="64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二、布局矿产资源产业重点发展区</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sz w:val="32"/>
          <w:szCs w:val="32"/>
          <w:lang w:val="zh-CN"/>
        </w:rPr>
        <w:t>本着</w:t>
      </w:r>
      <w:r>
        <w:rPr>
          <w:rFonts w:ascii="Times New Roman" w:eastAsia="仿宋" w:cs="Times New Roman" w:hAnsi="Times New Roman"/>
          <w:sz w:val="32"/>
          <w:szCs w:val="32"/>
        </w:rPr>
        <w:t>“</w:t>
      </w:r>
      <w:r>
        <w:rPr>
          <w:rFonts w:ascii="Times New Roman" w:eastAsia="仿宋" w:cs="Times New Roman" w:hAnsi="Times New Roman"/>
          <w:sz w:val="32"/>
          <w:szCs w:val="32"/>
          <w:lang w:val="zh-CN"/>
        </w:rPr>
        <w:t>资源保护为主、因地制宜、按需利用</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的总体原则，依托县域主要旅游资源景点与地热分布特征，积极探索地热</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净矿</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与旅游配套</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净地</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一体化出让，为建设区域性旅游文化品牌，推动旅游一体化发展提供资源保障。</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sz w:val="32"/>
          <w:szCs w:val="32"/>
          <w:lang w:val="zh-CN"/>
        </w:rPr>
        <w:t>全面落实上级规划要求，结合我县社会发展现状、开采资源禀赋、开发利用现状和资源环境承载力等因素，将古尔沟地热作为开发利用重点发展区，到2025年落实</w:t>
      </w:r>
      <w:r>
        <w:rPr>
          <w:rFonts w:ascii="Times New Roman" w:eastAsia="仿宋" w:cs="Times New Roman" w:hAnsi="Times New Roman"/>
          <w:sz w:val="32"/>
          <w:szCs w:val="32"/>
        </w:rPr>
        <w:t>1</w:t>
      </w:r>
      <w:r>
        <w:rPr>
          <w:rFonts w:ascii="Times New Roman" w:eastAsia="仿宋" w:cs="Times New Roman" w:hAnsi="Times New Roman"/>
          <w:sz w:val="32"/>
          <w:szCs w:val="32"/>
          <w:lang w:val="zh-CN"/>
        </w:rPr>
        <w:t>个地热勘查区块，</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rPr>
      </w:pPr>
      <w:bookmarkStart w:id="34" w:name="_Toc127347662"/>
      <w:r>
        <w:rPr>
          <w:rFonts w:ascii="Times New Roman" w:eastAsia="仿宋" w:cs="Times New Roman" w:hAnsi="Times New Roman"/>
          <w:snapToGrid w:val="0"/>
        </w:rPr>
        <w:t>第二节 强化资源安全保障 统筹勘查开发布局</w:t>
      </w:r>
      <w:bookmarkEnd w:id="34"/>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一、加强基础性、公益性地质矿产调查与评价</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rPr>
        <w:t>加强与上级基础性、</w:t>
      </w:r>
      <w:r>
        <w:rPr>
          <w:rFonts w:ascii="Times New Roman" w:eastAsia="仿宋" w:cs="Times New Roman" w:hAnsi="Times New Roman"/>
          <w:sz w:val="32"/>
          <w:szCs w:val="32"/>
          <w:lang w:val="zh-CN"/>
        </w:rPr>
        <w:t>公益性地质矿产调查工作的衔接，落实上级规划关于川西地区地热资源调查评价工作，积极协调上级财政调查评价对我县的倾斜和支持。引导社会勘查资金积极投入，推进我县地热资源勘查和开发利用。</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b/>
          <w:sz w:val="32"/>
          <w:szCs w:val="32"/>
          <w:lang w:val="zh-CN"/>
        </w:rPr>
      </w:pPr>
      <w:bookmarkStart w:id="35" w:name="_Toc61214275"/>
      <w:r>
        <w:rPr>
          <w:rFonts w:ascii="Times New Roman" w:eastAsia="仿宋" w:cs="Times New Roman" w:hAnsi="Times New Roman"/>
          <w:b/>
          <w:sz w:val="32"/>
          <w:szCs w:val="32"/>
          <w:lang w:val="zh-CN"/>
        </w:rPr>
        <w:t>二、明确矿产资源勘查开发方向和重点</w:t>
      </w:r>
      <w:bookmarkEnd w:id="35"/>
    </w:p>
    <w:p>
      <w:pPr>
        <w:pageBreakBefore w:val="0"/>
        <w:widowControl w:val="0"/>
        <w:kinsoku/>
        <w:wordWrap/>
        <w:overflowPunct/>
        <w:topLinePunct w:val="0"/>
        <w:bidi w:val="0"/>
        <w:spacing w:line="576" w:lineRule="exact"/>
        <w:ind w:left="0" w:right="0" w:firstLine="643"/>
        <w:rPr>
          <w:rFonts w:ascii="Times New Roman" w:eastAsia="仿宋" w:cs="Times New Roman" w:hAnsi="Times New Roman"/>
          <w:b/>
          <w:snapToGrid w:val="0"/>
          <w:kern w:val="0"/>
          <w:sz w:val="32"/>
          <w:szCs w:val="32"/>
        </w:rPr>
      </w:pPr>
      <w:bookmarkStart w:id="36" w:name="_Toc61214276"/>
      <w:r>
        <w:rPr>
          <w:rFonts w:ascii="Times New Roman" w:eastAsia="仿宋" w:cs="Times New Roman" w:hAnsi="Times New Roman"/>
          <w:b/>
          <w:snapToGrid w:val="0"/>
          <w:kern w:val="0"/>
          <w:sz w:val="32"/>
          <w:szCs w:val="32"/>
        </w:rPr>
        <w:t>重点勘查矿种：</w:t>
      </w:r>
      <w:r>
        <w:rPr>
          <w:rFonts w:ascii="Times New Roman" w:eastAsia="仿宋" w:cs="Times New Roman" w:hAnsi="Times New Roman"/>
          <w:snapToGrid w:val="0"/>
          <w:kern w:val="0"/>
          <w:sz w:val="32"/>
          <w:szCs w:val="32"/>
        </w:rPr>
        <w:t>贯彻落实州规划要求，结合我县实际情况，在县域内重点开展配套旅游地热资源勘查开发。</w:t>
      </w:r>
    </w:p>
    <w:p>
      <w:pPr>
        <w:pageBreakBefore w:val="0"/>
        <w:widowControl/>
        <w:kinsoku/>
        <w:wordWrap/>
        <w:overflowPunct/>
        <w:topLinePunct w:val="0"/>
        <w:bidi w:val="0"/>
        <w:spacing w:line="576" w:lineRule="exact"/>
        <w:ind w:left="0" w:right="0" w:firstLine="643"/>
        <w:jc w:val="left"/>
        <w:rPr>
          <w:rFonts w:ascii="Times New Roman" w:eastAsia="仿宋" w:cs="Times New Roman" w:hAnsi="Times New Roman"/>
          <w:snapToGrid w:val="0"/>
          <w:kern w:val="0"/>
          <w:sz w:val="32"/>
          <w:szCs w:val="32"/>
        </w:rPr>
      </w:pPr>
      <w:r>
        <w:rPr>
          <w:rFonts w:ascii="Times New Roman" w:eastAsia="仿宋" w:cs="Times New Roman" w:hAnsi="Times New Roman"/>
          <w:b/>
          <w:snapToGrid w:val="0"/>
          <w:kern w:val="0"/>
          <w:sz w:val="32"/>
          <w:szCs w:val="32"/>
        </w:rPr>
        <w:t>禁止勘查矿种：</w:t>
      </w:r>
      <w:r>
        <w:rPr>
          <w:rFonts w:ascii="Times New Roman" w:eastAsia="仿宋" w:cs="Times New Roman" w:hAnsi="Times New Roman"/>
          <w:snapToGrid w:val="0"/>
          <w:kern w:val="0"/>
          <w:sz w:val="32"/>
          <w:szCs w:val="32"/>
        </w:rPr>
        <w:t>禁止勘查受国家产业政策限制的</w:t>
      </w:r>
      <w:r>
        <w:rPr>
          <w:rFonts w:ascii="Times New Roman" w:eastAsia="仿宋" w:cs="Times New Roman" w:hAnsi="Times New Roman"/>
          <w:kern w:val="0"/>
          <w:sz w:val="32"/>
          <w:szCs w:val="32"/>
        </w:rPr>
        <w:t>、</w:t>
      </w:r>
      <w:r>
        <w:rPr>
          <w:rFonts w:ascii="Times New Roman" w:eastAsia="仿宋" w:cs="Times New Roman" w:hAnsi="Times New Roman"/>
          <w:snapToGrid w:val="0"/>
          <w:kern w:val="0"/>
          <w:sz w:val="32"/>
          <w:szCs w:val="32"/>
        </w:rPr>
        <w:t>产能过剩的、对生态环境影响较大的矿产资源。</w:t>
      </w:r>
    </w:p>
    <w:p>
      <w:pPr>
        <w:pageBreakBefore w:val="0"/>
        <w:widowControl w:val="0"/>
        <w:kinsoku/>
        <w:wordWrap/>
        <w:overflowPunct/>
        <w:topLinePunct w:val="0"/>
        <w:bidi w:val="0"/>
        <w:spacing w:line="576" w:lineRule="exact"/>
        <w:ind w:left="0" w:right="0" w:firstLine="643"/>
        <w:rPr>
          <w:rFonts w:ascii="Times New Roman" w:eastAsia="仿宋" w:cs="Times New Roman" w:hAnsi="Times New Roman"/>
          <w:snapToGrid w:val="0"/>
          <w:kern w:val="0"/>
          <w:sz w:val="32"/>
          <w:szCs w:val="32"/>
        </w:rPr>
      </w:pPr>
      <w:r>
        <w:rPr>
          <w:rFonts w:ascii="Times New Roman" w:eastAsia="仿宋" w:cs="Times New Roman" w:hAnsi="Times New Roman"/>
          <w:b/>
          <w:snapToGrid w:val="0"/>
          <w:kern w:val="0"/>
          <w:sz w:val="32"/>
          <w:szCs w:val="32"/>
        </w:rPr>
        <w:t>重点开采矿种：</w:t>
      </w:r>
      <w:r>
        <w:rPr>
          <w:rFonts w:ascii="Times New Roman" w:eastAsia="仿宋" w:cs="Times New Roman" w:hAnsi="Times New Roman"/>
          <w:snapToGrid w:val="0"/>
          <w:kern w:val="0"/>
          <w:sz w:val="32"/>
          <w:szCs w:val="32"/>
        </w:rPr>
        <w:t>重点开采地热、矿泉水等矿产资源。重点开采矿种在符合准入条件下，在生态保护的前提下，适当扩大开发规模，提高资源供应能力。</w:t>
      </w:r>
    </w:p>
    <w:p>
      <w:pPr>
        <w:pageBreakBefore w:val="0"/>
        <w:widowControl w:val="0"/>
        <w:kinsoku/>
        <w:wordWrap/>
        <w:overflowPunct/>
        <w:topLinePunct w:val="0"/>
        <w:bidi w:val="0"/>
        <w:spacing w:line="576" w:lineRule="exact"/>
        <w:ind w:left="0" w:right="0" w:firstLine="643"/>
        <w:rPr>
          <w:rFonts w:ascii="Times New Roman" w:eastAsia="仿宋" w:cs="Times New Roman" w:hAnsi="Times New Roman"/>
          <w:snapToGrid w:val="0"/>
          <w:kern w:val="0"/>
          <w:sz w:val="32"/>
          <w:szCs w:val="32"/>
        </w:rPr>
      </w:pPr>
      <w:r>
        <w:rPr>
          <w:rFonts w:ascii="Times New Roman" w:eastAsia="仿宋" w:cs="Times New Roman" w:hAnsi="Times New Roman"/>
          <w:b/>
          <w:snapToGrid w:val="0"/>
          <w:kern w:val="0"/>
          <w:sz w:val="32"/>
          <w:szCs w:val="32"/>
        </w:rPr>
        <w:t>限制开采矿种：</w:t>
      </w:r>
      <w:r>
        <w:rPr>
          <w:rFonts w:ascii="Times New Roman" w:eastAsia="仿宋" w:cs="Times New Roman" w:hAnsi="Times New Roman"/>
          <w:snapToGrid w:val="0"/>
          <w:kern w:val="0"/>
          <w:sz w:val="32"/>
          <w:szCs w:val="32"/>
        </w:rPr>
        <w:t>限制开采大理石等矿产。</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szCs w:val="32"/>
        </w:rPr>
      </w:pPr>
      <w:bookmarkStart w:id="37" w:name="_Toc61214277"/>
      <w:bookmarkStart w:id="38" w:name="_Toc127347663"/>
      <w:bookmarkEnd w:id="36"/>
      <w:r>
        <w:rPr>
          <w:rFonts w:ascii="Times New Roman" w:eastAsia="仿宋" w:cs="Times New Roman" w:hAnsi="Times New Roman"/>
          <w:snapToGrid w:val="0"/>
          <w:szCs w:val="32"/>
        </w:rPr>
        <w:t>第三节 合理设置勘查开采区块</w:t>
      </w:r>
      <w:bookmarkEnd w:id="37"/>
      <w:bookmarkEnd w:id="38"/>
    </w:p>
    <w:p>
      <w:pPr>
        <w:pageBreakBefore w:val="0"/>
        <w:widowControl w:val="0"/>
        <w:kinsoku/>
        <w:wordWrap/>
        <w:overflowPunct/>
        <w:topLinePunct w:val="0"/>
        <w:bidi w:val="0"/>
        <w:spacing w:line="576" w:lineRule="exact"/>
        <w:ind w:left="0" w:right="0" w:firstLine="60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rPr>
        <w:t>一、勘查开采区块</w:t>
      </w:r>
    </w:p>
    <w:p>
      <w:pPr>
        <w:pageBreakBefore w:val="0"/>
        <w:widowControl w:val="0"/>
        <w:kinsoku/>
        <w:wordWrap/>
        <w:overflowPunct/>
        <w:topLinePunct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rPr>
        <w:t>细化落实上级勘查规划区块1个（专栏4），为空白区新设，勘查主矿种为地热。</w:t>
      </w:r>
    </w:p>
    <w:p>
      <w:pPr>
        <w:pageBreakBefore w:val="0"/>
        <w:widowControl w:val="0"/>
        <w:kinsoku/>
        <w:wordWrap/>
        <w:overflowPunct/>
        <w:topLinePunct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rPr>
        <w:t>规划期内探矿权设置以划定的勘查规划区块为依据，一个勘查规划区块设置一个探矿权。拟设探矿权勘查规划区块的投放均由上级部门采取“招拍挂”方式出让，县自然资源局签署本级调查意见并按规定对勘查过程进行监督管理。</w:t>
      </w:r>
    </w:p>
    <w:p>
      <w:pPr>
        <w:pageBreakBefore w:val="0"/>
        <w:widowControl w:val="0"/>
        <w:kinsoku/>
        <w:wordWrap/>
        <w:overflowPunct/>
        <w:topLinePunct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rPr>
        <w:t>本轮规划未设置开采区块。</w:t>
      </w:r>
    </w:p>
    <w:tbl>
      <w:tblPr>
        <w:jc w:val="left"/>
        <w:tblInd w:w="0" w:type="dxa"/>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top w:w="0" w:type="dxa"/>
          <w:left w:w="108" w:type="dxa"/>
          <w:bottom w:w="0" w:type="dxa"/>
          <w:right w:w="108" w:type="dxa"/>
        </w:tblCellMar>
      </w:tblPr>
      <w:tblGrid>
        <w:gridCol w:w="9124"/>
      </w:tblGrid>
      <w:tr>
        <w:trPr>
          <w:trHeight w:val="390"/>
        </w:trPr>
        <w:tc>
          <w:tcPr>
            <w:tcW w:w="5000" w:type="pct"/>
            <w:tcBorders>
              <w:top w:val="single" w:sz="8" w:space="0" w:color="auto"/>
              <w:left w:val="single" w:sz="8" w:space="0" w:color="auto"/>
              <w:bottom w:val="single" w:sz="8" w:space="0" w:color="auto"/>
              <w:right w:val="single" w:sz="8"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b/>
                <w:kern w:val="0"/>
                <w:sz w:val="28"/>
                <w:szCs w:val="28"/>
              </w:rPr>
            </w:pPr>
            <w:r>
              <w:rPr>
                <w:rFonts w:ascii="Times New Roman" w:eastAsia="仿宋" w:cs="Times New Roman" w:hAnsi="Times New Roman"/>
                <w:b/>
                <w:kern w:val="0"/>
                <w:sz w:val="28"/>
                <w:szCs w:val="28"/>
              </w:rPr>
              <w:t>专栏4  理县勘查开发利用布局</w:t>
            </w:r>
          </w:p>
        </w:tc>
      </w:tr>
      <w:tr>
        <w:trPr>
          <w:trHeight w:val="1146"/>
        </w:trPr>
        <w:tc>
          <w:tcPr>
            <w:tcW w:w="5000" w:type="pct"/>
            <w:tcBorders>
              <w:top w:val="single" w:sz="6" w:space="0" w:color="auto"/>
              <w:left w:val="single" w:sz="8" w:space="0" w:color="auto"/>
              <w:bottom w:val="single" w:sz="8" w:space="0" w:color="auto"/>
              <w:right w:val="single" w:sz="8" w:space="0" w:color="auto"/>
            </w:tcBorders>
            <w:noWrap/>
            <w:vAlign w:val="bottom"/>
          </w:tcPr>
          <w:p>
            <w:pPr>
              <w:pageBreakBefore w:val="0"/>
              <w:widowControl/>
              <w:kinsoku/>
              <w:wordWrap/>
              <w:overflowPunct/>
              <w:topLinePunct w:val="0"/>
              <w:bidi w:val="0"/>
              <w:spacing w:line="576" w:lineRule="exact"/>
              <w:ind w:left="0" w:right="0"/>
              <w:jc w:val="left"/>
              <w:rPr>
                <w:rFonts w:ascii="Times New Roman" w:eastAsia="仿宋" w:cs="Times New Roman" w:hAnsi="Times New Roman"/>
                <w:kern w:val="0"/>
                <w:sz w:val="24"/>
              </w:rPr>
            </w:pPr>
            <w:r>
              <w:rPr>
                <w:rFonts w:ascii="Times New Roman" w:eastAsia="仿宋" w:cs="Times New Roman" w:hAnsi="Times New Roman"/>
                <w:kern w:val="0"/>
                <w:sz w:val="24"/>
              </w:rPr>
              <w:t>（一）落实勘查规划区块（1个）：</w:t>
            </w:r>
          </w:p>
          <w:p>
            <w:pPr>
              <w:pageBreakBefore w:val="0"/>
              <w:widowControl/>
              <w:kinsoku/>
              <w:wordWrap/>
              <w:overflowPunct/>
              <w:topLinePunct w:val="0"/>
              <w:bidi w:val="0"/>
              <w:spacing w:line="576" w:lineRule="exact"/>
              <w:ind w:left="0" w:right="0" w:firstLineChars="300" w:firstLine="720"/>
              <w:jc w:val="left"/>
              <w:rPr>
                <w:rFonts w:ascii="Times New Roman" w:eastAsia="仿宋" w:cs="Times New Roman" w:hAnsi="Times New Roman"/>
                <w:kern w:val="0"/>
                <w:sz w:val="24"/>
              </w:rPr>
            </w:pPr>
            <w:r>
              <w:rPr>
                <w:rFonts w:ascii="Times New Roman" w:eastAsia="仿宋" w:cs="Times New Roman" w:hAnsi="Times New Roman"/>
                <w:b/>
                <w:bCs/>
                <w:kern w:val="0"/>
                <w:sz w:val="24"/>
              </w:rPr>
              <w:t>1、</w:t>
            </w:r>
            <w:bookmarkStart w:id="39" w:name="_Hlk127540446"/>
            <w:r>
              <w:rPr>
                <w:rFonts w:ascii="Times New Roman" w:eastAsia="仿宋" w:cs="Times New Roman" w:hAnsi="Times New Roman"/>
                <w:b/>
                <w:bCs/>
                <w:kern w:val="0"/>
                <w:sz w:val="24"/>
              </w:rPr>
              <w:t>四川省理县龙胆沟地热普查</w:t>
            </w:r>
            <w:bookmarkEnd w:id="39"/>
            <w:r>
              <w:rPr>
                <w:rFonts w:ascii="Times New Roman" w:eastAsia="仿宋" w:cs="Times New Roman" w:hAnsi="Times New Roman"/>
                <w:b/>
                <w:bCs/>
                <w:kern w:val="0"/>
                <w:sz w:val="24"/>
              </w:rPr>
              <w:t>：</w:t>
            </w:r>
            <w:r>
              <w:rPr>
                <w:rFonts w:ascii="Times New Roman" w:eastAsia="仿宋" w:cs="Times New Roman" w:hAnsi="Times New Roman"/>
                <w:kern w:val="0"/>
                <w:sz w:val="24"/>
              </w:rPr>
              <w:t>位于理县通化乡，面积2.45km</w:t>
            </w:r>
            <w:r>
              <w:rPr>
                <w:rFonts w:ascii="Times New Roman" w:eastAsia="仿宋" w:cs="Times New Roman" w:hAnsi="Times New Roman"/>
                <w:kern w:val="0"/>
                <w:sz w:val="24"/>
                <w:vertAlign w:val="superscript"/>
              </w:rPr>
              <w:t>2</w:t>
            </w:r>
            <w:r>
              <w:rPr>
                <w:rFonts w:ascii="Times New Roman" w:eastAsia="仿宋" w:cs="Times New Roman" w:hAnsi="Times New Roman"/>
                <w:kern w:val="0"/>
                <w:sz w:val="24"/>
              </w:rPr>
              <w:t xml:space="preserve">，为地热普查项目。 </w:t>
            </w:r>
            <w:r>
              <w:rPr>
                <w:rFonts w:ascii="Times New Roman" w:eastAsia="仿宋" w:cs="Times New Roman" w:hAnsi="Times New Roman"/>
                <w:b/>
                <w:bCs/>
                <w:kern w:val="0"/>
                <w:sz w:val="24"/>
              </w:rPr>
              <w:t xml:space="preserve"> </w:t>
            </w:r>
          </w:p>
        </w:tc>
      </w:tr>
    </w:tbl>
    <w:p>
      <w:pPr>
        <w:pStyle w:val="16"/>
        <w:pageBreakBefore w:val="0"/>
        <w:widowControl w:val="0"/>
        <w:kinsoku/>
        <w:wordWrap/>
        <w:overflowPunct/>
        <w:topLinePunct w:val="0"/>
        <w:bidi w:val="0"/>
        <w:spacing w:after="0" w:line="576" w:lineRule="exact"/>
        <w:ind w:leftChars="0" w:left="0" w:right="0"/>
        <w:rPr>
          <w:rFonts w:ascii="Times New Roman" w:eastAsia="仿宋" w:cs="Times New Roman" w:hAnsi="Times New Roman"/>
        </w:rPr>
      </w:pPr>
    </w:p>
    <w:p>
      <w:pPr>
        <w:pageBreakBefore w:val="0"/>
        <w:widowControl w:val="0"/>
        <w:kinsoku/>
        <w:wordWrap/>
        <w:overflowPunct/>
        <w:topLinePunct w:val="0"/>
        <w:bidi w:val="0"/>
        <w:spacing w:line="576" w:lineRule="exact"/>
        <w:ind w:left="0" w:right="0" w:firstLine="60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rPr>
        <w:t>二、严格规划准入管理</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严格按照国家矿业权出让规定出让矿业权，保护正当合法竞争。参与矿权交易活动的市场主体，应具有相应资质并符合相关条件，严格限制有违法违规违纪行为或失信记录的矿权申请人参与交易活动。外商投资企业遵循《外商投资产业指导目录》从事相应采选活动。</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严格执行规模准入。</w:t>
      </w:r>
      <w:r>
        <w:rPr>
          <w:rFonts w:ascii="Times New Roman" w:eastAsia="仿宋" w:cs="Times New Roman" w:hAnsi="Times New Roman"/>
          <w:sz w:val="32"/>
          <w:szCs w:val="32"/>
          <w:lang w:val="zh-CN"/>
        </w:rPr>
        <w:t>严格执行开采规模准入标准。新建矿山应在达到最低生产建设规模，最低生产建设规模按省级规划设定矿山最低开采规模执行。</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严格执行矿产资源利用技术准入。</w:t>
      </w:r>
      <w:r>
        <w:rPr>
          <w:rFonts w:ascii="Times New Roman" w:eastAsia="仿宋" w:cs="Times New Roman" w:hAnsi="Times New Roman"/>
          <w:sz w:val="32"/>
          <w:szCs w:val="32"/>
          <w:lang w:val="zh-CN"/>
        </w:rPr>
        <w:t>禁止采富弃贫、采易弃难、优矿劣用等浪费资源行为。对照《矿产资源节约与综合利用鼓励、限制和淘汰技术目录（修订稿）》，禁止采用落后淘汰、破坏和浪费资源、资源利用效率低下的开采和选矿技术。矿山企业应加大科技创新资金投入，开展科技创新和技术革新。</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严格执行安全准入。</w:t>
      </w:r>
      <w:r>
        <w:rPr>
          <w:rFonts w:ascii="Times New Roman" w:eastAsia="仿宋" w:cs="Times New Roman" w:hAnsi="Times New Roman"/>
          <w:sz w:val="32"/>
          <w:szCs w:val="32"/>
          <w:lang w:val="zh-CN"/>
        </w:rPr>
        <w:t>新建、扩建和改建的矿山，采用的开采方式、生产工艺必须符合国家和省现行相关法律法规和标准。严格履行建设项目安全设施</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三同时</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和职业卫生</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三同时</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，安全设施设计未经安全监管部门审查同意，不得开工建设，安全设施未经竣工验收合格，不得投入生产使用。</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严格执行环境准入。</w:t>
      </w:r>
      <w:r>
        <w:rPr>
          <w:rFonts w:ascii="Times New Roman" w:eastAsia="仿宋" w:cs="Times New Roman" w:hAnsi="Times New Roman"/>
          <w:sz w:val="32"/>
          <w:szCs w:val="32"/>
          <w:lang w:val="zh-CN"/>
        </w:rPr>
        <w:t>矿山开发项目应符合所在规划区域的环境承载力要求，矿山“三废”必须达标排放，降低环境容量消减强度。新建矿山必须执行矿山地质环境治理恢复基金、地质环境保护与恢复治理方案及环境影响评价报告制度，必须编制矿山地质环境保护与土地复垦方案、环境影响评价报告，并作为矿业权审批的必要条件。</w:t>
      </w:r>
    </w:p>
    <w:p>
      <w:pPr>
        <w:pageBreakBefore w:val="0"/>
        <w:widowControl w:val="0"/>
        <w:kinsoku/>
        <w:wordWrap/>
        <w:overflowPunct/>
        <w:topLinePunct w:val="0"/>
        <w:bidi w:val="0"/>
        <w:spacing w:line="576" w:lineRule="exact"/>
        <w:ind w:left="0" w:right="0" w:firstLine="643"/>
        <w:rPr>
          <w:rFonts w:ascii="Times New Roman" w:eastAsia="仿宋" w:cs="Times New Roman" w:hAnsi="Times New Roman"/>
          <w:sz w:val="32"/>
          <w:szCs w:val="32"/>
        </w:rPr>
      </w:pPr>
      <w:r>
        <w:rPr>
          <w:rFonts w:ascii="Times New Roman" w:eastAsia="仿宋" w:cs="Times New Roman" w:hAnsi="Times New Roman"/>
          <w:b/>
          <w:bCs/>
          <w:sz w:val="32"/>
          <w:szCs w:val="32"/>
          <w:lang w:val="zh-CN"/>
        </w:rPr>
        <w:t>严格执</w:t>
      </w:r>
      <w:r>
        <w:rPr>
          <w:rFonts w:ascii="Times New Roman" w:eastAsia="仿宋" w:cs="Times New Roman" w:hAnsi="Times New Roman"/>
          <w:b/>
          <w:bCs/>
          <w:sz w:val="32"/>
          <w:szCs w:val="32"/>
        </w:rPr>
        <w:t>国土空间规划准入。</w:t>
      </w:r>
      <w:r>
        <w:rPr>
          <w:rFonts w:ascii="Times New Roman" w:eastAsia="仿宋" w:cs="Times New Roman" w:hAnsi="Times New Roman"/>
          <w:sz w:val="32"/>
          <w:szCs w:val="32"/>
        </w:rPr>
        <w:t>矿产资源勘查开发要坚持践行“三线一单”、“三区三线”等国土空间管控要求，严格执行生态红线范围内，实行不同矿种矿产资源勘查开发差别化管理；在保护永久基本农田的原则下，推进矿产资源勘查开发;做好矿产开发与城乡建设的空间布局。</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p>
    <w:p>
      <w:pPr>
        <w:pStyle w:val="16"/>
        <w:pageBreakBefore w:val="0"/>
        <w:widowControl w:val="0"/>
        <w:kinsoku/>
        <w:wordWrap/>
        <w:overflowPunct/>
        <w:topLinePunct w:val="0"/>
        <w:bidi w:val="0"/>
        <w:spacing w:after="0" w:line="576" w:lineRule="exact"/>
        <w:ind w:leftChars="0" w:left="0" w:right="0"/>
        <w:rPr>
          <w:rFonts w:ascii="Times New Roman" w:eastAsia="仿宋" w:cs="Times New Roman" w:hAnsi="Times New Roman"/>
        </w:rPr>
        <w:sectPr>
          <w:pgSz w:w="11906" w:h="16838"/>
          <w:pgMar w:top="1800" w:right="1440" w:bottom="1800" w:left="1440" w:header="720" w:footer="720" w:gutter="0"/>
          <w:pgNumType w:fmt="numberInDash"/>
          <w:docGrid w:type="lines" w:linePitch="312" w:charSpace="0"/>
        </w:sectPr>
      </w:pPr>
    </w:p>
    <w:p>
      <w:pPr>
        <w:pStyle w:val="1"/>
        <w:keepNext/>
        <w:keepLines/>
        <w:pageBreakBefore w:val="0"/>
        <w:widowControl w:val="0"/>
        <w:kinsoku/>
        <w:wordWrap/>
        <w:overflowPunct/>
        <w:topLinePunct w:val="0"/>
        <w:bidi w:val="0"/>
        <w:spacing w:beforeLines="0" w:before="0" w:afterLines="0" w:after="0" w:line="576" w:lineRule="exact"/>
        <w:ind w:left="0" w:right="0"/>
        <w:rPr>
          <w:rFonts w:ascii="Times New Roman" w:eastAsia="仿宋" w:cs="Times New Roman" w:hAnsi="Times New Roman"/>
          <w:sz w:val="36"/>
        </w:rPr>
      </w:pPr>
      <w:bookmarkStart w:id="40" w:name="_Toc127347664"/>
      <w:r>
        <w:rPr>
          <w:rFonts w:ascii="Times New Roman" w:eastAsia="仿宋" w:cs="Times New Roman" w:hAnsi="Times New Roman"/>
          <w:sz w:val="36"/>
        </w:rPr>
        <w:t>第四章 坚持集约节约 促进资源高效利用</w:t>
      </w:r>
      <w:bookmarkEnd w:id="40"/>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szCs w:val="32"/>
        </w:rPr>
      </w:pPr>
      <w:bookmarkStart w:id="41" w:name="_Toc127347665"/>
      <w:r>
        <w:rPr>
          <w:rFonts w:ascii="Times New Roman" w:eastAsia="仿宋" w:cs="Times New Roman" w:hAnsi="Times New Roman"/>
          <w:snapToGrid w:val="0"/>
          <w:szCs w:val="32"/>
        </w:rPr>
        <w:t xml:space="preserve">第一节 </w:t>
      </w:r>
      <w:r>
        <w:rPr>
          <w:rFonts w:ascii="Times New Roman" w:eastAsia="仿宋" w:cs="Times New Roman" w:hAnsi="Times New Roman"/>
          <w:snapToGrid w:val="0"/>
          <w:szCs w:val="32"/>
          <w:lang w:val="zh-CN"/>
        </w:rPr>
        <w:t>合理确定矿产资源开发利用总量</w:t>
      </w:r>
      <w:bookmarkEnd w:id="41"/>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实行矿产资源开采总量和采矿权投放总量双调控，力求矿产资源开发利用总量与经济社会发展水平相适应，落实上级规划对总量配额指标执行情况的监督管理，到</w:t>
      </w:r>
      <w:r>
        <w:rPr>
          <w:rFonts w:ascii="Times New Roman" w:eastAsia="仿宋" w:cs="Times New Roman" w:hAnsi="Times New Roman"/>
          <w:sz w:val="32"/>
          <w:szCs w:val="32"/>
        </w:rPr>
        <w:t>2025</w:t>
      </w:r>
      <w:r>
        <w:rPr>
          <w:rFonts w:ascii="Times New Roman" w:eastAsia="仿宋" w:cs="Times New Roman" w:hAnsi="Times New Roman"/>
          <w:sz w:val="32"/>
          <w:szCs w:val="32"/>
          <w:lang w:val="zh-CN"/>
        </w:rPr>
        <w:t>年底，全县矿山数量稳定在2个以内。</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岩金矿：矿山数量稳定在1个以内，年产矿石量不低于</w:t>
      </w:r>
      <w:r>
        <w:rPr>
          <w:rFonts w:ascii="Times New Roman" w:eastAsia="仿宋" w:cs="Times New Roman" w:hAnsi="Times New Roman"/>
          <w:sz w:val="32"/>
          <w:szCs w:val="32"/>
        </w:rPr>
        <w:t>3</w:t>
      </w:r>
      <w:r>
        <w:rPr>
          <w:rFonts w:ascii="Times New Roman" w:eastAsia="仿宋" w:cs="Times New Roman" w:hAnsi="Times New Roman"/>
          <w:sz w:val="32"/>
          <w:szCs w:val="32"/>
          <w:lang w:val="zh-CN"/>
        </w:rPr>
        <w:t>万吨。</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地热：合理开发利用地热资源，提升地热规模化开采能力，实现地热资源的绿色可持续开发利用。到</w:t>
      </w:r>
      <w:r>
        <w:rPr>
          <w:rFonts w:ascii="Times New Roman" w:eastAsia="仿宋" w:cs="Times New Roman" w:hAnsi="Times New Roman"/>
          <w:sz w:val="32"/>
          <w:szCs w:val="32"/>
        </w:rPr>
        <w:t>2025</w:t>
      </w:r>
      <w:r>
        <w:rPr>
          <w:rFonts w:ascii="Times New Roman" w:eastAsia="仿宋" w:cs="Times New Roman" w:hAnsi="Times New Roman"/>
          <w:sz w:val="32"/>
          <w:szCs w:val="32"/>
          <w:lang w:val="zh-CN"/>
        </w:rPr>
        <w:t>年，地热年开采量达</w:t>
      </w:r>
      <w:r>
        <w:rPr>
          <w:rFonts w:ascii="Times New Roman" w:eastAsia="仿宋" w:cs="Times New Roman" w:hAnsi="Times New Roman"/>
          <w:sz w:val="32"/>
          <w:szCs w:val="32"/>
        </w:rPr>
        <w:t>16</w:t>
      </w:r>
      <w:r>
        <w:rPr>
          <w:rFonts w:ascii="Times New Roman" w:eastAsia="仿宋" w:cs="Times New Roman" w:hAnsi="Times New Roman"/>
          <w:sz w:val="32"/>
          <w:szCs w:val="32"/>
          <w:lang w:val="zh-CN"/>
        </w:rPr>
        <w:t>万立方米，矿山数量稳定在</w:t>
      </w:r>
      <w:r>
        <w:rPr>
          <w:rFonts w:ascii="Times New Roman" w:eastAsia="仿宋" w:cs="Times New Roman" w:hAnsi="Times New Roman"/>
          <w:sz w:val="32"/>
          <w:szCs w:val="32"/>
        </w:rPr>
        <w:t>1</w:t>
      </w:r>
      <w:r>
        <w:rPr>
          <w:rFonts w:ascii="Times New Roman" w:eastAsia="仿宋" w:cs="Times New Roman" w:hAnsi="Times New Roman"/>
          <w:sz w:val="32"/>
          <w:szCs w:val="32"/>
          <w:lang w:val="zh-CN"/>
        </w:rPr>
        <w:t>个。</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szCs w:val="32"/>
        </w:rPr>
      </w:pPr>
      <w:bookmarkStart w:id="42" w:name="_Toc127347666"/>
      <w:r>
        <w:rPr>
          <w:rFonts w:ascii="Times New Roman" w:eastAsia="仿宋" w:cs="Times New Roman" w:hAnsi="Times New Roman"/>
          <w:snapToGrid w:val="0"/>
          <w:szCs w:val="32"/>
          <w:lang w:val="zh-CN"/>
        </w:rPr>
        <w:t>第二节 优化矿产资源开发利用结构</w:t>
      </w:r>
      <w:bookmarkEnd w:id="42"/>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严格执行国家矿产开发产业政策。按分类管理、突出重点的原则，对保护性开采、优势及产能过剩等矿产执行差别化产业政策。执行矿山开采最低规模设计标准。坚持开采规模与储量规模相适应的原则，严格执行矿山最低开采规模制度，严禁大矿小开、一矿多开。</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金矿：立足稳定现有生产规模，开采规模不低于</w:t>
      </w:r>
      <w:r>
        <w:rPr>
          <w:rFonts w:ascii="Times New Roman" w:eastAsia="仿宋" w:cs="Times New Roman" w:hAnsi="Times New Roman"/>
          <w:sz w:val="32"/>
          <w:szCs w:val="32"/>
        </w:rPr>
        <w:t>3</w:t>
      </w:r>
      <w:r>
        <w:rPr>
          <w:rFonts w:ascii="Times New Roman" w:eastAsia="仿宋" w:cs="Times New Roman" w:hAnsi="Times New Roman"/>
          <w:sz w:val="32"/>
          <w:szCs w:val="32"/>
          <w:lang w:val="zh-CN"/>
        </w:rPr>
        <w:t>万吨/年。</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地热：矿山</w:t>
      </w:r>
      <w:r>
        <w:rPr>
          <w:rFonts w:ascii="Times New Roman" w:eastAsia="仿宋" w:cs="Times New Roman" w:hAnsi="Times New Roman"/>
          <w:sz w:val="32"/>
          <w:szCs w:val="32"/>
        </w:rPr>
        <w:t>最低</w:t>
      </w:r>
      <w:r>
        <w:rPr>
          <w:rFonts w:ascii="Times New Roman" w:eastAsia="仿宋" w:cs="Times New Roman" w:hAnsi="Times New Roman"/>
          <w:sz w:val="32"/>
          <w:szCs w:val="32"/>
          <w:lang w:val="zh-CN"/>
        </w:rPr>
        <w:t>开采规模达</w:t>
      </w:r>
      <w:r>
        <w:rPr>
          <w:rFonts w:ascii="Times New Roman" w:eastAsia="仿宋" w:cs="Times New Roman" w:hAnsi="Times New Roman"/>
          <w:sz w:val="32"/>
          <w:szCs w:val="32"/>
        </w:rPr>
        <w:t>16</w:t>
      </w:r>
      <w:r>
        <w:rPr>
          <w:rFonts w:ascii="Times New Roman" w:eastAsia="仿宋" w:cs="Times New Roman" w:hAnsi="Times New Roman"/>
          <w:sz w:val="32"/>
          <w:szCs w:val="32"/>
          <w:lang w:val="zh-CN"/>
        </w:rPr>
        <w:t>万立方米</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年。</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szCs w:val="32"/>
        </w:rPr>
      </w:pPr>
      <w:bookmarkStart w:id="43" w:name="_Toc127347667"/>
      <w:r>
        <w:rPr>
          <w:rFonts w:ascii="Times New Roman" w:eastAsia="仿宋" w:cs="Times New Roman" w:hAnsi="Times New Roman"/>
          <w:snapToGrid w:val="0"/>
          <w:szCs w:val="32"/>
          <w:lang w:val="zh-CN"/>
        </w:rPr>
        <w:t>第三节 加强矿产资源节约与综合利用</w:t>
      </w:r>
      <w:bookmarkEnd w:id="43"/>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提高矿产资源节约与开发利用水平。</w:t>
      </w:r>
      <w:r>
        <w:rPr>
          <w:rFonts w:ascii="Times New Roman" w:eastAsia="仿宋" w:cs="Times New Roman" w:hAnsi="Times New Roman"/>
          <w:sz w:val="32"/>
          <w:szCs w:val="32"/>
          <w:lang w:val="zh-CN"/>
        </w:rPr>
        <w:t>鼓励和支持矿山企业应用、推广、开发先进适用的采选技术、工艺和设备，提升矿产资源采选水平</w:t>
      </w:r>
      <w:r>
        <w:rPr>
          <w:rFonts w:ascii="Times New Roman" w:eastAsia="仿宋" w:cs="Times New Roman" w:hAnsi="Times New Roman"/>
          <w:sz w:val="32"/>
          <w:szCs w:val="32"/>
        </w:rPr>
        <w:t>。</w:t>
      </w:r>
      <w:r>
        <w:rPr>
          <w:rFonts w:ascii="Times New Roman" w:eastAsia="仿宋" w:cs="Times New Roman" w:hAnsi="Times New Roman"/>
          <w:sz w:val="32"/>
          <w:szCs w:val="32"/>
          <w:lang w:val="zh-CN"/>
        </w:rPr>
        <w:t>重点加强金矿在开采、选矿和加工过程中对共伴生有益组份的分离提取和综合利用，力争到2025年</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三废</w:t>
      </w:r>
      <w:r>
        <w:rPr>
          <w:rFonts w:ascii="Times New Roman" w:eastAsia="仿宋" w:cs="Times New Roman" w:hAnsi="Times New Roman"/>
          <w:sz w:val="32"/>
          <w:szCs w:val="32"/>
        </w:rPr>
        <w:t>”</w:t>
      </w:r>
      <w:r>
        <w:rPr>
          <w:rFonts w:ascii="Times New Roman" w:eastAsia="仿宋" w:cs="Times New Roman" w:hAnsi="Times New Roman"/>
          <w:sz w:val="32"/>
          <w:szCs w:val="32"/>
          <w:lang w:val="zh-CN"/>
        </w:rPr>
        <w:t>排放全面达标，矿山选矿废水重复利用率达到</w:t>
      </w:r>
      <w:r>
        <w:rPr>
          <w:rFonts w:ascii="Times New Roman" w:eastAsia="仿宋" w:cs="Times New Roman" w:hAnsi="Times New Roman"/>
          <w:sz w:val="32"/>
          <w:szCs w:val="32"/>
        </w:rPr>
        <w:t>85%</w:t>
      </w:r>
      <w:r>
        <w:rPr>
          <w:rFonts w:ascii="Times New Roman" w:eastAsia="仿宋" w:cs="Times New Roman" w:hAnsi="Times New Roman"/>
          <w:sz w:val="32"/>
          <w:szCs w:val="32"/>
          <w:lang w:val="zh-CN"/>
        </w:rPr>
        <w:t>以上。</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加强准入管理和监督检查。</w:t>
      </w:r>
      <w:r>
        <w:rPr>
          <w:rFonts w:ascii="Times New Roman" w:eastAsia="仿宋" w:cs="Times New Roman" w:hAnsi="Times New Roman"/>
          <w:sz w:val="32"/>
          <w:szCs w:val="32"/>
          <w:lang w:val="zh-CN"/>
        </w:rPr>
        <w:t>建立理县矿山资源节约与综合利用的监测、监管与考核管理体系，落实自然资源主管部门监督管理职责。加强矿产资源</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三率</w:t>
      </w:r>
      <w:r>
        <w:rPr>
          <w:rFonts w:ascii="Times New Roman" w:eastAsia="仿宋" w:cs="Times New Roman" w:hAnsi="Times New Roman"/>
          <w:sz w:val="32"/>
          <w:szCs w:val="32"/>
        </w:rPr>
        <w:t>”</w:t>
      </w:r>
      <w:r>
        <w:rPr>
          <w:rFonts w:ascii="Times New Roman" w:eastAsia="仿宋" w:cs="Times New Roman" w:hAnsi="Times New Roman"/>
          <w:sz w:val="32"/>
          <w:szCs w:val="32"/>
          <w:lang w:val="zh-CN"/>
        </w:rPr>
        <w:t>水平的监督检查，引导矿山企业切实提高矿产资源采选水平，新建矿山不得采用国家限制和淘汰的采选技术、工艺和设备，达不到要求的不得颁发、延续采矿许可证。</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加强政策支持力度。</w:t>
      </w:r>
      <w:r>
        <w:rPr>
          <w:rFonts w:ascii="Times New Roman" w:eastAsia="仿宋" w:cs="Times New Roman" w:hAnsi="Times New Roman"/>
          <w:sz w:val="32"/>
          <w:szCs w:val="32"/>
          <w:lang w:val="zh-CN"/>
        </w:rPr>
        <w:t>全面落实国家鼓励、限制、淘汰的技术、工艺、设备名录制度，建立技术咨询服务制度，有效引导矿产资源节约与综合利用。实施矿产资源开发利用水平定期评估制度，综合评判矿山节约与综合利用水平。充分利用国家财税和经济政策，为资源利用效率高、技术先进、实施综合勘查开发的矿山企业提供优先供地、优先审批等优惠政策。</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rPr>
          <w:rFonts w:ascii="Times New Roman" w:eastAsia="仿宋" w:cs="Times New Roman" w:hAnsi="Times New Roman"/>
          <w:snapToGrid w:val="0"/>
          <w:szCs w:val="32"/>
        </w:rPr>
      </w:pPr>
      <w:bookmarkStart w:id="44" w:name="_Toc127347668"/>
      <w:r>
        <w:rPr>
          <w:rFonts w:ascii="Times New Roman" w:eastAsia="仿宋" w:cs="Times New Roman" w:hAnsi="Times New Roman"/>
          <w:snapToGrid w:val="0"/>
          <w:szCs w:val="32"/>
          <w:lang w:val="zh-CN"/>
        </w:rPr>
        <w:t>第四节 深化矿产资源管理改革</w:t>
      </w:r>
      <w:bookmarkEnd w:id="44"/>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完善矿业权市场制度和退出机制。</w:t>
      </w:r>
      <w:r>
        <w:rPr>
          <w:rFonts w:ascii="Times New Roman" w:eastAsia="仿宋" w:cs="Times New Roman" w:hAnsi="Times New Roman"/>
          <w:sz w:val="32"/>
          <w:szCs w:val="32"/>
          <w:lang w:val="zh-CN"/>
        </w:rPr>
        <w:t>落实矿产资源市场监测和矿业权权益金制度。建立绿色矿业发展的长效机制、矿业权人履行矿区生态修复法定义务的约束机制。矿业权人在矿产勘查</w:t>
      </w:r>
      <w:r>
        <w:rPr>
          <w:rFonts w:ascii="Times New Roman" w:eastAsia="仿宋" w:cs="Times New Roman" w:hAnsi="Times New Roman"/>
          <w:sz w:val="32"/>
          <w:szCs w:val="32"/>
        </w:rPr>
        <w:t>开发</w:t>
      </w:r>
      <w:r>
        <w:rPr>
          <w:rFonts w:ascii="Times New Roman" w:eastAsia="仿宋" w:cs="Times New Roman" w:hAnsi="Times New Roman"/>
          <w:sz w:val="32"/>
          <w:szCs w:val="32"/>
          <w:lang w:val="zh-CN"/>
        </w:rPr>
        <w:t>活动中未达到合同约定目标，不予同意出让或延续；矿权有效期届满，矿业权人既不申请延续，也不申请注销的，</w:t>
      </w:r>
      <w:r>
        <w:rPr>
          <w:rFonts w:ascii="Times New Roman" w:eastAsia="仿宋" w:cs="Times New Roman" w:hAnsi="Times New Roman"/>
          <w:sz w:val="32"/>
          <w:szCs w:val="32"/>
        </w:rPr>
        <w:t>按规定</w:t>
      </w:r>
      <w:r>
        <w:rPr>
          <w:rFonts w:ascii="Times New Roman" w:eastAsia="仿宋" w:cs="Times New Roman" w:hAnsi="Times New Roman"/>
          <w:sz w:val="32"/>
          <w:szCs w:val="32"/>
          <w:lang w:val="zh-CN"/>
        </w:rPr>
        <w:t>依法公告并报请登记机关注销</w:t>
      </w:r>
      <w:r>
        <w:rPr>
          <w:rFonts w:ascii="Times New Roman" w:eastAsia="仿宋" w:cs="Times New Roman" w:hAnsi="Times New Roman"/>
          <w:sz w:val="32"/>
          <w:szCs w:val="32"/>
        </w:rPr>
        <w:t>勘查（开采）许可证</w:t>
      </w:r>
      <w:r>
        <w:rPr>
          <w:rFonts w:ascii="Times New Roman" w:eastAsia="仿宋" w:cs="Times New Roman" w:hAnsi="Times New Roman"/>
          <w:sz w:val="32"/>
          <w:szCs w:val="32"/>
          <w:lang w:val="zh-CN"/>
        </w:rPr>
        <w:t>。</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鼓励社会资本投资矿产勘查。</w:t>
      </w:r>
      <w:r>
        <w:rPr>
          <w:rFonts w:ascii="Times New Roman" w:eastAsia="仿宋" w:cs="Times New Roman" w:hAnsi="Times New Roman"/>
          <w:sz w:val="32"/>
          <w:szCs w:val="32"/>
          <w:lang w:val="zh-CN"/>
        </w:rPr>
        <w:t>进一步开放矿产勘查市场，鼓励、支持和引导社会资本投入地质勘查工作，积极推进资本和矿产资源开发的有机结合，形成多渠道矿产勘查投入新机制。大力探索地热等具有旅游资源属性的矿产与土地出让相结合的出让新模式。</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保障矿业权人合法权益。</w:t>
      </w:r>
      <w:r>
        <w:rPr>
          <w:rFonts w:ascii="Times New Roman" w:eastAsia="仿宋" w:cs="Times New Roman" w:hAnsi="Times New Roman"/>
          <w:sz w:val="32"/>
          <w:szCs w:val="32"/>
          <w:lang w:val="zh-CN"/>
        </w:rPr>
        <w:t>矿业权人在划定的矿区范围内依法勘查开采矿产资源，任何单位和个人不得侵占其矿区范围、影响矿业权人合法生产作业活动。政府各有关部门、当地乡（镇）政府和群众应积极支持矿业权人合法的生产作业活动，依法保护矿业权人的合法权益。</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优化收益共享分配机制，高质量服务地方经济发展。</w:t>
      </w:r>
      <w:r>
        <w:rPr>
          <w:rFonts w:ascii="Times New Roman" w:eastAsia="仿宋" w:cs="Times New Roman" w:hAnsi="Times New Roman"/>
          <w:sz w:val="32"/>
          <w:szCs w:val="32"/>
          <w:lang w:val="zh-CN"/>
        </w:rPr>
        <w:t>完善地热等资源开发利用的利益共享机制，积极发展与地热开发相辅相成的旅游业、餐饮业等产业，提升当地群众经济收入空间。</w:t>
      </w:r>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深化地矿信用体系建设。</w:t>
      </w:r>
      <w:r>
        <w:rPr>
          <w:rFonts w:ascii="Times New Roman" w:eastAsia="仿宋" w:cs="Times New Roman" w:hAnsi="Times New Roman"/>
          <w:sz w:val="32"/>
          <w:szCs w:val="32"/>
          <w:lang w:val="zh-CN"/>
        </w:rPr>
        <w:t>全面落实地勘行业诚信政策体系建设任务，充分发挥政策对地勘行业诚信建设的保障作用。汇聚整合我县地质勘查、矿产开发利用、矿山地质环境与矿山地质灾害防治等各类数据，全面建立内容全面、标准统一的</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一矿一档</w:t>
      </w:r>
      <w:r>
        <w:rPr>
          <w:rFonts w:ascii="Times New Roman" w:eastAsia="仿宋" w:cs="Times New Roman" w:hAnsi="Times New Roman"/>
          <w:sz w:val="32"/>
          <w:szCs w:val="32"/>
        </w:rPr>
        <w:t>”</w:t>
      </w:r>
      <w:r>
        <w:rPr>
          <w:rFonts w:ascii="Times New Roman" w:eastAsia="仿宋" w:cs="Times New Roman" w:hAnsi="Times New Roman"/>
          <w:sz w:val="32"/>
          <w:szCs w:val="32"/>
          <w:lang w:val="zh-CN"/>
        </w:rPr>
        <w:t>信息体系。以信息化促进矿产规划管理的科学化、规范化。充分利用政务网、局域网，实现矿业信息的共享和动态管理机制。</w:t>
      </w:r>
      <w:bookmarkStart w:id="45" w:name="_Toc61214279"/>
    </w:p>
    <w:p>
      <w:pPr>
        <w:pageBreakBefore w:val="0"/>
        <w:widowControl w:val="0"/>
        <w:kinsoku/>
        <w:wordWrap/>
        <w:overflowPunct/>
        <w:topLinePunct w:val="0"/>
        <w:autoSpaceDE w:val="0"/>
        <w:autoSpaceDN w:val="0"/>
        <w:bidi w:val="0"/>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严格矿业权出让合同管理。</w:t>
      </w:r>
      <w:r>
        <w:rPr>
          <w:rFonts w:ascii="Times New Roman" w:eastAsia="仿宋" w:cs="Times New Roman" w:hAnsi="Times New Roman"/>
          <w:sz w:val="32"/>
          <w:szCs w:val="32"/>
          <w:lang w:val="zh-CN"/>
        </w:rPr>
        <w:t>根据采矿权出让合同，明确矿山开发方式、资源利用、矿容矿貌、矿山生态环境恢复治理、土地复垦等相关要求，对未履行采矿权出让合同中绿色矿山建设任务的新建矿山企业，追究相关违约责任。</w:t>
      </w:r>
    </w:p>
    <w:p>
      <w:pPr>
        <w:pStyle w:val="16"/>
        <w:pageBreakBefore w:val="0"/>
        <w:widowControl w:val="0"/>
        <w:kinsoku/>
        <w:wordWrap/>
        <w:overflowPunct/>
        <w:topLinePunct w:val="0"/>
        <w:bidi w:val="0"/>
        <w:spacing w:after="0" w:line="576" w:lineRule="exact"/>
        <w:ind w:leftChars="0" w:left="0" w:right="0"/>
        <w:rPr>
          <w:rFonts w:ascii="Times New Roman" w:eastAsia="仿宋" w:cs="Times New Roman" w:hAnsi="Times New Roman"/>
        </w:rPr>
        <w:sectPr>
          <w:pgSz w:w="11906" w:h="16838"/>
          <w:pgMar w:top="1800" w:right="1440" w:bottom="1800" w:left="1440" w:header="720" w:footer="720" w:gutter="0"/>
          <w:pgNumType w:fmt="numberInDash"/>
          <w:docGrid w:type="lines" w:linePitch="312" w:charSpace="0"/>
        </w:sectPr>
      </w:pPr>
    </w:p>
    <w:p>
      <w:pPr>
        <w:pStyle w:val="1"/>
        <w:keepNext/>
        <w:keepLines/>
        <w:pageBreakBefore w:val="0"/>
        <w:widowControl w:val="0"/>
        <w:kinsoku/>
        <w:wordWrap/>
        <w:overflowPunct/>
        <w:topLinePunct w:val="0"/>
        <w:bidi w:val="0"/>
        <w:adjustRightInd/>
        <w:snapToGrid/>
        <w:spacing w:beforeLines="0" w:before="0" w:afterLines="0" w:after="0" w:line="576" w:lineRule="exact"/>
        <w:ind w:left="0" w:right="0"/>
        <w:rPr>
          <w:rFonts w:ascii="Times New Roman" w:eastAsia="仿宋" w:cs="Times New Roman" w:hAnsi="Times New Roman"/>
          <w:sz w:val="36"/>
        </w:rPr>
      </w:pPr>
      <w:bookmarkStart w:id="46" w:name="_Toc127347669"/>
      <w:r>
        <w:rPr>
          <w:rFonts w:ascii="Times New Roman" w:eastAsia="仿宋" w:cs="Times New Roman" w:hAnsi="Times New Roman"/>
          <w:sz w:val="36"/>
        </w:rPr>
        <w:t>第五章 加快推进绿色矿业发展 促进矿业转型升级</w:t>
      </w:r>
      <w:bookmarkEnd w:id="45"/>
      <w:bookmarkEnd w:id="46"/>
    </w:p>
    <w:p>
      <w:pPr>
        <w:pStyle w:val="2"/>
        <w:keepNext/>
        <w:keepLines/>
        <w:pageBreakBefore w:val="0"/>
        <w:widowControl w:val="0"/>
        <w:kinsoku/>
        <w:wordWrap/>
        <w:overflowPunct/>
        <w:topLinePunct w:val="0"/>
        <w:bidi w:val="0"/>
        <w:adjustRightInd/>
        <w:snapToGrid/>
        <w:spacing w:beforeLines="0" w:before="0" w:afterLines="0" w:after="0" w:line="576" w:lineRule="exact"/>
        <w:ind w:leftChars="0" w:left="0" w:rightChars="0" w:right="0"/>
        <w:rPr>
          <w:rFonts w:ascii="Times New Roman" w:eastAsia="仿宋" w:cs="Times New Roman" w:hAnsi="Times New Roman"/>
          <w:snapToGrid w:val="0"/>
        </w:rPr>
      </w:pPr>
      <w:bookmarkStart w:id="47" w:name="_Toc61214280"/>
      <w:bookmarkStart w:id="48" w:name="_Toc127347670"/>
      <w:r>
        <w:rPr>
          <w:rFonts w:ascii="Times New Roman" w:eastAsia="仿宋" w:cs="Times New Roman" w:hAnsi="Times New Roman"/>
          <w:snapToGrid w:val="0"/>
        </w:rPr>
        <w:t xml:space="preserve">第一节 </w:t>
      </w:r>
      <w:bookmarkEnd w:id="47"/>
      <w:r>
        <w:rPr>
          <w:rFonts w:ascii="Times New Roman" w:eastAsia="仿宋" w:cs="Times New Roman" w:hAnsi="Times New Roman"/>
          <w:snapToGrid w:val="0"/>
          <w:lang w:val="zh-CN"/>
        </w:rPr>
        <w:t>严格绿色勘查要求</w:t>
      </w:r>
      <w:bookmarkEnd w:id="48"/>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勘查实施单位必须满足《绿色勘查指南》、《绿色地质勘查工作规范》（</w:t>
      </w:r>
      <w:r>
        <w:rPr>
          <w:rFonts w:ascii="Times New Roman" w:eastAsia="仿宋" w:cs="Times New Roman" w:hAnsi="Times New Roman"/>
          <w:sz w:val="32"/>
          <w:szCs w:val="32"/>
        </w:rPr>
        <w:t>DZ/T0374-2021</w:t>
      </w:r>
      <w:r>
        <w:rPr>
          <w:rFonts w:ascii="Times New Roman" w:eastAsia="仿宋" w:cs="Times New Roman" w:hAnsi="Times New Roman"/>
          <w:sz w:val="32"/>
          <w:szCs w:val="32"/>
          <w:lang w:val="zh-CN"/>
        </w:rPr>
        <w:t>）等文件要求，鼓励勘查单位和探矿权人使用遥感、物探等新技术，新方法进行勘查工作。申报为绿色勘查示范项目的，在土地使用和税费优惠等政策上依法给予倾斜。到</w:t>
      </w:r>
      <w:r>
        <w:rPr>
          <w:rFonts w:ascii="Times New Roman" w:eastAsia="仿宋" w:cs="Times New Roman" w:hAnsi="Times New Roman"/>
          <w:sz w:val="32"/>
          <w:szCs w:val="32"/>
        </w:rPr>
        <w:t>2025年底，县域内勘查活动全部达到绿色勘查标准</w:t>
      </w:r>
      <w:r>
        <w:rPr>
          <w:rFonts w:ascii="Times New Roman" w:eastAsia="仿宋" w:cs="Times New Roman" w:hAnsi="Times New Roman"/>
          <w:sz w:val="32"/>
          <w:szCs w:val="32"/>
          <w:lang w:val="zh-CN"/>
        </w:rPr>
        <w:t>。</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坚持推行绿色勘查新技术和新理念。</w:t>
      </w:r>
      <w:r>
        <w:rPr>
          <w:rFonts w:ascii="Times New Roman" w:eastAsia="仿宋" w:cs="Times New Roman" w:hAnsi="Times New Roman"/>
          <w:sz w:val="32"/>
          <w:szCs w:val="32"/>
          <w:lang w:val="zh-CN"/>
        </w:rPr>
        <w:t>鼓励勘查从业单位采用物探、化探、遥感等绿色勘查手段，限制采用对地表环境影响大的槽探等勘查手段，最大限度地避免或减轻勘查活动对生态环境的影响。加强对在我县境内从事地质勘查活动的地勘从业人员进行绿色勘查的宣传和教育。坚持</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生态保护第一，尊重群众意愿</w:t>
      </w:r>
      <w:r>
        <w:rPr>
          <w:rFonts w:ascii="Times New Roman" w:eastAsia="仿宋" w:cs="Times New Roman" w:hAnsi="Times New Roman"/>
          <w:sz w:val="32"/>
          <w:szCs w:val="32"/>
        </w:rPr>
        <w:t>”</w:t>
      </w:r>
      <w:r>
        <w:rPr>
          <w:rFonts w:ascii="Times New Roman" w:eastAsia="仿宋" w:cs="Times New Roman" w:hAnsi="Times New Roman"/>
          <w:sz w:val="32"/>
          <w:szCs w:val="32"/>
          <w:lang w:val="zh-CN"/>
        </w:rPr>
        <w:t>、</w:t>
      </w:r>
      <w:r>
        <w:rPr>
          <w:rFonts w:ascii="Times New Roman" w:eastAsia="仿宋" w:cs="Times New Roman" w:hAnsi="Times New Roman"/>
          <w:sz w:val="32"/>
          <w:szCs w:val="32"/>
        </w:rPr>
        <w:t>“</w:t>
      </w:r>
      <w:r>
        <w:rPr>
          <w:rFonts w:ascii="Times New Roman" w:eastAsia="仿宋" w:cs="Times New Roman" w:hAnsi="Times New Roman"/>
          <w:sz w:val="32"/>
          <w:szCs w:val="32"/>
          <w:lang w:val="zh-CN"/>
        </w:rPr>
        <w:t>共抓大保护，实现绿色可持续发展</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等原则。勘查作业单位和人员要尊重地方民俗，构建和谐绿色勘查氛围，统筹兼顾勘查效益、生态环境效益和社会效益。</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推行各级绿色勘查示范项目。</w:t>
      </w:r>
      <w:r>
        <w:rPr>
          <w:rFonts w:ascii="Times New Roman" w:eastAsia="仿宋" w:cs="Times New Roman" w:hAnsi="Times New Roman"/>
          <w:sz w:val="32"/>
          <w:szCs w:val="32"/>
          <w:lang w:val="zh-CN"/>
        </w:rPr>
        <w:t>积极推进县级绿色勘查示范项目的试点工作，结合勘查作业区的资源禀赋和外部环境特点，以依法勘查为前提，以高效勘查和生态修复为重点，创新和推广先进适用的绿色勘查方法，严格落实勘查施工生态环境保护措施，积极争取财政资金和社会资金对绿色勘查的支持。</w:t>
      </w:r>
    </w:p>
    <w:p>
      <w:pPr>
        <w:pStyle w:val="2"/>
        <w:keepNext/>
        <w:keepLines/>
        <w:pageBreakBefore w:val="0"/>
        <w:widowControl w:val="0"/>
        <w:kinsoku/>
        <w:wordWrap/>
        <w:overflowPunct/>
        <w:topLinePunct w:val="0"/>
        <w:bidi w:val="0"/>
        <w:adjustRightInd/>
        <w:snapToGrid/>
        <w:spacing w:beforeLines="0" w:before="0" w:afterLines="0" w:after="0" w:line="576" w:lineRule="exact"/>
        <w:ind w:leftChars="0" w:left="0" w:rightChars="0" w:right="0"/>
        <w:rPr>
          <w:rFonts w:ascii="Times New Roman" w:eastAsia="仿宋" w:cs="Times New Roman" w:hAnsi="Times New Roman"/>
          <w:snapToGrid w:val="0"/>
          <w:szCs w:val="32"/>
        </w:rPr>
      </w:pPr>
      <w:bookmarkStart w:id="49" w:name="_Toc127347671"/>
      <w:r>
        <w:rPr>
          <w:rFonts w:ascii="Times New Roman" w:eastAsia="仿宋" w:cs="Times New Roman" w:hAnsi="Times New Roman"/>
          <w:snapToGrid w:val="0"/>
          <w:szCs w:val="32"/>
          <w:lang w:val="zh-CN"/>
        </w:rPr>
        <w:t>第二节 加快推进绿色矿山建设</w:t>
      </w:r>
      <w:bookmarkEnd w:id="49"/>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rPr>
        <w:t>发展绿色矿业，建设绿色矿山，是落实生态文明建设要求的必然要求，转变矿业发展方式，落实企业责任、加强行业自律、保证矿业健康发展的重要手段。贯彻落实上级规划关于绿色矿山建设相关要求，做好矿山生态修复工作，积极推进历史遗留废弃矿山的生态修复工作，切实筑牢长江上游生态屏障。</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落实矿山绿色矿山建设要求。</w:t>
      </w:r>
      <w:r>
        <w:rPr>
          <w:rFonts w:ascii="Times New Roman" w:eastAsia="仿宋" w:cs="Times New Roman" w:hAnsi="Times New Roman"/>
          <w:sz w:val="32"/>
          <w:szCs w:val="32"/>
        </w:rPr>
        <w:t>以省市绿色矿山建设标准为指导，严格执行矿产资源开发利用相关法律法规，在建矿山企业严格执行绿色矿山建设规范。严格把关矿山地质环境治理恢复与土地复垦方案，新建矿山切实做好资源开发利用方案、矿山地质环境治理恢复和土地复垦方案相关工作。</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建立绿色矿山监督检查制度。</w:t>
      </w:r>
      <w:r>
        <w:rPr>
          <w:rFonts w:ascii="Times New Roman" w:eastAsia="仿宋" w:cs="Times New Roman" w:hAnsi="Times New Roman"/>
          <w:sz w:val="32"/>
          <w:szCs w:val="32"/>
          <w:lang w:val="zh-CN"/>
        </w:rPr>
        <w:t>依法对矿山企业进行定期和不定期检查，对未按要求完成绿色矿山建设任务的以及绿色矿山建设任务完成后质量有所下降的矿山企业，要督促企业在规定期限内完成整改。整改不合格的，依法依规予以处理。</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夯实矿山企业作为绿色矿山建设主体的责任。</w:t>
      </w:r>
      <w:r>
        <w:rPr>
          <w:rFonts w:ascii="Times New Roman" w:eastAsia="仿宋" w:cs="Times New Roman" w:hAnsi="Times New Roman"/>
          <w:sz w:val="32"/>
          <w:szCs w:val="32"/>
          <w:lang w:val="zh-CN"/>
        </w:rPr>
        <w:t>督促矿山企业改善矿区环境，建设</w:t>
      </w:r>
      <w:r>
        <w:rPr>
          <w:rFonts w:ascii="Times New Roman" w:eastAsia="仿宋" w:cs="Times New Roman" w:hAnsi="Times New Roman"/>
          <w:sz w:val="32"/>
          <w:szCs w:val="32"/>
        </w:rPr>
        <w:t>“</w:t>
      </w:r>
      <w:r>
        <w:rPr>
          <w:rFonts w:ascii="Times New Roman" w:eastAsia="仿宋" w:cs="Times New Roman" w:hAnsi="Times New Roman"/>
          <w:sz w:val="32"/>
          <w:szCs w:val="32"/>
          <w:lang w:val="zh-CN"/>
        </w:rPr>
        <w:t>花园式</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矿山，实现矿区环境天蓝、地绿、水净。鼓励企业采用科学合理的开采方法，推广先进、高效的选矿方法，切实履行矿山地质环境治理恢复与土地复垦义务，确保矿区环境得到及时治理和恢复。确保“三废”达标排放。鼓励企业建设安全监测系统平台，废气、废水污染控制系统在线监测平台，提升企业管理水平，夯实企业建设绿色矿山的责任。</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营造良好的政策环境。</w:t>
      </w:r>
      <w:r>
        <w:rPr>
          <w:rFonts w:ascii="Times New Roman" w:eastAsia="仿宋" w:cs="Times New Roman" w:hAnsi="Times New Roman"/>
          <w:sz w:val="32"/>
          <w:szCs w:val="32"/>
          <w:lang w:val="zh-CN"/>
        </w:rPr>
        <w:t>充分运用经济、行政等多种手段，全面落实资源综合利用、地质环境保护、节能减排等相关优惠政策，调动企业建设绿色矿山的积极性，大力推动绿色矿山建设。</w:t>
      </w:r>
    </w:p>
    <w:p>
      <w:pPr>
        <w:pStyle w:val="2"/>
        <w:keepNext/>
        <w:keepLines/>
        <w:pageBreakBefore w:val="0"/>
        <w:widowControl w:val="0"/>
        <w:kinsoku/>
        <w:wordWrap/>
        <w:overflowPunct/>
        <w:topLinePunct w:val="0"/>
        <w:bidi w:val="0"/>
        <w:adjustRightInd/>
        <w:snapToGrid/>
        <w:spacing w:beforeLines="0" w:before="0" w:afterLines="0" w:after="0" w:line="576" w:lineRule="exact"/>
        <w:ind w:leftChars="0" w:left="0" w:rightChars="0" w:right="0"/>
        <w:rPr>
          <w:rFonts w:ascii="Times New Roman" w:eastAsia="仿宋" w:cs="Times New Roman" w:hAnsi="Times New Roman"/>
          <w:snapToGrid w:val="0"/>
        </w:rPr>
      </w:pPr>
      <w:bookmarkStart w:id="50" w:name="_Toc127347672"/>
      <w:r>
        <w:rPr>
          <w:rFonts w:ascii="Times New Roman" w:eastAsia="仿宋" w:cs="Times New Roman" w:hAnsi="Times New Roman"/>
          <w:snapToGrid w:val="0"/>
          <w:lang w:val="zh-CN"/>
        </w:rPr>
        <w:t>第三节 加强</w:t>
      </w:r>
      <w:bookmarkStart w:id="51" w:name="_Hlk127540778"/>
      <w:r>
        <w:rPr>
          <w:rFonts w:ascii="Times New Roman" w:eastAsia="仿宋" w:cs="Times New Roman" w:hAnsi="Times New Roman"/>
          <w:snapToGrid w:val="0"/>
          <w:lang w:val="zh-CN"/>
        </w:rPr>
        <w:t>废弃矿山生态保护修复</w:t>
      </w:r>
      <w:bookmarkEnd w:id="50"/>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bookmarkEnd w:id="51"/>
      <w:r>
        <w:rPr>
          <w:rFonts w:ascii="Times New Roman" w:eastAsia="仿宋" w:cs="Times New Roman" w:hAnsi="Times New Roman"/>
          <w:b/>
          <w:sz w:val="32"/>
          <w:szCs w:val="32"/>
          <w:lang w:val="zh-CN"/>
        </w:rPr>
        <w:t>全面推行</w:t>
      </w:r>
      <w:r>
        <w:rPr>
          <w:rFonts w:ascii="Times New Roman" w:eastAsia="仿宋" w:cs="Times New Roman" w:hAnsi="Times New Roman"/>
          <w:b/>
          <w:sz w:val="32"/>
          <w:szCs w:val="32"/>
        </w:rPr>
        <w:t>“</w:t>
      </w:r>
      <w:r>
        <w:rPr>
          <w:rFonts w:ascii="Times New Roman" w:eastAsia="仿宋" w:cs="Times New Roman" w:hAnsi="Times New Roman"/>
          <w:b/>
          <w:sz w:val="32"/>
          <w:szCs w:val="32"/>
          <w:lang w:val="zh-CN"/>
        </w:rPr>
        <w:t>边开采边治理</w:t>
      </w:r>
      <w:r>
        <w:rPr>
          <w:rFonts w:ascii="Times New Roman" w:eastAsia="仿宋" w:cs="Times New Roman" w:hAnsi="Times New Roman"/>
          <w:b/>
          <w:sz w:val="32"/>
          <w:szCs w:val="32"/>
        </w:rPr>
        <w:t>”</w:t>
      </w:r>
      <w:r>
        <w:rPr>
          <w:rFonts w:ascii="Times New Roman" w:eastAsia="仿宋" w:cs="Times New Roman" w:hAnsi="Times New Roman"/>
          <w:b/>
          <w:sz w:val="32"/>
          <w:szCs w:val="32"/>
          <w:lang w:val="zh-CN"/>
        </w:rPr>
        <w:t>要求。</w:t>
      </w:r>
      <w:r>
        <w:rPr>
          <w:rFonts w:ascii="Times New Roman" w:eastAsia="仿宋" w:cs="Times New Roman" w:hAnsi="Times New Roman"/>
          <w:sz w:val="32"/>
          <w:szCs w:val="32"/>
          <w:lang w:val="zh-CN"/>
        </w:rPr>
        <w:t>压实企业主体责任，按照</w:t>
      </w:r>
      <w:r>
        <w:rPr>
          <w:rFonts w:ascii="Times New Roman" w:eastAsia="仿宋" w:cs="Times New Roman" w:hAnsi="Times New Roman"/>
          <w:sz w:val="32"/>
          <w:szCs w:val="32"/>
        </w:rPr>
        <w:t>“</w:t>
      </w:r>
      <w:r>
        <w:rPr>
          <w:rFonts w:ascii="Times New Roman" w:eastAsia="仿宋" w:cs="Times New Roman" w:hAnsi="Times New Roman"/>
          <w:sz w:val="32"/>
          <w:szCs w:val="32"/>
          <w:lang w:val="zh-CN"/>
        </w:rPr>
        <w:t>谁污染、谁治理，谁破坏、谁恢复，谁受益、谁补偿</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的原则，要求企业建立健全矿山全生命周期、全矿区、全环节的生态保护与治理恢复机制，及时对损毁土地和闲置土地进行治理恢复</w:t>
      </w:r>
      <w:r>
        <w:rPr>
          <w:rFonts w:ascii="Times New Roman" w:eastAsia="仿宋" w:cs="Times New Roman" w:hAnsi="Times New Roman"/>
          <w:sz w:val="32"/>
          <w:szCs w:val="32"/>
        </w:rPr>
        <w:t>。</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落实矿山生态环境保护与土地复垦责任。</w:t>
      </w:r>
      <w:r>
        <w:rPr>
          <w:rFonts w:ascii="Times New Roman" w:eastAsia="仿宋" w:cs="Times New Roman" w:hAnsi="Times New Roman"/>
          <w:sz w:val="32"/>
          <w:szCs w:val="32"/>
          <w:lang w:val="zh-CN"/>
        </w:rPr>
        <w:t>严格矿业权出让合同管理，对未按合同约定履行矿山生态环境保护责任的，按合同约定追究违约责任。加强矿山生态环境保护与土地复垦基金管理。强化矿山生态环境保护全过程监管，对拒不履行治理恢复义务、严重破坏生态环境的，依法依规严肃处理。健全矿山生态环境治理恢复与土地复垦验收制度，确保闭坑一处、治理一处、验收一处。</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实行生态修复分类管理。</w:t>
      </w:r>
      <w:r>
        <w:rPr>
          <w:rFonts w:ascii="Times New Roman" w:eastAsia="仿宋" w:cs="Times New Roman" w:hAnsi="Times New Roman"/>
          <w:sz w:val="32"/>
          <w:szCs w:val="32"/>
          <w:lang w:val="zh-CN"/>
        </w:rPr>
        <w:t>按照</w:t>
      </w:r>
      <w:r>
        <w:rPr>
          <w:rFonts w:ascii="Times New Roman" w:eastAsia="仿宋" w:cs="Times New Roman" w:hAnsi="Times New Roman"/>
          <w:sz w:val="32"/>
          <w:szCs w:val="32"/>
        </w:rPr>
        <w:t>“</w:t>
      </w:r>
      <w:r>
        <w:rPr>
          <w:rFonts w:ascii="Times New Roman" w:eastAsia="仿宋" w:cs="Times New Roman" w:hAnsi="Times New Roman"/>
          <w:sz w:val="32"/>
          <w:szCs w:val="32"/>
          <w:lang w:val="zh-CN"/>
        </w:rPr>
        <w:t>谁破坏，谁治理</w:t>
      </w:r>
      <w:r>
        <w:rPr>
          <w:rFonts w:ascii="Times New Roman" w:eastAsia="仿宋" w:cs="Times New Roman" w:hAnsi="Times New Roman"/>
          <w:sz w:val="32"/>
          <w:szCs w:val="32"/>
        </w:rPr>
        <w:t>”</w:t>
      </w:r>
      <w:r>
        <w:rPr>
          <w:rFonts w:ascii="Times New Roman" w:eastAsia="仿宋" w:cs="Times New Roman" w:hAnsi="Times New Roman"/>
          <w:sz w:val="32"/>
          <w:szCs w:val="32"/>
          <w:lang w:val="zh-CN"/>
        </w:rPr>
        <w:t>的原则，及时足额缴纳矿山地质环境恢复基金，根据矿山地质环境恢复治理方案和土地复垦方案及时对矿区进行生态修复。对历史遗留矿山，构建政府主导，政策扶持、社会参与、开发式治理、市场化运作的治理新模式，着力解决严重影响人居环境、工农业生产、城市发展的矿山地质环境突出问题。</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推行自然生态治理修复方案。</w:t>
      </w:r>
      <w:r>
        <w:rPr>
          <w:rFonts w:ascii="Times New Roman" w:eastAsia="仿宋" w:cs="Times New Roman" w:hAnsi="Times New Roman"/>
          <w:sz w:val="32"/>
          <w:szCs w:val="32"/>
          <w:lang w:val="zh-CN"/>
        </w:rPr>
        <w:t>鼓励矿山企业加强和改进矿山地质环境保护和土地复垦的生物技术和系统工程应用，提高矿山生态系统自我修复能力；做到矿山地质环境保护和土地复垦与生态恢复、景观建设以及社会经济可持续发展相结合，修复后景观与当地自然环境相协调。</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bCs/>
          <w:snapToGrid w:val="0"/>
          <w:kern w:val="0"/>
          <w:sz w:val="32"/>
          <w:szCs w:val="32"/>
        </w:rPr>
        <w:sectPr>
          <w:pgSz w:w="11906" w:h="16838"/>
          <w:pgMar w:top="1800" w:right="1440" w:bottom="1800" w:left="1440" w:header="720" w:footer="720" w:gutter="0"/>
          <w:pgNumType w:fmt="numberInDash"/>
          <w:docGrid w:type="lines" w:linePitch="312" w:charSpace="0"/>
        </w:sectPr>
      </w:pPr>
      <w:r>
        <w:rPr>
          <w:rFonts w:ascii="Times New Roman" w:eastAsia="仿宋" w:cs="Times New Roman" w:hAnsi="Times New Roman"/>
          <w:b/>
          <w:sz w:val="32"/>
          <w:szCs w:val="32"/>
          <w:lang w:val="zh-CN"/>
        </w:rPr>
        <w:t>落实杂谷脑河流域历史遗留矿山生态修复工作。</w:t>
      </w:r>
      <w:r>
        <w:rPr>
          <w:rFonts w:ascii="Times New Roman" w:eastAsia="仿宋" w:cs="Times New Roman" w:hAnsi="Times New Roman"/>
          <w:sz w:val="32"/>
          <w:szCs w:val="32"/>
          <w:lang w:val="zh-CN"/>
        </w:rPr>
        <w:t>进一步加快历史遗留矿山地质环境问题解决步伐。</w:t>
      </w:r>
      <w:r>
        <w:rPr>
          <w:rFonts w:ascii="Times New Roman" w:eastAsia="仿宋" w:cs="Times New Roman" w:hAnsi="Times New Roman"/>
          <w:sz w:val="32"/>
          <w:szCs w:val="32"/>
        </w:rPr>
        <w:t>根据我县矿产资源开发利用现状，</w:t>
      </w:r>
      <w:r>
        <w:rPr>
          <w:rFonts w:ascii="Times New Roman" w:eastAsia="仿宋" w:cs="Times New Roman" w:hAnsi="Times New Roman"/>
          <w:bCs/>
          <w:snapToGrid w:val="0"/>
          <w:kern w:val="0"/>
          <w:sz w:val="32"/>
          <w:szCs w:val="32"/>
        </w:rPr>
        <w:t>沿</w:t>
      </w:r>
      <w:r>
        <w:rPr>
          <w:rFonts w:ascii="Times New Roman" w:eastAsia="仿宋" w:cs="Times New Roman" w:hAnsi="Times New Roman"/>
          <w:sz w:val="32"/>
          <w:szCs w:val="32"/>
        </w:rPr>
        <w:t>杂谷脑河流域</w:t>
      </w:r>
      <w:r>
        <w:rPr>
          <w:rFonts w:ascii="Times New Roman" w:eastAsia="仿宋" w:cs="Times New Roman" w:hAnsi="Times New Roman"/>
          <w:bCs/>
          <w:snapToGrid w:val="0"/>
          <w:kern w:val="0"/>
          <w:sz w:val="32"/>
          <w:szCs w:val="32"/>
        </w:rPr>
        <w:t>干流、通化乡、朴头镇、古尔沟镇等地的废弃矿山完成生态修复工作。历史遗留废弃矿山以</w:t>
      </w:r>
      <w:bookmarkStart w:id="52" w:name="_Hlk127539382"/>
      <w:r>
        <w:rPr>
          <w:rFonts w:ascii="Times New Roman" w:eastAsia="仿宋" w:cs="Times New Roman" w:hAnsi="Times New Roman"/>
          <w:bCs/>
          <w:snapToGrid w:val="0"/>
          <w:kern w:val="0"/>
          <w:sz w:val="32"/>
          <w:szCs w:val="32"/>
        </w:rPr>
        <w:t>废弃采沙场堆料场、废弃砖厂</w:t>
      </w:r>
      <w:bookmarkEnd w:id="52"/>
      <w:r>
        <w:rPr>
          <w:rFonts w:ascii="Times New Roman" w:eastAsia="仿宋" w:cs="Times New Roman" w:hAnsi="Times New Roman"/>
          <w:bCs/>
          <w:snapToGrid w:val="0"/>
          <w:kern w:val="0"/>
          <w:sz w:val="32"/>
          <w:szCs w:val="32"/>
        </w:rPr>
        <w:t>为主，开展土地恢复、地貌景观恢复、地面塌陷、滑坡、泥石流治理与矿山复绿等任务。到2025年完成历史遗留矿山生态综合治理面积0.5km</w:t>
      </w:r>
      <w:r>
        <w:rPr>
          <w:rFonts w:ascii="Times New Roman" w:eastAsia="仿宋" w:cs="Times New Roman" w:hAnsi="Times New Roman"/>
          <w:bCs/>
          <w:snapToGrid w:val="0"/>
          <w:kern w:val="0"/>
          <w:sz w:val="32"/>
          <w:szCs w:val="32"/>
          <w:vertAlign w:val="superscript"/>
        </w:rPr>
        <w:t>2</w:t>
      </w:r>
      <w:r>
        <w:rPr>
          <w:rFonts w:ascii="Times New Roman" w:eastAsia="仿宋" w:cs="Times New Roman" w:hAnsi="Times New Roman"/>
          <w:bCs/>
          <w:snapToGrid w:val="0"/>
          <w:kern w:val="0"/>
          <w:sz w:val="32"/>
          <w:szCs w:val="32"/>
        </w:rPr>
        <w:t>，到2035年完成历史遗留矿山生态综合治理面积0.8km</w:t>
      </w:r>
      <w:r>
        <w:rPr>
          <w:rFonts w:ascii="Times New Roman" w:eastAsia="仿宋" w:cs="Times New Roman" w:hAnsi="Times New Roman"/>
          <w:bCs/>
          <w:snapToGrid w:val="0"/>
          <w:kern w:val="0"/>
          <w:sz w:val="32"/>
          <w:szCs w:val="32"/>
          <w:vertAlign w:val="superscript"/>
        </w:rPr>
        <w:t>2</w:t>
      </w:r>
      <w:r>
        <w:rPr>
          <w:rFonts w:ascii="Times New Roman" w:eastAsia="仿宋" w:cs="Times New Roman" w:hAnsi="Times New Roman"/>
          <w:bCs/>
          <w:snapToGrid w:val="0"/>
          <w:kern w:val="0"/>
          <w:sz w:val="32"/>
          <w:szCs w:val="32"/>
        </w:rPr>
        <w:t>。</w:t>
      </w:r>
    </w:p>
    <w:p>
      <w:pPr>
        <w:pStyle w:val="1"/>
        <w:keepNext/>
        <w:keepLines/>
        <w:pageBreakBefore w:val="0"/>
        <w:widowControl w:val="0"/>
        <w:kinsoku/>
        <w:wordWrap/>
        <w:overflowPunct/>
        <w:topLinePunct w:val="0"/>
        <w:bidi w:val="0"/>
        <w:adjustRightInd/>
        <w:snapToGrid/>
        <w:spacing w:beforeLines="0" w:before="0" w:afterLines="0" w:after="0" w:line="576" w:lineRule="exact"/>
        <w:ind w:left="0" w:right="0"/>
        <w:rPr>
          <w:rFonts w:ascii="Times New Roman" w:eastAsia="仿宋" w:cs="Times New Roman" w:hAnsi="Times New Roman"/>
          <w:sz w:val="36"/>
        </w:rPr>
      </w:pPr>
      <w:bookmarkStart w:id="53" w:name="_Toc127347673"/>
      <w:r>
        <w:rPr>
          <w:rFonts w:ascii="Times New Roman" w:eastAsia="仿宋" w:cs="Times New Roman" w:hAnsi="Times New Roman"/>
          <w:sz w:val="36"/>
        </w:rPr>
        <w:t>第六章 强化规划管控 保障规划实施</w:t>
      </w:r>
      <w:bookmarkEnd w:id="53"/>
    </w:p>
    <w:p>
      <w:pPr>
        <w:pageBreakBefore w:val="0"/>
        <w:widowControl w:val="0"/>
        <w:kinsoku/>
        <w:wordWrap/>
        <w:overflowPunct/>
        <w:topLinePunct w:val="0"/>
        <w:bidi w:val="0"/>
        <w:adjustRightInd/>
        <w:snapToGrid/>
        <w:spacing w:line="576" w:lineRule="exact"/>
        <w:ind w:left="0" w:right="0" w:firstLine="60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一、强化规划管控</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矿产资源勘查开发和矿区生态修复在实施中要体现矿产资源规划纲性约束作用，原则上《规划》发布后不再进行调整，确需调整的，一年最多调整一次并按规定逐级上报，且需充分说明理由，报原审批机关批准。</w:t>
      </w:r>
    </w:p>
    <w:p>
      <w:pPr>
        <w:pageBreakBefore w:val="0"/>
        <w:widowControl w:val="0"/>
        <w:kinsoku/>
        <w:wordWrap/>
        <w:overflowPunct/>
        <w:topLinePunct w:val="0"/>
        <w:bidi w:val="0"/>
        <w:adjustRightInd/>
        <w:snapToGrid/>
        <w:spacing w:line="576" w:lineRule="exact"/>
        <w:ind w:left="0" w:right="0" w:firstLine="60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二、加强组织保障</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做好前期工作，推动规划项目实施。</w:t>
      </w:r>
      <w:r>
        <w:rPr>
          <w:rFonts w:ascii="Times New Roman" w:eastAsia="仿宋" w:cs="Times New Roman" w:hAnsi="Times New Roman"/>
          <w:sz w:val="32"/>
          <w:szCs w:val="32"/>
          <w:lang w:val="zh-CN"/>
        </w:rPr>
        <w:t>强化规划项目前期工作，多方论证，配套政策，加快项目建设，推动产业发展。</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lang w:val="zh-CN"/>
        </w:rPr>
      </w:pPr>
      <w:r>
        <w:rPr>
          <w:rFonts w:ascii="Times New Roman" w:eastAsia="仿宋" w:cs="Times New Roman" w:hAnsi="Times New Roman"/>
          <w:b/>
          <w:sz w:val="32"/>
          <w:szCs w:val="32"/>
          <w:lang w:val="zh-CN"/>
        </w:rPr>
        <w:t>强化管理，引导产业健康发展。</w:t>
      </w:r>
      <w:r>
        <w:rPr>
          <w:rFonts w:ascii="Times New Roman" w:eastAsia="仿宋" w:cs="Times New Roman" w:hAnsi="Times New Roman"/>
          <w:sz w:val="32"/>
          <w:szCs w:val="32"/>
          <w:lang w:val="zh-CN"/>
        </w:rPr>
        <w:t>加强对我县优势矿产资源的管理，从勘探、开采、资源综合利用等各个环节进行规范管理。</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明确责任主体，营造利好产业环境。</w:t>
      </w:r>
      <w:r>
        <w:rPr>
          <w:rFonts w:ascii="Times New Roman" w:eastAsia="仿宋" w:cs="Times New Roman" w:hAnsi="Times New Roman"/>
          <w:bCs/>
          <w:snapToGrid w:val="0"/>
          <w:kern w:val="0"/>
          <w:sz w:val="32"/>
          <w:szCs w:val="32"/>
        </w:rPr>
        <w:t>强化州、县人民政府在规划实施过程中的主体责任，</w:t>
      </w:r>
      <w:r>
        <w:rPr>
          <w:rFonts w:ascii="Times New Roman" w:eastAsia="仿宋" w:cs="Times New Roman" w:hAnsi="Times New Roman"/>
          <w:sz w:val="32"/>
          <w:szCs w:val="32"/>
          <w:lang w:val="zh-CN"/>
        </w:rPr>
        <w:t>相关政府部门要增强主动服务意识，为投资者提供有力政策优惠条件，依法依规保护投资者利益，优化投资环境。</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b/>
          <w:sz w:val="32"/>
          <w:szCs w:val="32"/>
          <w:lang w:val="zh-CN"/>
        </w:rPr>
        <w:t>加强人才培养引进，增强人才聚集力。</w:t>
      </w:r>
      <w:r>
        <w:rPr>
          <w:rFonts w:ascii="Times New Roman" w:eastAsia="仿宋" w:cs="Times New Roman" w:hAnsi="Times New Roman"/>
          <w:sz w:val="32"/>
          <w:szCs w:val="32"/>
          <w:lang w:val="zh-CN"/>
        </w:rPr>
        <w:t>加大专业技术人才、经营管理人才、技能人才和资源地人才的培养力度，完善从研发、转化、生产到管理的人才培养体系。营建良好的生活环境和工作环境，</w:t>
      </w:r>
      <w:r>
        <w:rPr>
          <w:rFonts w:ascii="Times New Roman" w:eastAsia="仿宋" w:cs="Times New Roman" w:hAnsi="Times New Roman"/>
          <w:sz w:val="32"/>
          <w:szCs w:val="32"/>
        </w:rPr>
        <w:t>解决高层次人才引育留用的后顾之忧，</w:t>
      </w:r>
      <w:r>
        <w:rPr>
          <w:rFonts w:ascii="Times New Roman" w:eastAsia="仿宋" w:cs="Times New Roman" w:hAnsi="Times New Roman"/>
          <w:sz w:val="32"/>
          <w:szCs w:val="32"/>
          <w:lang w:val="zh-CN"/>
        </w:rPr>
        <w:t>减少人才流失。</w:t>
      </w:r>
    </w:p>
    <w:p>
      <w:pPr>
        <w:pageBreakBefore w:val="0"/>
        <w:widowControl w:val="0"/>
        <w:kinsoku/>
        <w:wordWrap/>
        <w:overflowPunct/>
        <w:topLinePunct w:val="0"/>
        <w:bidi w:val="0"/>
        <w:adjustRightInd/>
        <w:snapToGrid/>
        <w:spacing w:line="576" w:lineRule="exact"/>
        <w:ind w:left="0" w:right="0" w:firstLine="60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三、健全规划实施评估机制</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落实规划年度检查与阶段性评估机制等制度，对《规划》年度目标任务执行情况和政策落实情况进行检查，提出规划执行情况报告。主要内容包括《规划》实施进展与成效、各项任务执行情况、指标完成情况、各项政策措施落实情况、取得的经验等，分析规划实施中存在的问题及原因、面临的新形势，提出规划调整的建议。检查和评估情况要及时向同级人民政府和上级主管部门报告。</w:t>
      </w:r>
    </w:p>
    <w:p>
      <w:pPr>
        <w:pageBreakBefore w:val="0"/>
        <w:widowControl w:val="0"/>
        <w:kinsoku/>
        <w:wordWrap/>
        <w:overflowPunct/>
        <w:topLinePunct w:val="0"/>
        <w:bidi w:val="0"/>
        <w:adjustRightInd/>
        <w:snapToGrid/>
        <w:spacing w:line="576" w:lineRule="exact"/>
        <w:ind w:left="0" w:right="0" w:firstLine="60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四、强化规划实施监督检查</w:t>
      </w:r>
    </w:p>
    <w:p>
      <w:pPr>
        <w:pageBreakBefore w:val="0"/>
        <w:widowControl w:val="0"/>
        <w:kinsoku/>
        <w:wordWrap/>
        <w:overflowPunct/>
        <w:topLinePunct w:val="0"/>
        <w:autoSpaceDE w:val="0"/>
        <w:autoSpaceDN w:val="0"/>
        <w:bidi w:val="0"/>
        <w:adjustRightInd/>
        <w:snapToGrid/>
        <w:spacing w:line="576" w:lineRule="exact"/>
        <w:ind w:left="0" w:right="0" w:firstLineChars="200" w:firstLine="640"/>
        <w:textAlignment w:val="baseline"/>
        <w:rPr>
          <w:rFonts w:ascii="Times New Roman" w:eastAsia="仿宋" w:cs="Times New Roman" w:hAnsi="Times New Roman"/>
          <w:sz w:val="32"/>
          <w:szCs w:val="32"/>
        </w:rPr>
      </w:pPr>
      <w:r>
        <w:rPr>
          <w:rFonts w:ascii="Times New Roman" w:eastAsia="仿宋" w:cs="Times New Roman" w:hAnsi="Times New Roman"/>
          <w:sz w:val="32"/>
          <w:szCs w:val="32"/>
          <w:lang w:val="zh-CN"/>
        </w:rPr>
        <w:t>将规划执行情况纳入自然资源执法监察的重要内容，强化规划执行落实情况监督，定期公布规划执行情况。对违反法律法规的行为，要加大纠正和查处力度。构建地方人大、政府、自然资源管理部门和公众共同参与的规划实施监督体系。</w:t>
      </w:r>
    </w:p>
    <w:p>
      <w:pPr>
        <w:pageBreakBefore w:val="0"/>
        <w:widowControl w:val="0"/>
        <w:kinsoku/>
        <w:wordWrap/>
        <w:overflowPunct/>
        <w:topLinePunct w:val="0"/>
        <w:bidi w:val="0"/>
        <w:adjustRightInd/>
        <w:snapToGrid/>
        <w:spacing w:line="576" w:lineRule="exact"/>
        <w:ind w:left="0" w:right="0" w:firstLine="600"/>
        <w:textAlignment w:val="baseline"/>
        <w:rPr>
          <w:rFonts w:ascii="Times New Roman" w:eastAsia="仿宋" w:cs="Times New Roman" w:hAnsi="Times New Roman"/>
          <w:b/>
          <w:sz w:val="32"/>
          <w:szCs w:val="32"/>
        </w:rPr>
      </w:pPr>
      <w:r>
        <w:rPr>
          <w:rFonts w:ascii="Times New Roman" w:eastAsia="仿宋" w:cs="Times New Roman" w:hAnsi="Times New Roman"/>
          <w:b/>
          <w:sz w:val="32"/>
          <w:szCs w:val="32"/>
          <w:lang w:val="zh-CN"/>
        </w:rPr>
        <w:t>五、提高财政支持力度</w:t>
      </w:r>
    </w:p>
    <w:p>
      <w:pPr>
        <w:pageBreakBefore w:val="0"/>
        <w:widowControl w:val="0"/>
        <w:kinsoku/>
        <w:wordWrap/>
        <w:overflowPunct/>
        <w:topLinePunct w:val="0"/>
        <w:bidi w:val="0"/>
        <w:adjustRightInd/>
        <w:snapToGrid/>
        <w:spacing w:line="576" w:lineRule="exact"/>
        <w:ind w:left="0" w:right="0" w:firstLineChars="200" w:firstLine="640"/>
        <w:textAlignment w:val="baseline"/>
        <w:rPr>
          <w:rFonts w:ascii="Times New Roman" w:eastAsia="仿宋" w:cs="Times New Roman" w:hAnsi="Times New Roman"/>
          <w:lang w:val="zh-CN"/>
        </w:rPr>
      </w:pPr>
      <w:r>
        <w:rPr>
          <w:rFonts w:ascii="Times New Roman" w:eastAsia="仿宋" w:cs="Times New Roman" w:hAnsi="Times New Roman"/>
          <w:sz w:val="32"/>
          <w:szCs w:val="32"/>
          <w:lang w:val="zh-CN"/>
        </w:rPr>
        <w:t>根据公共财政支出要求，将优势矿产资源勘查开发利用、绿色矿山建设、历史遗留矿山地质环境治理恢复等项目资金纳入本级年度财政预算体系，确保财政资金落地。健全政府和社会资本合作模式，积极引导社会资金投入，保障本轮矿产资源规划真正落到实处。</w:t>
      </w:r>
    </w:p>
    <w:p>
      <w:pPr>
        <w:pageBreakBefore w:val="0"/>
        <w:widowControl w:val="0"/>
        <w:kinsoku/>
        <w:wordWrap/>
        <w:overflowPunct/>
        <w:topLinePunct w:val="0"/>
        <w:bidi w:val="0"/>
        <w:adjustRightInd/>
        <w:snapToGrid/>
        <w:spacing w:line="576" w:lineRule="exact"/>
        <w:ind w:left="0" w:right="0"/>
        <w:rPr>
          <w:rFonts w:ascii="Times New Roman" w:eastAsia="仿宋" w:cs="Times New Roman" w:hAnsi="Times New Roman"/>
          <w:lang w:val="zh-CN"/>
        </w:rPr>
        <w:sectPr>
          <w:pgSz w:w="11906" w:h="16838"/>
          <w:pgMar w:top="1800" w:right="1440" w:bottom="1800" w:left="1440" w:header="720" w:footer="720" w:gutter="0"/>
          <w:pgNumType w:fmt="numberInDash"/>
          <w:docGrid w:type="lines" w:linePitch="312" w:charSpace="0"/>
        </w:sectPr>
      </w:pP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54" w:name="_Toc88758434"/>
      <w:bookmarkStart w:id="55" w:name="_Toc113483803"/>
      <w:bookmarkStart w:id="56" w:name="_Toc113279889"/>
      <w:bookmarkStart w:id="57" w:name="_Toc123831031"/>
      <w:bookmarkStart w:id="58" w:name="_Toc127347674"/>
      <w:bookmarkStart w:id="59" w:name="_Toc113437316"/>
      <w:r>
        <w:rPr>
          <w:rFonts w:ascii="Times New Roman" w:eastAsia="仿宋" w:cs="Times New Roman" w:hAnsi="Times New Roman"/>
        </w:rPr>
        <w:t xml:space="preserve">附表1  </w:t>
      </w:r>
      <w:bookmarkEnd w:id="54"/>
      <w:r>
        <w:rPr>
          <w:rFonts w:ascii="Times New Roman" w:eastAsia="仿宋" w:cs="Times New Roman" w:hAnsi="Times New Roman"/>
        </w:rPr>
        <w:t>理县能源资源基地表</w:t>
      </w:r>
      <w:bookmarkEnd w:id="55"/>
      <w:bookmarkEnd w:id="56"/>
      <w:bookmarkEnd w:id="57"/>
      <w:bookmarkEnd w:id="58"/>
      <w:bookmarkEnd w:id="59"/>
    </w:p>
    <w:tbl>
      <w:tblPr>
        <w:jc w:val="left"/>
        <w:tblInd w:w="0" w:type="dxa"/>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580"/>
        <w:gridCol w:w="580"/>
        <w:gridCol w:w="580"/>
        <w:gridCol w:w="1058"/>
        <w:gridCol w:w="1481"/>
        <w:gridCol w:w="1309"/>
        <w:gridCol w:w="1306"/>
        <w:gridCol w:w="1176"/>
        <w:gridCol w:w="1176"/>
        <w:gridCol w:w="1142"/>
        <w:gridCol w:w="1735"/>
        <w:gridCol w:w="941"/>
      </w:tblGrid>
      <w:tr>
        <w:trPr>
          <w:trHeight w:val="1207"/>
        </w:trPr>
        <w:tc>
          <w:tcPr>
            <w:tcW w:w="222"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序号</w:t>
            </w:r>
          </w:p>
        </w:tc>
        <w:tc>
          <w:tcPr>
            <w:tcW w:w="222"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编号</w:t>
            </w:r>
          </w:p>
        </w:tc>
        <w:tc>
          <w:tcPr>
            <w:tcW w:w="222"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名称</w:t>
            </w:r>
          </w:p>
        </w:tc>
        <w:tc>
          <w:tcPr>
            <w:tcW w:w="405"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所在行政区</w:t>
            </w:r>
          </w:p>
        </w:tc>
        <w:tc>
          <w:tcPr>
            <w:tcW w:w="567"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主要矿种</w:t>
            </w:r>
          </w:p>
        </w:tc>
        <w:tc>
          <w:tcPr>
            <w:tcW w:w="501"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面积（平方千米）</w:t>
            </w:r>
          </w:p>
        </w:tc>
        <w:tc>
          <w:tcPr>
            <w:tcW w:w="500"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拐点坐标</w:t>
            </w:r>
          </w:p>
        </w:tc>
        <w:tc>
          <w:tcPr>
            <w:tcW w:w="450"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已设探矿权数量</w:t>
            </w:r>
          </w:p>
        </w:tc>
        <w:tc>
          <w:tcPr>
            <w:tcW w:w="450"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拟设探矿权数量</w:t>
            </w:r>
          </w:p>
        </w:tc>
        <w:tc>
          <w:tcPr>
            <w:tcW w:w="437"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已设采矿权数量</w:t>
            </w:r>
          </w:p>
        </w:tc>
        <w:tc>
          <w:tcPr>
            <w:tcW w:w="664"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已设采矿权设计开采规模（万吨/年）</w:t>
            </w:r>
          </w:p>
        </w:tc>
        <w:tc>
          <w:tcPr>
            <w:tcW w:w="360"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备注</w:t>
            </w:r>
          </w:p>
        </w:tc>
      </w:tr>
      <w:tr>
        <w:trPr>
          <w:trHeight w:val="842"/>
        </w:trPr>
        <w:tc>
          <w:tcPr>
            <w:tcW w:w="5000" w:type="pct"/>
            <w:gridSpan w:val="12"/>
            <w:tcBorders>
              <w:top w:val="nil"/>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 xml:space="preserve">　此表内容为空 </w:t>
            </w:r>
          </w:p>
        </w:tc>
      </w:tr>
    </w:tbl>
    <w:p>
      <w:pPr>
        <w:pageBreakBefore w:val="0"/>
        <w:widowControl/>
        <w:kinsoku/>
        <w:wordWrap/>
        <w:overflowPunct/>
        <w:topLinePunct w:val="0"/>
        <w:bidi w:val="0"/>
        <w:spacing w:line="576" w:lineRule="exact"/>
        <w:ind w:left="0" w:right="0"/>
        <w:jc w:val="left"/>
        <w:outlineLvl w:val="0"/>
        <w:rPr>
          <w:rFonts w:ascii="Times New Roman" w:eastAsia="仿宋" w:cs="Times New Roman" w:hAnsi="Times New Roman"/>
          <w:b/>
          <w:bCs/>
          <w:kern w:val="0"/>
          <w:sz w:val="32"/>
          <w:szCs w:val="32"/>
        </w:rPr>
        <w:sectPr>
          <w:pgSz w:w="15840" w:h="12240"/>
          <w:pgMar w:top="1800" w:right="1440" w:bottom="1800" w:left="1440" w:header="720" w:footer="720" w:gutter="0"/>
          <w:pgNumType w:fmt="numberInDash"/>
          <w:docGrid w:type="lines" w:linePitch="312" w:charSpace="0"/>
        </w:sectPr>
      </w:pPr>
      <w:bookmarkStart w:id="60" w:name="_Toc113437317"/>
      <w:bookmarkStart w:id="61" w:name="_Toc113279890"/>
      <w:bookmarkStart w:id="62" w:name="_Toc123831032"/>
      <w:bookmarkStart w:id="63" w:name="_Toc113483804"/>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64" w:name="_Toc127347675"/>
      <w:r>
        <w:rPr>
          <w:rFonts w:ascii="Times New Roman" w:eastAsia="仿宋" w:cs="Times New Roman" w:hAnsi="Times New Roman"/>
        </w:rPr>
        <w:t>附表2  理县国家规划矿区表</w:t>
      </w:r>
      <w:bookmarkEnd w:id="60"/>
      <w:bookmarkEnd w:id="61"/>
      <w:bookmarkEnd w:id="62"/>
      <w:bookmarkEnd w:id="63"/>
      <w:bookmarkEnd w:id="64"/>
    </w:p>
    <w:tbl>
      <w:tblPr>
        <w:jc w:val="left"/>
        <w:tblInd w:w="0" w:type="dx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gridCol w:w="695"/>
      </w:tblGrid>
      <w:tr>
        <w:trPr>
          <w:trHeight w:val="1230"/>
        </w:trPr>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序号</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编号</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名称</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所在行政区</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面积（平方千米）</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拐点坐标</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主要矿种</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资源量单位</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主要矿产探明资源量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主要矿产控制资源量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主要矿产推断资源量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已设探矿权数量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拟设探矿权数量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已设采矿权数量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已设采矿权设计开采规模（万吨/年）</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拟设采矿权数量</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拟设采矿权设计开采规模（万吨/年）</w:t>
            </w:r>
          </w:p>
        </w:tc>
        <w:tc>
          <w:tcPr>
            <w:tcW w:w="26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备注</w:t>
            </w:r>
          </w:p>
        </w:tc>
      </w:tr>
      <w:tr>
        <w:trPr>
          <w:trHeight w:val="1530"/>
        </w:trPr>
        <w:tc>
          <w:tcPr>
            <w:tcW w:w="5000" w:type="pct"/>
            <w:gridSpan w:val="19"/>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此表内容为空</w:t>
            </w:r>
          </w:p>
        </w:tc>
      </w:tr>
    </w:tbl>
    <w:p>
      <w:pPr>
        <w:pageBreakBefore w:val="0"/>
        <w:widowControl/>
        <w:kinsoku/>
        <w:wordWrap/>
        <w:overflowPunct/>
        <w:topLinePunct w:val="0"/>
        <w:bidi w:val="0"/>
        <w:spacing w:line="576" w:lineRule="exact"/>
        <w:ind w:left="0" w:right="0"/>
        <w:jc w:val="left"/>
        <w:outlineLvl w:val="0"/>
        <w:rPr>
          <w:rFonts w:ascii="Times New Roman" w:eastAsia="仿宋" w:cs="Times New Roman" w:hAnsi="Times New Roman"/>
          <w:b/>
          <w:bCs/>
          <w:kern w:val="0"/>
          <w:sz w:val="32"/>
          <w:szCs w:val="32"/>
        </w:rPr>
        <w:sectPr>
          <w:pgSz w:w="15840" w:h="12240"/>
          <w:pgMar w:top="1800" w:right="1440" w:bottom="1800" w:left="1440" w:header="720" w:footer="720" w:gutter="0"/>
          <w:pgNumType w:fmt="numberInDash"/>
          <w:docGrid w:type="lines" w:linePitch="312" w:charSpace="0"/>
        </w:sectPr>
      </w:pPr>
      <w:bookmarkStart w:id="65" w:name="_Toc113483805"/>
      <w:bookmarkStart w:id="66" w:name="_Toc88758436"/>
      <w:bookmarkStart w:id="67" w:name="_Toc113437318"/>
      <w:bookmarkStart w:id="68" w:name="_Toc113279891"/>
      <w:bookmarkStart w:id="69" w:name="_Toc123831033"/>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70" w:name="_Toc127347676"/>
      <w:r>
        <w:rPr>
          <w:rFonts w:ascii="Times New Roman" w:eastAsia="仿宋" w:cs="Times New Roman" w:hAnsi="Times New Roman"/>
        </w:rPr>
        <w:t>附表3  理县战略性矿产资源保护区表</w:t>
      </w:r>
      <w:bookmarkEnd w:id="65"/>
      <w:bookmarkEnd w:id="66"/>
      <w:bookmarkEnd w:id="67"/>
      <w:bookmarkEnd w:id="68"/>
      <w:bookmarkEnd w:id="69"/>
      <w:bookmarkEnd w:id="70"/>
    </w:p>
    <w:tbl>
      <w:tblPr>
        <w:jc w:val="left"/>
        <w:tblInd w:w="0" w:type="dxa"/>
        <w:tblW w:w="4957"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754"/>
        <w:gridCol w:w="919"/>
        <w:gridCol w:w="992"/>
        <w:gridCol w:w="1243"/>
        <w:gridCol w:w="1432"/>
        <w:gridCol w:w="1741"/>
        <w:gridCol w:w="2142"/>
        <w:gridCol w:w="1207"/>
        <w:gridCol w:w="1207"/>
        <w:gridCol w:w="1313"/>
      </w:tblGrid>
      <w:tr>
        <w:trPr>
          <w:trHeight w:val="640"/>
        </w:trPr>
        <w:tc>
          <w:tcPr>
            <w:tcW w:w="291"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序号</w:t>
            </w:r>
          </w:p>
        </w:tc>
        <w:tc>
          <w:tcPr>
            <w:tcW w:w="355"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编号</w:t>
            </w:r>
          </w:p>
        </w:tc>
        <w:tc>
          <w:tcPr>
            <w:tcW w:w="38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名称</w:t>
            </w:r>
          </w:p>
        </w:tc>
        <w:tc>
          <w:tcPr>
            <w:tcW w:w="480"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所在行政区</w:t>
            </w:r>
          </w:p>
        </w:tc>
        <w:tc>
          <w:tcPr>
            <w:tcW w:w="55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面积（平方千米）</w:t>
            </w:r>
          </w:p>
        </w:tc>
        <w:tc>
          <w:tcPr>
            <w:tcW w:w="672"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拐点坐标</w:t>
            </w:r>
          </w:p>
        </w:tc>
        <w:tc>
          <w:tcPr>
            <w:tcW w:w="827"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主要矿种</w:t>
            </w:r>
          </w:p>
        </w:tc>
        <w:tc>
          <w:tcPr>
            <w:tcW w:w="466"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资源量单位</w:t>
            </w:r>
          </w:p>
        </w:tc>
        <w:tc>
          <w:tcPr>
            <w:tcW w:w="466"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w:t>
            </w:r>
          </w:p>
        </w:tc>
        <w:tc>
          <w:tcPr>
            <w:tcW w:w="507"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备注</w:t>
            </w:r>
          </w:p>
        </w:tc>
      </w:tr>
      <w:tr>
        <w:trPr>
          <w:trHeight w:val="565"/>
        </w:trPr>
        <w:tc>
          <w:tcPr>
            <w:tcW w:w="5000" w:type="pct"/>
            <w:gridSpan w:val="10"/>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此表内容为空</w:t>
            </w:r>
          </w:p>
        </w:tc>
      </w:tr>
    </w:tbl>
    <w:p>
      <w:pPr>
        <w:pageBreakBefore w:val="0"/>
        <w:widowControl/>
        <w:kinsoku/>
        <w:wordWrap/>
        <w:overflowPunct/>
        <w:topLinePunct w:val="0"/>
        <w:bidi w:val="0"/>
        <w:spacing w:line="576" w:lineRule="exact"/>
        <w:ind w:left="0" w:right="0"/>
        <w:jc w:val="left"/>
        <w:outlineLvl w:val="0"/>
        <w:rPr>
          <w:rFonts w:ascii="Times New Roman" w:eastAsia="仿宋" w:cs="Times New Roman" w:hAnsi="Times New Roman"/>
          <w:b/>
          <w:bCs/>
          <w:kern w:val="0"/>
          <w:sz w:val="32"/>
          <w:szCs w:val="32"/>
        </w:rPr>
        <w:sectPr>
          <w:pgSz w:w="15840" w:h="12240"/>
          <w:pgMar w:top="1800" w:right="1440" w:bottom="1800" w:left="1440" w:header="720" w:footer="720" w:gutter="0"/>
          <w:pgNumType w:fmt="numberInDash"/>
          <w:docGrid w:type="lines" w:linePitch="312" w:charSpace="0"/>
        </w:sectPr>
      </w:pPr>
      <w:bookmarkStart w:id="71" w:name="_Toc113279892"/>
      <w:bookmarkStart w:id="72" w:name="_Toc88758437"/>
      <w:bookmarkStart w:id="73" w:name="_Toc113483806"/>
      <w:bookmarkStart w:id="74" w:name="_Toc123831034"/>
      <w:bookmarkStart w:id="75" w:name="_Toc113437319"/>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76" w:name="_Toc127347677"/>
      <w:r>
        <w:rPr>
          <w:rFonts w:ascii="Times New Roman" w:eastAsia="仿宋" w:cs="Times New Roman" w:hAnsi="Times New Roman"/>
        </w:rPr>
        <w:t>附表4  理县矿产资源重点勘查区表</w:t>
      </w:r>
      <w:bookmarkEnd w:id="71"/>
      <w:bookmarkEnd w:id="72"/>
      <w:bookmarkEnd w:id="73"/>
      <w:bookmarkEnd w:id="74"/>
      <w:bookmarkEnd w:id="75"/>
      <w:bookmarkEnd w:id="76"/>
    </w:p>
    <w:tbl>
      <w:tblPr>
        <w:jc w:val="left"/>
        <w:tblInd w:w="0" w:type="dxa"/>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729"/>
        <w:gridCol w:w="729"/>
        <w:gridCol w:w="729"/>
        <w:gridCol w:w="1332"/>
        <w:gridCol w:w="1936"/>
        <w:gridCol w:w="1455"/>
        <w:gridCol w:w="2072"/>
        <w:gridCol w:w="1507"/>
        <w:gridCol w:w="1500"/>
        <w:gridCol w:w="1074"/>
      </w:tblGrid>
      <w:tr>
        <w:trPr>
          <w:trHeight w:val="593"/>
        </w:trPr>
        <w:tc>
          <w:tcPr>
            <w:tcW w:w="279"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序号</w:t>
            </w:r>
          </w:p>
        </w:tc>
        <w:tc>
          <w:tcPr>
            <w:tcW w:w="279"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编号</w:t>
            </w:r>
          </w:p>
        </w:tc>
        <w:tc>
          <w:tcPr>
            <w:tcW w:w="279"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名称</w:t>
            </w:r>
          </w:p>
        </w:tc>
        <w:tc>
          <w:tcPr>
            <w:tcW w:w="510"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所在行政区</w:t>
            </w:r>
          </w:p>
        </w:tc>
        <w:tc>
          <w:tcPr>
            <w:tcW w:w="741"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面积（平方千米）</w:t>
            </w:r>
          </w:p>
        </w:tc>
        <w:tc>
          <w:tcPr>
            <w:tcW w:w="557"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拐点坐标</w:t>
            </w:r>
          </w:p>
        </w:tc>
        <w:tc>
          <w:tcPr>
            <w:tcW w:w="79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主要矿种</w:t>
            </w:r>
          </w:p>
        </w:tc>
        <w:tc>
          <w:tcPr>
            <w:tcW w:w="577"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已设探矿权数量</w:t>
            </w:r>
          </w:p>
        </w:tc>
        <w:tc>
          <w:tcPr>
            <w:tcW w:w="574"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拟设探矿权数量</w:t>
            </w:r>
          </w:p>
        </w:tc>
        <w:tc>
          <w:tcPr>
            <w:tcW w:w="411"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备注</w:t>
            </w:r>
          </w:p>
        </w:tc>
      </w:tr>
      <w:tr>
        <w:trPr>
          <w:trHeight w:val="866"/>
        </w:trPr>
        <w:tc>
          <w:tcPr>
            <w:tcW w:w="5000" w:type="pct"/>
            <w:gridSpan w:val="10"/>
            <w:tcBorders>
              <w:top w:val="nil"/>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　　此表内容为空</w:t>
            </w:r>
          </w:p>
        </w:tc>
      </w:tr>
    </w:tbl>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sectPr>
          <w:pgSz w:w="15840" w:h="12240"/>
          <w:pgMar w:top="1800" w:right="1440" w:bottom="1800" w:left="1440" w:header="720" w:footer="720" w:gutter="0"/>
          <w:pgNumType w:fmt="numberInDash"/>
          <w:docGrid w:type="lines" w:linePitch="312" w:charSpace="0"/>
        </w:sectPr>
      </w:pP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77" w:name="_Toc127347678"/>
      <w:r>
        <w:rPr>
          <w:rFonts w:ascii="Times New Roman" w:eastAsia="仿宋" w:cs="Times New Roman" w:hAnsi="Times New Roman"/>
        </w:rPr>
        <w:t>附表5  理县勘查规划区块表</w:t>
      </w:r>
      <w:bookmarkEnd w:id="77"/>
    </w:p>
    <w:tbl>
      <w:tblPr>
        <w:jc w:val="left"/>
        <w:tblInd w:w="0"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554"/>
        <w:gridCol w:w="1114"/>
        <w:gridCol w:w="1842"/>
        <w:gridCol w:w="993"/>
        <w:gridCol w:w="1275"/>
        <w:gridCol w:w="3261"/>
        <w:gridCol w:w="992"/>
        <w:gridCol w:w="1276"/>
        <w:gridCol w:w="974"/>
        <w:gridCol w:w="895"/>
      </w:tblGrid>
      <w:tr>
        <w:trPr>
          <w:trHeight w:val="1108"/>
        </w:trPr>
        <w:tc>
          <w:tcPr>
            <w:tcW w:w="554"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序号</w:t>
            </w:r>
          </w:p>
        </w:tc>
        <w:tc>
          <w:tcPr>
            <w:tcW w:w="1114"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编号</w:t>
            </w:r>
          </w:p>
        </w:tc>
        <w:tc>
          <w:tcPr>
            <w:tcW w:w="1842"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区块名称</w:t>
            </w:r>
          </w:p>
        </w:tc>
        <w:tc>
          <w:tcPr>
            <w:tcW w:w="993"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勘查主矿种</w:t>
            </w:r>
          </w:p>
        </w:tc>
        <w:tc>
          <w:tcPr>
            <w:tcW w:w="1275"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面积</w:t>
            </w:r>
          </w:p>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（平方千米）</w:t>
            </w:r>
          </w:p>
        </w:tc>
        <w:tc>
          <w:tcPr>
            <w:tcW w:w="3261"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拐点坐标</w:t>
            </w:r>
          </w:p>
        </w:tc>
        <w:tc>
          <w:tcPr>
            <w:tcW w:w="992"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现有勘查程度</w:t>
            </w:r>
          </w:p>
        </w:tc>
        <w:tc>
          <w:tcPr>
            <w:tcW w:w="1276"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拟设探矿权勘查阶段</w:t>
            </w:r>
          </w:p>
        </w:tc>
        <w:tc>
          <w:tcPr>
            <w:tcW w:w="974"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投放时序</w:t>
            </w:r>
          </w:p>
        </w:tc>
        <w:tc>
          <w:tcPr>
            <w:tcW w:w="895"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rPr>
            </w:pPr>
            <w:r>
              <w:rPr>
                <w:rFonts w:ascii="Times New Roman" w:eastAsia="仿宋" w:cs="Times New Roman" w:hAnsi="Times New Roman"/>
              </w:rPr>
              <w:t>备注</w:t>
            </w:r>
          </w:p>
        </w:tc>
      </w:tr>
      <w:tr>
        <w:trPr>
          <w:trHeight w:val="1343"/>
        </w:trPr>
        <w:tc>
          <w:tcPr>
            <w:tcW w:w="554"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1</w:t>
            </w:r>
          </w:p>
        </w:tc>
        <w:tc>
          <w:tcPr>
            <w:tcW w:w="1114"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KQ51322200001</w:t>
            </w:r>
          </w:p>
        </w:tc>
        <w:tc>
          <w:tcPr>
            <w:tcW w:w="1842"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四川省理县龙胆沟地热普查</w:t>
            </w:r>
          </w:p>
        </w:tc>
        <w:tc>
          <w:tcPr>
            <w:tcW w:w="993"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地热</w:t>
            </w:r>
          </w:p>
        </w:tc>
        <w:tc>
          <w:tcPr>
            <w:tcW w:w="1275"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 xml:space="preserve">2.45 </w:t>
            </w:r>
          </w:p>
        </w:tc>
        <w:tc>
          <w:tcPr>
            <w:tcW w:w="3261"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cs="Times New Roman" w:hAnsi="Times New Roman"/>
                <w:color w:val="000000"/>
                <w:sz w:val="16"/>
                <w:szCs w:val="16"/>
              </w:rPr>
              <w:t xml:space="preserve"> </w:t>
            </w:r>
          </w:p>
        </w:tc>
        <w:tc>
          <w:tcPr>
            <w:tcW w:w="992"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调查评价</w:t>
            </w:r>
          </w:p>
        </w:tc>
        <w:tc>
          <w:tcPr>
            <w:tcW w:w="1276"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普查</w:t>
            </w:r>
          </w:p>
        </w:tc>
        <w:tc>
          <w:tcPr>
            <w:tcW w:w="974"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color w:val="000000"/>
              </w:rPr>
            </w:pPr>
            <w:r>
              <w:rPr>
                <w:rFonts w:ascii="Times New Roman" w:eastAsia="仿宋" w:cs="Times New Roman" w:hAnsi="Times New Roman"/>
                <w:color w:val="000000"/>
              </w:rPr>
              <w:t>2022年</w:t>
            </w:r>
          </w:p>
        </w:tc>
        <w:tc>
          <w:tcPr>
            <w:tcW w:w="895" w:type="dxa"/>
            <w:tcBorders>
              <w:top w:val="single" w:sz="6" w:space="0" w:color="auto"/>
              <w:left w:val="single" w:sz="6" w:space="0" w:color="auto"/>
              <w:bottom w:val="single" w:sz="6" w:space="0" w:color="auto"/>
              <w:right w:val="single" w:sz="6" w:space="0" w:color="auto"/>
            </w:tcBorders>
            <w:noWrap/>
            <w:vAlign w:val="center"/>
          </w:tcPr>
          <w:p>
            <w:pPr>
              <w:pageBreakBefore w:val="0"/>
              <w:widowControl w:val="0"/>
              <w:kinsoku/>
              <w:wordWrap/>
              <w:overflowPunct/>
              <w:topLinePunct w:val="0"/>
              <w:autoSpaceDE w:val="0"/>
              <w:autoSpaceDN w:val="0"/>
              <w:bidi w:val="0"/>
              <w:spacing w:line="576" w:lineRule="exact"/>
              <w:ind w:left="0" w:right="0"/>
              <w:jc w:val="center"/>
              <w:rPr>
                <w:rFonts w:ascii="Times New Roman" w:eastAsia="仿宋" w:cs="Times New Roman" w:hAnsi="Times New Roman"/>
              </w:rPr>
            </w:pPr>
            <w:r>
              <w:rPr>
                <w:rFonts w:ascii="Times New Roman" w:eastAsia="仿宋" w:cs="Times New Roman" w:hAnsi="Times New Roman"/>
                <w:kern w:val="0"/>
                <w:sz w:val="18"/>
                <w:szCs w:val="18"/>
              </w:rPr>
              <w:t>落实上级规划，满足绿色勘查要求</w:t>
            </w:r>
          </w:p>
        </w:tc>
      </w:tr>
    </w:tbl>
    <w:p>
      <w:pPr>
        <w:pageBreakBefore w:val="0"/>
        <w:widowControl w:val="0"/>
        <w:kinsoku/>
        <w:wordWrap/>
        <w:overflowPunct/>
        <w:topLinePunct w:val="0"/>
        <w:bidi w:val="0"/>
        <w:spacing w:line="576" w:lineRule="exact"/>
        <w:ind w:left="0" w:right="0"/>
        <w:rPr>
          <w:rFonts w:ascii="Times New Roman" w:eastAsia="仿宋" w:cs="Times New Roman" w:hAnsi="Times New Roman"/>
          <w:lang w:val="zh-CN"/>
        </w:rPr>
        <w:sectPr>
          <w:pgSz w:w="15840" w:h="12240"/>
          <w:pgMar w:top="1800" w:right="1440" w:bottom="1800" w:left="1440" w:header="720" w:footer="720" w:gutter="0"/>
          <w:pgNumType w:fmt="numberInDash"/>
          <w:docGrid w:type="lines" w:linePitch="312" w:charSpace="0"/>
        </w:sectPr>
      </w:pP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78" w:name="_Toc113437321"/>
      <w:bookmarkStart w:id="79" w:name="_Toc113483808"/>
      <w:bookmarkStart w:id="80" w:name="_Toc88758439"/>
      <w:bookmarkStart w:id="81" w:name="_Toc123831036"/>
      <w:bookmarkStart w:id="82" w:name="_Toc127347679"/>
      <w:bookmarkStart w:id="83" w:name="_Toc113279894"/>
      <w:bookmarkStart w:id="84" w:name="_Toc6156"/>
      <w:bookmarkStart w:id="85" w:name="_Toc32285"/>
      <w:bookmarkStart w:id="86" w:name="_Toc20103"/>
      <w:bookmarkStart w:id="87" w:name="_Toc9381"/>
      <w:bookmarkStart w:id="88" w:name="_Toc16125"/>
      <w:bookmarkStart w:id="89" w:name="_Toc23447"/>
      <w:bookmarkStart w:id="90" w:name="_Toc24148"/>
      <w:bookmarkStart w:id="91" w:name="_Toc2748"/>
      <w:bookmarkStart w:id="92" w:name="_Toc3429"/>
      <w:r>
        <w:rPr>
          <w:rFonts w:ascii="Times New Roman" w:eastAsia="仿宋" w:cs="Times New Roman" w:hAnsi="Times New Roman"/>
        </w:rPr>
        <w:t>附表6  理县矿产资源重点开采区表</w:t>
      </w:r>
      <w:bookmarkEnd w:id="78"/>
      <w:bookmarkEnd w:id="79"/>
      <w:bookmarkEnd w:id="80"/>
      <w:bookmarkEnd w:id="81"/>
      <w:bookmarkEnd w:id="82"/>
      <w:bookmarkEnd w:id="83"/>
    </w:p>
    <w:tbl>
      <w:tblPr>
        <w:jc w:val="left"/>
        <w:tblInd w:w="0" w:type="dxa"/>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870"/>
        <w:gridCol w:w="870"/>
        <w:gridCol w:w="870"/>
        <w:gridCol w:w="870"/>
        <w:gridCol w:w="870"/>
        <w:gridCol w:w="870"/>
        <w:gridCol w:w="870"/>
        <w:gridCol w:w="1048"/>
        <w:gridCol w:w="692"/>
        <w:gridCol w:w="870"/>
        <w:gridCol w:w="870"/>
        <w:gridCol w:w="870"/>
        <w:gridCol w:w="870"/>
        <w:gridCol w:w="870"/>
        <w:gridCol w:w="883"/>
      </w:tblGrid>
      <w:tr>
        <w:trPr>
          <w:trHeight w:val="698"/>
        </w:trPr>
        <w:tc>
          <w:tcPr>
            <w:tcW w:w="333"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序号</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编号</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名称</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所在行政区</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面积（平方千米）</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拐点坐标</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主要矿种</w:t>
            </w:r>
          </w:p>
        </w:tc>
        <w:tc>
          <w:tcPr>
            <w:tcW w:w="401"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资源量单位</w:t>
            </w:r>
          </w:p>
        </w:tc>
        <w:tc>
          <w:tcPr>
            <w:tcW w:w="265"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主要矿产探明资源量</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主要矿产控制资源量</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主要矿产推断资源量</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已设采矿权数量</w:t>
            </w:r>
          </w:p>
        </w:tc>
        <w:tc>
          <w:tcPr>
            <w:tcW w:w="33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拟设采矿权数量</w:t>
            </w:r>
          </w:p>
        </w:tc>
        <w:tc>
          <w:tcPr>
            <w:tcW w:w="338"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备注</w:t>
            </w:r>
          </w:p>
        </w:tc>
      </w:tr>
      <w:tr>
        <w:trPr>
          <w:trHeight w:val="683"/>
        </w:trPr>
        <w:tc>
          <w:tcPr>
            <w:tcW w:w="5000" w:type="pct"/>
            <w:gridSpan w:val="15"/>
            <w:tcBorders>
              <w:top w:val="nil"/>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　　此表内容为空</w:t>
            </w:r>
          </w:p>
        </w:tc>
      </w:tr>
    </w:tbl>
    <w:p>
      <w:pPr>
        <w:pageBreakBefore w:val="0"/>
        <w:widowControl/>
        <w:kinsoku/>
        <w:wordWrap/>
        <w:overflowPunct/>
        <w:topLinePunct w:val="0"/>
        <w:bidi w:val="0"/>
        <w:spacing w:line="576" w:lineRule="exact"/>
        <w:ind w:left="0" w:right="0"/>
        <w:jc w:val="left"/>
        <w:outlineLvl w:val="0"/>
        <w:rPr>
          <w:rFonts w:ascii="Times New Roman" w:eastAsia="仿宋" w:cs="Times New Roman" w:hAnsi="Times New Roman"/>
          <w:b/>
          <w:bCs/>
          <w:kern w:val="0"/>
          <w:sz w:val="32"/>
          <w:szCs w:val="32"/>
        </w:rPr>
        <w:sectPr>
          <w:pgSz w:w="15840" w:h="12240"/>
          <w:pgMar w:top="1800" w:right="1440" w:bottom="1800" w:left="1440" w:header="720" w:footer="720" w:gutter="0"/>
          <w:pgNumType w:fmt="numberInDash"/>
          <w:docGrid w:type="lines" w:linePitch="312" w:charSpace="0"/>
        </w:sectPr>
      </w:pPr>
      <w:bookmarkStart w:id="93" w:name="_Toc113279895"/>
      <w:bookmarkStart w:id="94" w:name="_Toc113483809"/>
      <w:bookmarkStart w:id="95" w:name="_Toc113437322"/>
      <w:bookmarkStart w:id="96" w:name="_Toc123831037"/>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97" w:name="_Toc127347680"/>
      <w:r>
        <w:rPr>
          <w:rFonts w:ascii="Times New Roman" w:eastAsia="仿宋" w:cs="Times New Roman" w:hAnsi="Times New Roman"/>
        </w:rPr>
        <w:t>附表7  理县矿产资源开采规划区块表</w:t>
      </w:r>
      <w:bookmarkEnd w:id="93"/>
      <w:bookmarkEnd w:id="94"/>
      <w:bookmarkEnd w:id="95"/>
      <w:bookmarkEnd w:id="96"/>
      <w:bookmarkEnd w:id="97"/>
    </w:p>
    <w:tbl>
      <w:tblPr>
        <w:jc w:val="left"/>
        <w:tblInd w:w="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187"/>
        <w:gridCol w:w="1188"/>
        <w:gridCol w:w="1188"/>
        <w:gridCol w:w="1188"/>
        <w:gridCol w:w="1188"/>
        <w:gridCol w:w="1187"/>
        <w:gridCol w:w="1188"/>
        <w:gridCol w:w="1188"/>
        <w:gridCol w:w="1188"/>
        <w:gridCol w:w="1188"/>
        <w:gridCol w:w="1188"/>
      </w:tblGrid>
      <w:tr>
        <w:trPr>
          <w:trHeight w:val="712"/>
        </w:trPr>
        <w:tc>
          <w:tcPr>
            <w:tcW w:w="1197" w:type="dxa"/>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序号</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编号</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区块名称</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开采主矿种</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涉及开采总量控制矿种</w:t>
            </w:r>
          </w:p>
        </w:tc>
        <w:tc>
          <w:tcPr>
            <w:tcW w:w="1197"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面积（平方千米）</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拐点坐标</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资源量单位</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投放时序</w:t>
            </w:r>
          </w:p>
        </w:tc>
        <w:tc>
          <w:tcPr>
            <w:tcW w:w="1198" w:type="dxa"/>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备注</w:t>
            </w:r>
          </w:p>
        </w:tc>
      </w:tr>
      <w:tr>
        <w:trPr>
          <w:trHeight w:val="814"/>
        </w:trPr>
        <w:tc>
          <w:tcPr>
            <w:tcW w:w="13176" w:type="dxa"/>
            <w:gridSpan w:val="11"/>
            <w:tcBorders>
              <w:top w:val="nil"/>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此表内容为空</w:t>
            </w:r>
          </w:p>
        </w:tc>
      </w:tr>
    </w:tbl>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sectPr>
          <w:pgSz w:w="15840" w:h="12240"/>
          <w:pgMar w:top="1800" w:right="1440" w:bottom="1800" w:left="1440" w:header="720" w:footer="720" w:gutter="0"/>
          <w:pgNumType w:fmt="numberInDash"/>
          <w:docGrid w:type="lines" w:linePitch="312" w:charSpace="0"/>
        </w:sectPr>
      </w:pP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98" w:name="_Toc88758441"/>
      <w:bookmarkStart w:id="99" w:name="_Toc127347681"/>
      <w:bookmarkStart w:id="100" w:name="_Toc113279896"/>
      <w:bookmarkStart w:id="101" w:name="_Toc123831038"/>
      <w:bookmarkStart w:id="102" w:name="_Toc113437323"/>
      <w:bookmarkStart w:id="103" w:name="_Toc113483810"/>
      <w:r>
        <w:rPr>
          <w:rFonts w:ascii="Times New Roman" w:eastAsia="仿宋" w:cs="Times New Roman" w:hAnsi="Times New Roman"/>
        </w:rPr>
        <w:t>附表8  理县建筑用</w:t>
      </w:r>
      <w:bookmarkEnd w:id="98"/>
      <w:r>
        <w:rPr>
          <w:rFonts w:ascii="Times New Roman" w:eastAsia="仿宋" w:cs="Times New Roman" w:hAnsi="Times New Roman"/>
        </w:rPr>
        <w:t>砂石土类矿产集中开采区表</w:t>
      </w:r>
      <w:bookmarkEnd w:id="99"/>
      <w:bookmarkEnd w:id="100"/>
      <w:bookmarkEnd w:id="101"/>
      <w:bookmarkEnd w:id="102"/>
      <w:bookmarkEnd w:id="103"/>
    </w:p>
    <w:tbl>
      <w:tblPr>
        <w:jc w:val="left"/>
        <w:tblInd w:w="0" w:type="dxa"/>
        <w:tblW w:w="5000" w:type="pct"/>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669"/>
        <w:gridCol w:w="703"/>
        <w:gridCol w:w="705"/>
        <w:gridCol w:w="844"/>
        <w:gridCol w:w="982"/>
        <w:gridCol w:w="703"/>
        <w:gridCol w:w="844"/>
        <w:gridCol w:w="841"/>
        <w:gridCol w:w="844"/>
        <w:gridCol w:w="982"/>
        <w:gridCol w:w="1547"/>
        <w:gridCol w:w="985"/>
        <w:gridCol w:w="1685"/>
        <w:gridCol w:w="729"/>
      </w:tblGrid>
      <w:tr>
        <w:trPr>
          <w:trHeight w:val="698"/>
        </w:trPr>
        <w:tc>
          <w:tcPr>
            <w:tcW w:w="256" w:type="pct"/>
            <w:tcBorders>
              <w:top w:val="single" w:sz="4" w:space="0" w:color="auto"/>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序号</w:t>
            </w:r>
          </w:p>
        </w:tc>
        <w:tc>
          <w:tcPr>
            <w:tcW w:w="269"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编号</w:t>
            </w:r>
          </w:p>
        </w:tc>
        <w:tc>
          <w:tcPr>
            <w:tcW w:w="270"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名称</w:t>
            </w:r>
          </w:p>
        </w:tc>
        <w:tc>
          <w:tcPr>
            <w:tcW w:w="32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所在行政区</w:t>
            </w:r>
          </w:p>
        </w:tc>
        <w:tc>
          <w:tcPr>
            <w:tcW w:w="376"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面积（平方千米）</w:t>
            </w:r>
          </w:p>
        </w:tc>
        <w:tc>
          <w:tcPr>
            <w:tcW w:w="269"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拐点坐标</w:t>
            </w:r>
          </w:p>
        </w:tc>
        <w:tc>
          <w:tcPr>
            <w:tcW w:w="32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开采矿种</w:t>
            </w:r>
          </w:p>
        </w:tc>
        <w:tc>
          <w:tcPr>
            <w:tcW w:w="322"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资源量单位</w:t>
            </w:r>
          </w:p>
        </w:tc>
        <w:tc>
          <w:tcPr>
            <w:tcW w:w="323"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资源量</w:t>
            </w:r>
          </w:p>
        </w:tc>
        <w:tc>
          <w:tcPr>
            <w:tcW w:w="376"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己设采矿权数量</w:t>
            </w:r>
          </w:p>
        </w:tc>
        <w:tc>
          <w:tcPr>
            <w:tcW w:w="592"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己设采矿权涉及开采规划（万吨）</w:t>
            </w:r>
          </w:p>
        </w:tc>
        <w:tc>
          <w:tcPr>
            <w:tcW w:w="377"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拟设采矿权数量</w:t>
            </w:r>
          </w:p>
        </w:tc>
        <w:tc>
          <w:tcPr>
            <w:tcW w:w="645"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拟设采矿权涉及开采规划（万吨/年）</w:t>
            </w:r>
          </w:p>
        </w:tc>
        <w:tc>
          <w:tcPr>
            <w:tcW w:w="279"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备注</w:t>
            </w:r>
          </w:p>
        </w:tc>
      </w:tr>
      <w:tr>
        <w:trPr>
          <w:trHeight w:val="1269"/>
        </w:trPr>
        <w:tc>
          <w:tcPr>
            <w:tcW w:w="5000" w:type="pct"/>
            <w:gridSpan w:val="14"/>
            <w:tcBorders>
              <w:top w:val="nil"/>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此表内容为空</w:t>
            </w:r>
          </w:p>
        </w:tc>
      </w:tr>
    </w:tbl>
    <w:p>
      <w:pPr>
        <w:pageBreakBefore w:val="0"/>
        <w:widowControl w:val="0"/>
        <w:kinsoku/>
        <w:wordWrap/>
        <w:overflowPunct/>
        <w:topLinePunct w:val="0"/>
        <w:bidi w:val="0"/>
        <w:spacing w:line="576" w:lineRule="exact"/>
        <w:ind w:left="0" w:right="0" w:firstLineChars="200" w:firstLine="420"/>
        <w:rPr>
          <w:rFonts w:ascii="Times New Roman" w:eastAsia="仿宋" w:cs="Times New Roman" w:hAnsi="Times New Roman"/>
          <w:szCs w:val="21"/>
        </w:rPr>
      </w:pPr>
      <w:r>
        <w:rPr>
          <w:rFonts w:ascii="Times New Roman" w:eastAsia="仿宋" w:cs="Times New Roman" w:hAnsi="Times New Roman"/>
          <w:kern w:val="0"/>
          <w:szCs w:val="21"/>
        </w:rPr>
        <w:t>注：</w:t>
      </w:r>
      <w:r>
        <w:rPr>
          <w:rFonts w:ascii="Times New Roman" w:eastAsia="仿宋" w:cs="Times New Roman" w:hAnsi="Times New Roman"/>
          <w:szCs w:val="21"/>
        </w:rPr>
        <w:t>集中开采区坐标最终以数据库数据为准。</w:t>
      </w: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sectPr>
          <w:pgSz w:w="15840" w:h="12240"/>
          <w:pgMar w:top="1800" w:right="1440" w:bottom="1800" w:left="1440" w:header="720" w:footer="720" w:gutter="0"/>
          <w:pgNumType w:fmt="numberInDash"/>
          <w:docGrid w:type="lines" w:linePitch="312" w:charSpace="0"/>
        </w:sectPr>
      </w:pPr>
    </w:p>
    <w:p>
      <w:pPr>
        <w:pStyle w:val="2"/>
        <w:keepNext/>
        <w:keepLines/>
        <w:pageBreakBefore w:val="0"/>
        <w:widowControl w:val="0"/>
        <w:kinsoku/>
        <w:wordWrap/>
        <w:overflowPunct/>
        <w:topLinePunct w:val="0"/>
        <w:bidi w:val="0"/>
        <w:spacing w:beforeLines="0" w:before="0" w:afterLines="0" w:after="0" w:line="576" w:lineRule="exact"/>
        <w:ind w:leftChars="0" w:left="0" w:rightChars="0" w:right="0" w:firstLine="643"/>
        <w:jc w:val="left"/>
        <w:rPr>
          <w:rFonts w:ascii="Times New Roman" w:eastAsia="仿宋" w:cs="Times New Roman" w:hAnsi="Times New Roman"/>
        </w:rPr>
      </w:pPr>
      <w:bookmarkStart w:id="104" w:name="_Toc127347682"/>
      <w:r>
        <w:rPr>
          <w:rFonts w:ascii="Times New Roman" w:eastAsia="仿宋" w:cs="Times New Roman" w:hAnsi="Times New Roman"/>
        </w:rPr>
        <w:t>附表9  理县重点矿种矿山最低开采规模规划表</w:t>
      </w:r>
      <w:bookmarkEnd w:id="84"/>
      <w:bookmarkEnd w:id="85"/>
      <w:bookmarkEnd w:id="86"/>
      <w:bookmarkEnd w:id="87"/>
      <w:bookmarkEnd w:id="88"/>
      <w:bookmarkEnd w:id="89"/>
      <w:bookmarkEnd w:id="90"/>
      <w:bookmarkEnd w:id="91"/>
      <w:bookmarkEnd w:id="92"/>
      <w:bookmarkEnd w:id="104"/>
    </w:p>
    <w:tbl>
      <w:tblPr>
        <w:tblpPr w:leftFromText="180" w:rightFromText="180" w:vertAnchor="text" w:horzAnchor="margin" w:tblpXSpec="left" w:tblpY="158"/>
        <w:tblOverlap w:val="never"/>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669"/>
        <w:gridCol w:w="1425"/>
        <w:gridCol w:w="995"/>
        <w:gridCol w:w="1058"/>
        <w:gridCol w:w="1113"/>
        <w:gridCol w:w="669"/>
        <w:gridCol w:w="669"/>
        <w:gridCol w:w="1025"/>
        <w:gridCol w:w="1321"/>
      </w:tblGrid>
      <w:tr>
        <w:trPr>
          <w:trHeight w:val="77"/>
        </w:trPr>
        <w:tc>
          <w:tcPr>
            <w:tcW w:w="374" w:type="pct"/>
            <w:vMerge w:val="restart"/>
            <w:tcBorders>
              <w:top w:val="single" w:sz="4" w:space="0" w:color="auto"/>
              <w:left w:val="single" w:sz="4" w:space="0" w:color="auto"/>
              <w:bottom w:val="single" w:sz="4" w:space="0" w:color="000000"/>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Cs w:val="21"/>
              </w:rPr>
            </w:pPr>
            <w:r>
              <w:rPr>
                <w:rFonts w:ascii="Times New Roman" w:eastAsia="仿宋" w:cs="Times New Roman" w:hAnsi="Times New Roman"/>
                <w:kern w:val="0"/>
                <w:szCs w:val="21"/>
              </w:rPr>
              <w:t>序号</w:t>
            </w:r>
          </w:p>
        </w:tc>
        <w:tc>
          <w:tcPr>
            <w:tcW w:w="796" w:type="pct"/>
            <w:vMerge w:val="restart"/>
            <w:tcBorders>
              <w:top w:val="single" w:sz="4" w:space="0" w:color="auto"/>
              <w:left w:val="single" w:sz="4" w:space="0" w:color="auto"/>
              <w:bottom w:val="single" w:sz="4" w:space="0" w:color="000000"/>
              <w:right w:val="single" w:sz="4" w:space="0" w:color="auto"/>
            </w:tcBorders>
            <w:noWrap/>
            <w:vAlign w:val="center"/>
          </w:tcPr>
          <w:p>
            <w:pPr>
              <w:pageBreakBefore w:val="0"/>
              <w:widowControl/>
              <w:kinsoku/>
              <w:wordWrap/>
              <w:overflowPunct/>
              <w:topLinePunct w:val="0"/>
              <w:bidi w:val="0"/>
              <w:spacing w:line="576" w:lineRule="exact"/>
              <w:ind w:left="0" w:right="0" w:firstLine="560"/>
              <w:jc w:val="center"/>
              <w:rPr>
                <w:rFonts w:ascii="Times New Roman" w:eastAsia="仿宋" w:cs="Times New Roman" w:hAnsi="Times New Roman"/>
                <w:kern w:val="0"/>
                <w:szCs w:val="21"/>
              </w:rPr>
            </w:pPr>
            <w:r>
              <w:rPr>
                <w:rFonts w:ascii="Times New Roman" w:eastAsia="仿宋" w:cs="Times New Roman" w:hAnsi="Times New Roman"/>
                <w:kern w:val="0"/>
                <w:szCs w:val="21"/>
              </w:rPr>
              <w:t>矿种名称</w:t>
            </w:r>
          </w:p>
        </w:tc>
        <w:tc>
          <w:tcPr>
            <w:tcW w:w="1147" w:type="pct"/>
            <w:gridSpan w:val="2"/>
            <w:tcBorders>
              <w:top w:val="single" w:sz="4" w:space="0" w:color="auto"/>
              <w:left w:val="single" w:sz="4" w:space="0" w:color="auto"/>
              <w:bottom w:val="single" w:sz="4" w:space="0" w:color="000000"/>
              <w:right w:val="single" w:sz="4" w:space="0" w:color="000000"/>
            </w:tcBorders>
            <w:noWrap/>
            <w:vAlign w:val="center"/>
          </w:tcPr>
          <w:p>
            <w:pPr>
              <w:pageBreakBefore w:val="0"/>
              <w:widowControl/>
              <w:kinsoku/>
              <w:wordWrap/>
              <w:overflowPunct/>
              <w:topLinePunct w:val="0"/>
              <w:bidi w:val="0"/>
              <w:spacing w:line="576" w:lineRule="exact"/>
              <w:ind w:left="0" w:right="0" w:firstLine="560"/>
              <w:jc w:val="center"/>
              <w:rPr>
                <w:rFonts w:ascii="Times New Roman" w:eastAsia="仿宋" w:cs="Times New Roman" w:hAnsi="Times New Roman"/>
                <w:kern w:val="0"/>
                <w:szCs w:val="21"/>
              </w:rPr>
            </w:pPr>
            <w:r>
              <w:rPr>
                <w:rFonts w:ascii="Times New Roman" w:eastAsia="仿宋" w:cs="Times New Roman" w:hAnsi="Times New Roman"/>
                <w:kern w:val="0"/>
                <w:szCs w:val="21"/>
              </w:rPr>
              <w:t>储量规模</w:t>
            </w:r>
          </w:p>
        </w:tc>
        <w:tc>
          <w:tcPr>
            <w:tcW w:w="1943" w:type="pct"/>
            <w:gridSpan w:val="4"/>
            <w:tcBorders>
              <w:top w:val="single" w:sz="4" w:space="0" w:color="auto"/>
              <w:left w:val="nil"/>
              <w:bottom w:val="single" w:sz="4" w:space="0" w:color="auto"/>
              <w:right w:val="single" w:sz="4" w:space="0" w:color="000000"/>
            </w:tcBorders>
            <w:noWrap/>
            <w:vAlign w:val="center"/>
          </w:tcPr>
          <w:p>
            <w:pPr>
              <w:pageBreakBefore w:val="0"/>
              <w:widowControl/>
              <w:kinsoku/>
              <w:wordWrap/>
              <w:overflowPunct/>
              <w:topLinePunct w:val="0"/>
              <w:bidi w:val="0"/>
              <w:spacing w:line="576" w:lineRule="exact"/>
              <w:ind w:left="0" w:right="0" w:firstLine="560"/>
              <w:jc w:val="center"/>
              <w:rPr>
                <w:rFonts w:ascii="Times New Roman" w:eastAsia="仿宋" w:cs="Times New Roman" w:hAnsi="Times New Roman"/>
                <w:kern w:val="0"/>
                <w:szCs w:val="21"/>
              </w:rPr>
            </w:pPr>
            <w:r>
              <w:rPr>
                <w:rFonts w:ascii="Times New Roman" w:eastAsia="仿宋" w:cs="Times New Roman" w:hAnsi="Times New Roman"/>
                <w:kern w:val="0"/>
                <w:szCs w:val="21"/>
              </w:rPr>
              <w:t>矿山最低开采规模</w:t>
            </w:r>
          </w:p>
        </w:tc>
        <w:tc>
          <w:tcPr>
            <w:tcW w:w="738" w:type="pct"/>
            <w:vMerge w:val="restart"/>
            <w:tcBorders>
              <w:top w:val="single" w:sz="4" w:space="0" w:color="auto"/>
              <w:left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firstLine="560"/>
              <w:jc w:val="center"/>
              <w:rPr>
                <w:rFonts w:ascii="Times New Roman" w:eastAsia="仿宋" w:cs="Times New Roman" w:hAnsi="Times New Roman"/>
                <w:kern w:val="0"/>
                <w:szCs w:val="21"/>
              </w:rPr>
            </w:pPr>
            <w:r>
              <w:rPr>
                <w:rFonts w:ascii="Times New Roman" w:eastAsia="仿宋" w:cs="Times New Roman" w:hAnsi="Times New Roman"/>
                <w:kern w:val="0"/>
                <w:szCs w:val="21"/>
              </w:rPr>
              <w:t>备注</w:t>
            </w:r>
          </w:p>
        </w:tc>
      </w:tr>
      <w:tr>
        <w:trPr>
          <w:trHeight w:val="178"/>
        </w:trPr>
        <w:tc>
          <w:tcPr>
            <w:tcW w:w="374" w:type="pct"/>
            <w:vMerge/>
            <w:tcBorders>
              <w:top w:val="single" w:sz="4" w:space="0" w:color="auto"/>
              <w:left w:val="single" w:sz="4" w:space="0" w:color="auto"/>
              <w:bottom w:val="single" w:sz="4" w:space="0" w:color="000000"/>
              <w:right w:val="single" w:sz="4" w:space="0" w:color="auto"/>
            </w:tcBorders>
            <w:noWrap/>
            <w:vAlign w:val="center"/>
          </w:tcPr>
          <w:p/>
        </w:tc>
        <w:tc>
          <w:tcPr>
            <w:tcW w:w="796" w:type="pct"/>
            <w:vMerge/>
            <w:tcBorders>
              <w:top w:val="single" w:sz="4" w:space="0" w:color="auto"/>
              <w:left w:val="single" w:sz="4" w:space="0" w:color="auto"/>
              <w:bottom w:val="single" w:sz="4" w:space="0" w:color="000000"/>
              <w:right w:val="single" w:sz="4" w:space="0" w:color="auto"/>
            </w:tcBorders>
            <w:noWrap/>
            <w:vAlign w:val="center"/>
          </w:tcPr>
          <w:p/>
        </w:tc>
        <w:tc>
          <w:tcPr>
            <w:tcW w:w="556" w:type="pct"/>
            <w:tcBorders>
              <w:top w:val="single" w:sz="4" w:space="0" w:color="auto"/>
              <w:left w:val="single" w:sz="4" w:space="0" w:color="auto"/>
              <w:bottom w:val="single" w:sz="4" w:space="0" w:color="000000"/>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Cs w:val="21"/>
              </w:rPr>
            </w:pPr>
            <w:r>
              <w:rPr>
                <w:rFonts w:ascii="Times New Roman" w:eastAsia="仿宋" w:cs="Times New Roman" w:hAnsi="Times New Roman"/>
                <w:kern w:val="0"/>
                <w:szCs w:val="21"/>
              </w:rPr>
              <w:t>单位</w:t>
            </w:r>
          </w:p>
        </w:tc>
        <w:tc>
          <w:tcPr>
            <w:tcW w:w="591"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Cs w:val="21"/>
              </w:rPr>
            </w:pPr>
            <w:r>
              <w:rPr>
                <w:rFonts w:ascii="Times New Roman" w:eastAsia="仿宋" w:cs="Times New Roman" w:hAnsi="Times New Roman"/>
                <w:kern w:val="0"/>
                <w:szCs w:val="21"/>
              </w:rPr>
              <w:t>最低储量规模</w:t>
            </w:r>
          </w:p>
        </w:tc>
        <w:tc>
          <w:tcPr>
            <w:tcW w:w="622"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Cs w:val="21"/>
              </w:rPr>
            </w:pPr>
            <w:r>
              <w:rPr>
                <w:rFonts w:ascii="Times New Roman" w:eastAsia="仿宋" w:cs="Times New Roman" w:hAnsi="Times New Roman"/>
                <w:kern w:val="0"/>
                <w:szCs w:val="21"/>
              </w:rPr>
              <w:t>开采规模单位</w:t>
            </w:r>
          </w:p>
        </w:tc>
        <w:tc>
          <w:tcPr>
            <w:tcW w:w="374"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rPr>
                <w:rFonts w:ascii="Times New Roman" w:eastAsia="仿宋" w:cs="Times New Roman" w:hAnsi="Times New Roman"/>
                <w:kern w:val="0"/>
                <w:szCs w:val="21"/>
              </w:rPr>
            </w:pPr>
            <w:r>
              <w:rPr>
                <w:rFonts w:ascii="Times New Roman" w:eastAsia="仿宋" w:cs="Times New Roman" w:hAnsi="Times New Roman"/>
                <w:kern w:val="0"/>
                <w:szCs w:val="21"/>
              </w:rPr>
              <w:t>大型</w:t>
            </w:r>
          </w:p>
        </w:tc>
        <w:tc>
          <w:tcPr>
            <w:tcW w:w="374"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rPr>
                <w:rFonts w:ascii="Times New Roman" w:eastAsia="仿宋" w:cs="Times New Roman" w:hAnsi="Times New Roman"/>
                <w:kern w:val="0"/>
                <w:szCs w:val="21"/>
              </w:rPr>
            </w:pPr>
            <w:r>
              <w:rPr>
                <w:rFonts w:ascii="Times New Roman" w:eastAsia="仿宋" w:cs="Times New Roman" w:hAnsi="Times New Roman"/>
                <w:kern w:val="0"/>
                <w:szCs w:val="21"/>
              </w:rPr>
              <w:t>中型</w:t>
            </w:r>
          </w:p>
        </w:tc>
        <w:tc>
          <w:tcPr>
            <w:tcW w:w="572"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rPr>
                <w:rFonts w:ascii="Times New Roman" w:eastAsia="仿宋" w:cs="Times New Roman" w:hAnsi="Times New Roman"/>
                <w:kern w:val="0"/>
                <w:szCs w:val="21"/>
              </w:rPr>
            </w:pPr>
            <w:r>
              <w:rPr>
                <w:rFonts w:ascii="Times New Roman" w:eastAsia="仿宋" w:cs="Times New Roman" w:hAnsi="Times New Roman"/>
                <w:kern w:val="0"/>
                <w:szCs w:val="21"/>
              </w:rPr>
              <w:t>小型</w:t>
            </w:r>
          </w:p>
        </w:tc>
        <w:tc>
          <w:tcPr>
            <w:tcW w:w="738" w:type="pct"/>
            <w:vMerge/>
            <w:tcBorders>
              <w:left w:val="single" w:sz="4" w:space="0" w:color="auto"/>
              <w:bottom w:val="single" w:sz="4" w:space="0" w:color="auto"/>
              <w:right w:val="single" w:sz="4" w:space="0" w:color="auto"/>
            </w:tcBorders>
            <w:noWrap/>
            <w:vAlign w:val="center"/>
          </w:tcPr>
          <w:p/>
        </w:tc>
      </w:tr>
      <w:tr>
        <w:trPr>
          <w:trHeight w:val="436"/>
        </w:trPr>
        <w:tc>
          <w:tcPr>
            <w:tcW w:w="374" w:type="pct"/>
            <w:tcBorders>
              <w:top w:val="nil"/>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firstLine="36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1</w:t>
            </w:r>
          </w:p>
        </w:tc>
        <w:tc>
          <w:tcPr>
            <w:tcW w:w="796"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firstLine="36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金（岩金）</w:t>
            </w:r>
          </w:p>
          <w:p>
            <w:pPr>
              <w:pageBreakBefore w:val="0"/>
              <w:widowControl/>
              <w:kinsoku/>
              <w:wordWrap/>
              <w:overflowPunct/>
              <w:topLinePunct w:val="0"/>
              <w:bidi w:val="0"/>
              <w:spacing w:line="576" w:lineRule="exact"/>
              <w:ind w:left="0" w:right="0"/>
              <w:rPr>
                <w:rFonts w:ascii="Times New Roman" w:eastAsia="仿宋" w:cs="Times New Roman" w:hAnsi="Times New Roman"/>
                <w:kern w:val="0"/>
                <w:sz w:val="18"/>
                <w:szCs w:val="18"/>
              </w:rPr>
            </w:pPr>
            <w:r>
              <w:rPr>
                <w:rFonts w:ascii="Times New Roman" w:eastAsia="仿宋" w:cs="Times New Roman" w:hAnsi="Times New Roman"/>
                <w:kern w:val="0"/>
                <w:sz w:val="18"/>
                <w:szCs w:val="18"/>
              </w:rPr>
              <w:t>（地下开采）</w:t>
            </w:r>
          </w:p>
        </w:tc>
        <w:tc>
          <w:tcPr>
            <w:tcW w:w="556"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金属 吨</w:t>
            </w:r>
          </w:p>
        </w:tc>
        <w:tc>
          <w:tcPr>
            <w:tcW w:w="591"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2.5</w:t>
            </w:r>
          </w:p>
        </w:tc>
        <w:tc>
          <w:tcPr>
            <w:tcW w:w="622"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矿石万吨/年</w:t>
            </w:r>
          </w:p>
        </w:tc>
        <w:tc>
          <w:tcPr>
            <w:tcW w:w="374"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15</w:t>
            </w:r>
          </w:p>
        </w:tc>
        <w:tc>
          <w:tcPr>
            <w:tcW w:w="374"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6</w:t>
            </w:r>
          </w:p>
        </w:tc>
        <w:tc>
          <w:tcPr>
            <w:tcW w:w="572"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3</w:t>
            </w:r>
          </w:p>
        </w:tc>
        <w:tc>
          <w:tcPr>
            <w:tcW w:w="738"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firstLine="360"/>
              <w:jc w:val="center"/>
              <w:rPr>
                <w:rFonts w:ascii="Times New Roman" w:eastAsia="仿宋" w:cs="Times New Roman" w:hAnsi="Times New Roman"/>
                <w:kern w:val="0"/>
                <w:sz w:val="18"/>
                <w:szCs w:val="18"/>
              </w:rPr>
            </w:pPr>
          </w:p>
        </w:tc>
      </w:tr>
      <w:tr>
        <w:trPr>
          <w:trHeight w:val="436"/>
        </w:trPr>
        <w:tc>
          <w:tcPr>
            <w:tcW w:w="374" w:type="pct"/>
            <w:tcBorders>
              <w:top w:val="nil"/>
              <w:left w:val="single" w:sz="4" w:space="0" w:color="auto"/>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firstLine="36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2</w:t>
            </w:r>
          </w:p>
        </w:tc>
        <w:tc>
          <w:tcPr>
            <w:tcW w:w="796"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firstLine="36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地热（热水/热气）</w:t>
            </w:r>
          </w:p>
        </w:tc>
        <w:tc>
          <w:tcPr>
            <w:tcW w:w="556"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电（热）能 兆瓦</w:t>
            </w:r>
          </w:p>
        </w:tc>
        <w:tc>
          <w:tcPr>
            <w:tcW w:w="591"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1/1</w:t>
            </w:r>
          </w:p>
        </w:tc>
        <w:tc>
          <w:tcPr>
            <w:tcW w:w="622"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万立方米/年</w:t>
            </w:r>
          </w:p>
        </w:tc>
        <w:tc>
          <w:tcPr>
            <w:tcW w:w="374"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20/10</w:t>
            </w:r>
          </w:p>
        </w:tc>
        <w:tc>
          <w:tcPr>
            <w:tcW w:w="374"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10/5</w:t>
            </w:r>
          </w:p>
        </w:tc>
        <w:tc>
          <w:tcPr>
            <w:tcW w:w="572" w:type="pct"/>
            <w:tcBorders>
              <w:top w:val="nil"/>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jc w:val="center"/>
              <w:rPr>
                <w:rFonts w:ascii="Times New Roman" w:eastAsia="仿宋" w:cs="Times New Roman" w:hAnsi="Times New Roman"/>
                <w:kern w:val="0"/>
                <w:sz w:val="18"/>
                <w:szCs w:val="18"/>
              </w:rPr>
            </w:pPr>
            <w:r>
              <w:rPr>
                <w:rFonts w:ascii="Times New Roman" w:eastAsia="仿宋" w:cs="Times New Roman" w:hAnsi="Times New Roman"/>
                <w:kern w:val="0"/>
                <w:sz w:val="18"/>
                <w:szCs w:val="18"/>
              </w:rPr>
              <w:t>1/0.5</w:t>
            </w:r>
          </w:p>
        </w:tc>
        <w:tc>
          <w:tcPr>
            <w:tcW w:w="738" w:type="pct"/>
            <w:tcBorders>
              <w:top w:val="single" w:sz="4" w:space="0" w:color="auto"/>
              <w:left w:val="nil"/>
              <w:bottom w:val="single" w:sz="4" w:space="0" w:color="auto"/>
              <w:right w:val="single" w:sz="4" w:space="0" w:color="auto"/>
            </w:tcBorders>
            <w:noWrap/>
            <w:vAlign w:val="center"/>
          </w:tcPr>
          <w:p>
            <w:pPr>
              <w:pageBreakBefore w:val="0"/>
              <w:widowControl/>
              <w:kinsoku/>
              <w:wordWrap/>
              <w:overflowPunct/>
              <w:topLinePunct w:val="0"/>
              <w:bidi w:val="0"/>
              <w:spacing w:line="576" w:lineRule="exact"/>
              <w:ind w:left="0" w:right="0" w:firstLine="360"/>
              <w:jc w:val="center"/>
              <w:rPr>
                <w:rFonts w:ascii="Times New Roman" w:eastAsia="仿宋" w:cs="Times New Roman" w:hAnsi="Times New Roman"/>
                <w:kern w:val="0"/>
                <w:sz w:val="18"/>
                <w:szCs w:val="18"/>
              </w:rPr>
            </w:pPr>
          </w:p>
        </w:tc>
      </w:tr>
    </w:tbl>
    <w:p>
      <w:pPr>
        <w:pStyle w:val="21"/>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76" w:lineRule="exact"/>
        <w:ind w:left="0" w:right="0"/>
        <w:jc w:val="left"/>
        <w:textAlignment w:val="auto"/>
        <w:rPr>
          <w:rFonts w:ascii="Times New Roman" w:eastAsia="仿宋_GB2312" w:cs="Times New Roman" w:hAnsi="Times New Roman"/>
          <w:sz w:val="32"/>
          <w:szCs w:val="32"/>
          <w:lang w:eastAsia="zh-CN"/>
        </w:rPr>
      </w:pPr>
    </w:p>
    <w:p>
      <w:pPr>
        <w:ind w:firstLineChars="1100" w:firstLine="3520"/>
        <w:rPr>
          <w:rFonts w:ascii="Times New Roman" w:eastAsia="仿宋_GB2312" w:cs="Times New Roman" w:hAnsi="Times New Roman"/>
          <w:sz w:val="32"/>
          <w:szCs w:val="32"/>
        </w:rPr>
      </w:pPr>
    </w:p>
    <w:sectPr>
      <w:pgSz w:w="11906" w:h="16838"/>
      <w:pgMar w:top="2098" w:right="1474" w:bottom="1984" w:left="158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88"/>
    <w:family w:val="auto"/>
    <w:pitch w:val="variable"/>
    <w:sig w:usb0="E0002AFF" w:usb1="C0007841" w:usb2="00000009" w:usb3="00000000" w:csb0="400001FF" w:csb1="FFFF0000"/>
  </w:font>
  <w:font w:name="方正小标宋简体">
    <w:panose1 w:val="02010601030101010101"/>
    <w:charset w:val="86"/>
    <w:family w:val="auto"/>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仿宋">
    <w:panose1 w:val="02010609060101010101"/>
    <w:charset w:val="86"/>
    <w:family w:val="modern"/>
    <w:pitch w:val="variable"/>
    <w:sig w:usb0="800002BF" w:usb1="38CF7CFA" w:usb2="00000016" w:usb3="00000000" w:csb0="00040001" w:csb1="00000000"/>
  </w:font>
  <w:font w:name="宋体">
    <w:panose1 w:val="02010600030101010101"/>
    <w:charset w:val="7A"/>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tabs>
        <w:tab w:val="center" w:pos="4153"/>
        <w:tab w:val="right" w:pos="8306"/>
      </w:tabs>
      <w:jc w:val="center"/>
      <w:rPr>
        <w:b/>
        <w:sz w:val="22"/>
      </w:rPr>
    </w:pPr>
    <w:r>
      <w:rPr>
        <w:sz w:val="22"/>
      </w:rPr>
      <mc:AlternateContent>
        <mc:Choice Requires="wps">
          <w:drawing>
            <wp:anchor distT="0" distB="0" distL="114298" distR="114298" simplePos="0" relativeHeight="16" behindDoc="0" locked="0" layoutInCell="1" hidden="0" allowOverlap="1">
              <wp:simplePos x="0" y="0"/>
              <wp:positionH relativeFrom="margin">
                <wp:align>outside</wp:align>
              </wp:positionH>
              <wp:positionV relativeFrom="paragraph">
                <wp:align>top</wp:align>
              </wp:positionV>
              <wp:extent cx="438954" cy="230251"/>
              <wp:effectExtent l="0" t="0" r="0" b="0"/>
              <wp:wrapNone/>
              <wp:docPr id="4" name="文本框 2"/>
              <wp:cNvGraphicFramePr>
                <a:graphicFrameLocks noChangeAspect="0"/>
              </wp:cNvGraphicFramePr>
              <a:graphic>
                <a:graphicData uri="http://schemas.microsoft.com/office/word/2010/wordprocessingShape">
                  <wps:wsp>
                    <wps:cNvSpPr/>
                    <wps:spPr>
                      <a:xfrm rot="0">
                        <a:off x="0" y="0"/>
                        <a:ext cx="438954" cy="230251"/>
                      </a:xfrm>
                      <a:prstGeom prst="rect"/>
                      <a:noFill/>
                      <a:ln w="9525" cmpd="sng" cap="flat">
                        <a:noFill/>
                        <a:prstDash val="solid"/>
                        <a:round/>
                      </a:ln>
                    </wps:spPr>
                    <wps:txbx id="5">
                      <w:txbxContent>
                        <w:p>
                          <w:pPr>
                            <w:pStyle w:val="17"/>
                            <w:tabs>
                              <w:tab w:val="center" w:pos="4153"/>
                              <w:tab w:val="right" w:pos="8306"/>
                            </w:tabs>
                            <w:jc w:val="center"/>
                            <w:rPr>
                              <w:rFonts w:ascii="宋体" w:eastAsia="宋体" w:cs="宋体" w:hint="eastAsia"/>
                              <w:sz w:val="28"/>
                              <w:szCs w:val="28"/>
                            </w:rPr>
                          </w:pPr>
                          <w:r>
                            <w:rPr>
                              <w:rFonts w:ascii="宋体" w:eastAsia="宋体" w:cs="宋体" w:hint="eastAsia"/>
                              <w:b/>
                              <w:sz w:val="28"/>
                              <w:szCs w:val="28"/>
                            </w:rPr>
                            <w:fldChar w:fldCharType="begin"/>
                          </w:r>
                          <w:r>
                            <w:rPr>
                              <w:rFonts w:ascii="宋体" w:eastAsia="宋体" w:cs="宋体" w:hint="eastAsia"/>
                              <w:b/>
                              <w:sz w:val="28"/>
                              <w:szCs w:val="28"/>
                            </w:rPr>
                            <w:instrText xml:space="preserve"> PAGE   \* MERGEFORMAT </w:instrText>
                          </w:r>
                          <w:r>
                            <w:rPr>
                              <w:rFonts w:ascii="宋体" w:eastAsia="宋体" w:cs="宋体" w:hint="eastAsia"/>
                              <w:b/>
                              <w:sz w:val="28"/>
                              <w:szCs w:val="28"/>
                            </w:rPr>
                            <w:fldChar w:fldCharType="separate"/>
                          </w:r>
                          <w:r>
                            <w:rPr>
                              <w:rFonts w:ascii="宋体" w:eastAsia="宋体" w:cs="宋体" w:hint="eastAsia"/>
                              <w:b/>
                              <w:sz w:val="28"/>
                              <w:szCs w:val="28"/>
                              <w:lang w:val="zh-CN"/>
                            </w:rPr>
                            <w:t>-</w:t>
                          </w:r>
                          <w:r>
                            <w:rPr>
                              <w:rFonts w:ascii="宋体" w:eastAsia="宋体" w:cs="宋体" w:hint="eastAsia"/>
                              <w:b/>
                              <w:sz w:val="28"/>
                              <w:szCs w:val="28"/>
                            </w:rPr>
                            <w:t xml:space="preserve"> 1 -</w:t>
                          </w:r>
                          <w:r>
                            <w:rPr>
                              <w:rFonts w:ascii="宋体" w:eastAsia="宋体" w:cs="宋体" w:hint="eastAsia"/>
                              <w:b/>
                              <w:sz w:val="28"/>
                              <w:szCs w:val="28"/>
                              <w:lang w:val="zh-CN"/>
                            </w:rPr>
                            <w:fldChar w:fldCharType="end"/>
                          </w:r>
                        </w:p>
                      </w:txbxContent>
                    </wps:txbx>
                    <wps:bodyPr vert="horz" wrap="none" lIns="0" tIns="0" rIns="0" bIns="0" anchor="t" anchorCtr="0" upright="0">
                      <a:spAutoFit/>
                    </wps:bodyPr>
                  </wps:wsp>
                </a:graphicData>
              </a:graphic>
            </wp:anchor>
          </w:drawing>
        </mc:Choice>
        <mc:Fallback>
          <w:pict>
            <v:shape type="#_x0000_t202" id="文本框 2 6" o:spid="_x0000_s6" filled="f" stroked="f" style="position:absolute;margin-left:0.0pt;margin-top:0.0pt;width:34.56333pt;height:18.130003pt;z-index:16;mso-position-horizontal:outside;mso-position-horizontal-relative:margin;mso-position-vertical:top;mso-wrap-distance-left:8.999863pt;mso-wrap-distance-right:8.999863pt;mso-wrap-style:none;">
              <v:stroke color="#000000"/>
              <v:textbox id="849" inset="0mm,0mm,0mm,0mm" o:insetmode="custom" style="layout-flow:horizontal;v-text-anchor:top;mso-fit-shape-to-text:t;">
                <w:txbxContent>
                  <w:p>
                    <w:pPr>
                      <w:pStyle w:val="17"/>
                      <w:tabs>
                        <w:tab w:val="center" w:pos="4153"/>
                        <w:tab w:val="right" w:pos="8306"/>
                      </w:tabs>
                      <w:jc w:val="center"/>
                      <w:rPr>
                        <w:rFonts w:ascii="宋体" w:eastAsia="宋体" w:cs="宋体" w:hint="eastAsia"/>
                        <w:sz w:val="28"/>
                        <w:szCs w:val="28"/>
                      </w:rPr>
                    </w:pPr>
                    <w:r>
                      <w:rPr>
                        <w:rFonts w:ascii="宋体" w:eastAsia="宋体" w:cs="宋体" w:hint="eastAsia"/>
                        <w:b/>
                        <w:sz w:val="28"/>
                        <w:szCs w:val="28"/>
                      </w:rPr>
                      <w:fldChar w:fldCharType="begin"/>
                    </w:r>
                    <w:r>
                      <w:rPr>
                        <w:rFonts w:ascii="宋体" w:eastAsia="宋体" w:cs="宋体" w:hint="eastAsia"/>
                        <w:b/>
                        <w:sz w:val="28"/>
                        <w:szCs w:val="28"/>
                      </w:rPr>
                      <w:instrText xml:space="preserve"> PAGE   \* MERGEFORMAT </w:instrText>
                    </w:r>
                    <w:r>
                      <w:rPr>
                        <w:rFonts w:ascii="宋体" w:eastAsia="宋体" w:cs="宋体" w:hint="eastAsia"/>
                        <w:b/>
                        <w:sz w:val="28"/>
                        <w:szCs w:val="28"/>
                      </w:rPr>
                      <w:fldChar w:fldCharType="separate"/>
                    </w:r>
                    <w:r>
                      <w:rPr>
                        <w:rFonts w:ascii="宋体" w:eastAsia="宋体" w:cs="宋体" w:hint="eastAsia"/>
                        <w:b/>
                        <w:sz w:val="28"/>
                        <w:szCs w:val="28"/>
                        <w:lang w:val="zh-CN"/>
                      </w:rPr>
                      <w:t>-</w:t>
                    </w:r>
                    <w:r>
                      <w:rPr>
                        <w:rFonts w:ascii="宋体" w:eastAsia="宋体" w:cs="宋体" w:hint="eastAsia"/>
                        <w:b/>
                        <w:sz w:val="28"/>
                        <w:szCs w:val="28"/>
                      </w:rPr>
                      <w:t xml:space="preserve"> 1 -</w:t>
                    </w:r>
                    <w:r>
                      <w:rPr>
                        <w:rFonts w:ascii="宋体" w:eastAsia="宋体" w:cs="宋体" w:hint="eastAsia"/>
                        <w:b/>
                        <w:sz w:val="28"/>
                        <w:szCs w:val="28"/>
                        <w:lang w:val="zh-CN"/>
                      </w:rPr>
                      <w:fldChar w:fldCharType="end"/>
                    </w:r>
                  </w:p>
                </w:txbxContent>
              </v:textbox>
            </v:shape>
          </w:pict>
        </mc:Fallback>
      </mc:AlternateConten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tabs>
        <w:tab w:val="center" w:pos="4153"/>
        <w:tab w:val="right" w:pos="8306"/>
      </w:tabs>
      <w:jc w:val="center"/>
      <w:rPr>
        <w:b/>
        <w:sz w:val="22"/>
      </w:rPr>
    </w:pPr>
    <w:r>
      <w:rPr>
        <w:sz w:val="22"/>
      </w:rPr>
      <mc:AlternateContent>
        <mc:Choice Requires="wps">
          <w:drawing>
            <wp:anchor distT="0" distB="0" distL="114298" distR="114298" simplePos="0" relativeHeight="18" behindDoc="0" locked="0" layoutInCell="1" hidden="0" allowOverlap="1">
              <wp:simplePos x="0" y="0"/>
              <wp:positionH relativeFrom="margin">
                <wp:align>outside</wp:align>
              </wp:positionH>
              <wp:positionV relativeFrom="paragraph">
                <wp:align>top</wp:align>
              </wp:positionV>
              <wp:extent cx="133581" cy="170574"/>
              <wp:effectExtent l="0" t="0" r="0" b="0"/>
              <wp:wrapNone/>
              <wp:docPr id="7" name="文本框 3"/>
              <wp:cNvGraphicFramePr>
                <a:graphicFrameLocks noChangeAspect="0"/>
              </wp:cNvGraphicFramePr>
              <a:graphic>
                <a:graphicData uri="http://schemas.microsoft.com/office/word/2010/wordprocessingShape">
                  <wps:wsp>
                    <wps:cNvSpPr/>
                    <wps:spPr>
                      <a:xfrm rot="0">
                        <a:off x="0" y="0"/>
                        <a:ext cx="133581" cy="170574"/>
                      </a:xfrm>
                      <a:prstGeom prst="rect"/>
                      <a:noFill/>
                      <a:ln w="9525" cmpd="sng" cap="flat">
                        <a:noFill/>
                        <a:prstDash val="solid"/>
                        <a:round/>
                      </a:ln>
                    </wps:spPr>
                    <wps:txbx id="8">
                      <w:txbxContent>
                        <w:p>
                          <w:pPr>
                            <w:pStyle w:val="17"/>
                            <w:tabs>
                              <w:tab w:val="center" w:pos="4153"/>
                              <w:tab w:val="right" w:pos="8306"/>
                            </w:tabs>
                            <w:rPr>
                              <w:sz w:val="22"/>
                            </w:rPr>
                          </w:pPr>
                          <w:r>
                            <w:rPr>
                              <w:b/>
                              <w:sz w:val="22"/>
                            </w:rPr>
                            <w:fldChar w:fldCharType="begin"/>
                          </w:r>
                          <w:r>
                            <w:rPr>
                              <w:b/>
                              <w:sz w:val="22"/>
                            </w:rPr>
                            <w:instrText xml:space="preserve"> PAGE  </w:instrText>
                          </w:r>
                          <w:r>
                            <w:rPr>
                              <w:b/>
                              <w:sz w:val="22"/>
                            </w:rPr>
                            <w:fldChar w:fldCharType="separate"/>
                          </w:r>
                          <w:r>
                            <w:rPr>
                              <w:b/>
                              <w:sz w:val="22"/>
                            </w:rPr>
                            <w:t>- 18 -</w:t>
                          </w:r>
                          <w:r>
                            <w:rPr>
                              <w:b/>
                              <w:sz w:val="22"/>
                            </w:rPr>
                            <w:fldChar w:fldCharType="end"/>
                          </w:r>
                        </w:p>
                      </w:txbxContent>
                    </wps:txbx>
                    <wps:bodyPr vert="horz" wrap="none" lIns="0" tIns="0" rIns="0" bIns="0" anchor="t" anchorCtr="0" upright="0">
                      <a:spAutoFit/>
                    </wps:bodyPr>
                  </wps:wsp>
                </a:graphicData>
              </a:graphic>
            </wp:anchor>
          </w:drawing>
        </mc:Choice>
        <mc:Fallback>
          <w:pict>
            <v:shape type="#_x0000_t202" id="文本框 3 9" o:spid="_x0000_s9" filled="f" stroked="f" style="position:absolute;margin-left:0.0pt;margin-top:0.0pt;width:10.518242pt;height:13.43104pt;z-index:18;mso-position-horizontal:outside;mso-position-horizontal-relative:margin;mso-position-vertical:top;mso-wrap-distance-left:8.999863pt;mso-wrap-distance-right:8.999863pt;mso-wrap-style:none;">
              <v:stroke color="#000000"/>
              <v:textbox id="850" inset="0mm,0mm,0mm,0mm" o:insetmode="custom" style="layout-flow:horizontal;v-text-anchor:top;mso-fit-shape-to-text:t;">
                <w:txbxContent>
                  <w:p>
                    <w:pPr>
                      <w:pStyle w:val="17"/>
                      <w:tabs>
                        <w:tab w:val="center" w:pos="4153"/>
                        <w:tab w:val="right" w:pos="8306"/>
                      </w:tabs>
                      <w:rPr>
                        <w:sz w:val="22"/>
                      </w:rPr>
                    </w:pPr>
                    <w:r>
                      <w:rPr>
                        <w:b/>
                        <w:sz w:val="22"/>
                      </w:rPr>
                      <w:fldChar w:fldCharType="begin"/>
                    </w:r>
                    <w:r>
                      <w:rPr>
                        <w:b/>
                        <w:sz w:val="22"/>
                      </w:rPr>
                      <w:instrText xml:space="preserve"> PAGE  </w:instrText>
                    </w:r>
                    <w:r>
                      <w:rPr>
                        <w:b/>
                        <w:sz w:val="22"/>
                      </w:rPr>
                      <w:fldChar w:fldCharType="separate"/>
                    </w:r>
                    <w:r>
                      <w:rPr>
                        <w:b/>
                        <w:sz w:val="22"/>
                      </w:rPr>
                      <w:t>- 18 -</w:t>
                    </w:r>
                    <w:r>
                      <w:rPr>
                        <w:b/>
                        <w:sz w:val="22"/>
                      </w:rPr>
                      <w:fldChar w:fldCharType="end"/>
                    </w:r>
                  </w:p>
                </w:txbxContent>
              </v:textbox>
            </v:shape>
          </w:pict>
        </mc:Fallback>
      </mc:AlternateConten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TQ0ZTdhYmIxNTc2ODBhZjg2YzE2ZGI2YmM3ZGYwODk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widowControl w:val="0"/>
      <w:spacing w:beforeLines="100" w:before="100" w:beforeAutospacing="0" w:afterLines="100" w:after="100" w:afterAutospacing="0" w:line="576" w:lineRule="auto"/>
      <w:jc w:val="center"/>
      <w:outlineLvl w:val="0"/>
    </w:pPr>
    <w:rPr>
      <w:rFonts w:ascii="Times New Roman" w:hAnsi="Times New Roman"/>
      <w:b/>
      <w:kern w:val="44"/>
      <w:sz w:val="44"/>
    </w:rPr>
  </w:style>
  <w:style w:type="paragraph" w:styleId="2">
    <w:name w:val="heading 2"/>
    <w:basedOn w:val="0"/>
    <w:next w:val="0"/>
    <w:pPr>
      <w:keepNext/>
      <w:keepLines/>
      <w:widowControl w:val="0"/>
      <w:spacing w:beforeLines="50" w:before="50" w:beforeAutospacing="0" w:afterLines="50" w:after="50" w:afterAutospacing="0" w:line="413" w:lineRule="auto"/>
      <w:ind w:leftChars="100" w:left="100" w:rightChars="100" w:right="100"/>
      <w:jc w:val="center"/>
      <w:outlineLvl w:val="1"/>
    </w:pPr>
    <w:rPr>
      <w:rFonts w:ascii="Arial" w:eastAsia="黑体" w:hAnsi="Arial"/>
      <w:b/>
      <w:kern w:val="2"/>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Body Text Indent"/>
    <w:basedOn w:val="0"/>
    <w:next w:val="16"/>
    <w:pPr>
      <w:spacing w:after="120" w:afterAutospacing="0"/>
      <w:ind w:leftChars="200" w:left="200"/>
    </w:pPr>
    <w:rPr>
      <w:rFonts w:ascii="Calibri" w:hAnsi="Calibri"/>
    </w:rPr>
  </w:style>
  <w:style w:type="paragraph" w:styleId="16">
    <w:name w:val="Body Text First Indent 2"/>
    <w:basedOn w:val="15"/>
    <w:next w:val="0"/>
    <w:pPr>
      <w:ind w:firstLineChars="200" w:firstLine="200"/>
    </w:pPr>
    <w:rPr>
      <w:rFonts w:ascii="Calibri" w:hAnsi="Calibri"/>
    </w:rPr>
  </w:style>
  <w:style w:type="paragraph" w:styleId="17">
    <w:name w:val="footer"/>
    <w:basedOn w:val="0"/>
    <w:pPr>
      <w:tabs>
        <w:tab w:val="center" w:pos="4153"/>
        <w:tab w:val="right" w:pos="8306"/>
      </w:tabs>
      <w:snapToGrid w:val="0"/>
      <w:jc w:val="left"/>
    </w:pPr>
    <w:rPr>
      <w:kern w:val="2"/>
      <w:sz w:val="18"/>
    </w:rPr>
  </w:style>
  <w:style w:type="paragraph" w:styleId="18">
    <w:name w:val="header"/>
    <w:basedOn w:val="0"/>
    <w:pPr>
      <w:pBdr>
        <w:top w:val="none" w:sz="0" w:space="0" w:color="auto"/>
        <w:left w:val="none" w:sz="0" w:space="0" w:color="auto"/>
        <w:bottom w:val="none" w:sz="0" w:space="0" w:color="auto"/>
        <w:right w:val="none" w:sz="0" w:space="0" w:color="auto"/>
      </w:pBdr>
      <w:tabs>
        <w:tab w:val="center" w:pos="4153"/>
        <w:tab w:val="right" w:pos="8306"/>
      </w:tabs>
      <w:snapToGrid w:val="0"/>
      <w:spacing w:line="240" w:lineRule="auto"/>
      <w:jc w:val="both"/>
      <w:outlineLvl w:val="9"/>
    </w:pPr>
    <w:rPr>
      <w:sz w:val="18"/>
    </w:rPr>
  </w:style>
  <w:style w:type="paragraph" w:styleId="19">
    <w:name w:val="toc 1"/>
    <w:basedOn w:val="0"/>
    <w:next w:val="0"/>
    <w:pPr>
      <w:tabs>
        <w:tab w:val="right" w:leader="dot" w:pos="8296"/>
      </w:tabs>
      <w:spacing w:line="480" w:lineRule="auto"/>
      <w:jc w:val="left"/>
    </w:pPr>
    <w:rPr>
      <w:rFonts w:ascii="宋体"/>
      <w:caps/>
      <w:smallCaps w:val="0"/>
      <w:sz w:val="28"/>
    </w:rPr>
  </w:style>
  <w:style w:type="paragraph" w:styleId="20">
    <w:name w:val="toc 2"/>
    <w:basedOn w:val="0"/>
    <w:next w:val="0"/>
    <w:pPr>
      <w:ind w:leftChars="200" w:left="200"/>
    </w:pPr>
  </w:style>
  <w:style w:type="paragraph" w:styleId="21">
    <w:name w:val="Normal (Web)"/>
    <w:basedOn w:val="0"/>
    <w:pPr>
      <w:spacing w:before="0" w:beforeAutospacing="1" w:after="0" w:afterAutospacing="1"/>
      <w:ind w:left="0" w:right="0"/>
      <w:jc w:val="left"/>
    </w:pPr>
    <w:rPr>
      <w:kern w:val="0"/>
      <w:sz w:val="24"/>
      <w:lang w:val="en-US" w:eastAsia="zh-CN"/>
    </w:rPr>
  </w:style>
  <w:style w:type="character" w:styleId="22">
    <w:name w:val="Hyperlink"/>
    <w:rPr>
      <w:color w:val="0000FF"/>
      <w:u w:val="single"/>
    </w:rPr>
  </w:style>
  <w:style w:type="paragraph" w:customStyle="1" w:styleId="23">
    <w:name w:val="TOC Heading"/>
    <w:basedOn w:val="1"/>
    <w:next w:val="0"/>
    <w:pPr>
      <w:keepNext/>
      <w:keepLines/>
      <w:widowControl/>
      <w:spacing w:line="276" w:lineRule="auto"/>
      <w:jc w:val="left"/>
      <w:outlineLvl w:val="9"/>
    </w:pPr>
    <w:rPr>
      <w:rFonts w:ascii="Cambria" w:eastAsia="宋体" w:hAnsi="Cambria"/>
      <w:color w:val="366091"/>
      <w:kern w:val="0"/>
      <w:sz w:val="2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Yozo_Office27021597764231179</Application>
  <Pages>39</Pages>
  <Words>12976</Words>
  <Characters>13413</Characters>
  <Lines>956</Lines>
  <Paragraphs>427</Paragraphs>
  <CharactersWithSpaces>13660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1</cp:revision>
  <dcterms:created xsi:type="dcterms:W3CDTF">2023-05-08T02:13:00Z</dcterms:created>
  <dcterms:modified xsi:type="dcterms:W3CDTF">2023-05-08T02:19:18Z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54A22FFA4A7943919A984F195B497D06_11</vt:lpwstr>
  </property>
</Properties>
</file>