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220" w:lineRule="atLeast"/>
      </w:pPr>
      <w:bookmarkStart w:id="0" w:name="_GoBack"/>
      <w:bookmarkEnd w:id="0"/>
      <w:r>
        <w:rPr>
          <w:rFonts w:ascii="Times New Roman" w:eastAsia="仿宋_GB2312" w:cs="宋体" w:hAnsi="Times New Roman" w:hint="eastAsia"/>
          <w:color w:val="000000"/>
          <w:sz w:val="30"/>
          <w:szCs w:val="30"/>
        </w:rPr>
        <w:t>附件：</w:t>
      </w:r>
    </w:p>
    <w:p>
      <w:pPr>
        <w:spacing w:line="220" w:lineRule="atLeast"/>
      </w:pPr>
    </w:p>
    <w:p>
      <w:pPr>
        <w:widowControl w:val="0"/>
        <w:shd w:val="clear" w:color="auto" w:fill="FFFFFF"/>
        <w:overflowPunct w:val="0"/>
        <w:topLinePunct/>
        <w:adjustRightInd/>
        <w:snapToGrid/>
        <w:spacing w:after="0" w:line="576" w:lineRule="exact"/>
        <w:jc w:val="center"/>
        <w:rPr>
          <w:rFonts w:ascii="宋体" w:eastAsia="宋体" w:cs="宋体"/>
          <w:color w:val="333333"/>
          <w:sz w:val="24"/>
          <w:szCs w:val="24"/>
        </w:rPr>
      </w:pPr>
      <w:r>
        <w:rPr>
          <w:rFonts w:ascii="Times New Roman" w:eastAsia="方正小标宋简体" w:cs="宋体" w:hAnsi="Times New Roman" w:hint="eastAsia"/>
          <w:sz w:val="44"/>
          <w:szCs w:val="44"/>
        </w:rPr>
        <w:t>第一轮省级生态环境保护督察“回头看”第</w:t>
      </w:r>
      <w:r>
        <w:rPr>
          <w:rFonts w:ascii="Times New Roman" w:eastAsia="方正小标宋简体" w:cs="Times New Roman" w:hAnsi="Times New Roman"/>
          <w:sz w:val="44"/>
          <w:szCs w:val="44"/>
        </w:rPr>
        <w:t>46</w:t>
      </w:r>
      <w:r>
        <w:rPr>
          <w:rFonts w:ascii="Times New Roman" w:eastAsia="方正小标宋简体" w:cs="宋体" w:hAnsi="Times New Roman" w:hint="eastAsia"/>
          <w:sz w:val="44"/>
          <w:szCs w:val="44"/>
        </w:rPr>
        <w:t>项整改任务完成情况表</w:t>
      </w:r>
    </w:p>
    <w:p>
      <w:pPr>
        <w:widowControl w:val="0"/>
        <w:shd w:val="clear" w:color="auto" w:fill="FFFFFF"/>
        <w:overflowPunct w:val="0"/>
        <w:topLinePunct/>
        <w:adjustRightInd/>
        <w:snapToGrid/>
        <w:spacing w:line="576" w:lineRule="exact"/>
        <w:jc w:val="center"/>
        <w:rPr>
          <w:rFonts w:ascii="宋体" w:eastAsia="宋体" w:cs="宋体"/>
          <w:color w:val="333333"/>
          <w:sz w:val="24"/>
          <w:szCs w:val="24"/>
        </w:rPr>
      </w:pPr>
      <w:r>
        <w:rPr>
          <w:rFonts w:ascii="Times New Roman" w:eastAsia="仿宋_GB2312" w:cs="Times New Roman" w:hAnsi="Times New Roman"/>
          <w:sz w:val="32"/>
          <w:szCs w:val="32"/>
        </w:rPr>
        <w:t> </w:t>
      </w:r>
    </w:p>
    <w:tbl>
      <w:tblPr>
        <w:jc w:val="center"/>
        <w:tblW w:w="8834" w:type="dxa"/>
        <w:tblBorders>
          <w:top w:val="single" w:sz="4" w:space="0" w:color="auto"/>
          <w:left w:val="single" w:sz="4" w:space="0" w:color="auto"/>
          <w:bottom w:val="single" w:sz="4" w:space="0" w:color="auto"/>
          <w:right w:val="single" w:sz="4" w:space="0" w:color="auto"/>
        </w:tblBorders>
        <w:tblLayout w:type="fixed"/>
        <w:tblCellMar>
          <w:top w:w="0" w:type="dxa"/>
          <w:left w:w="17" w:type="dxa"/>
          <w:bottom w:w="0" w:type="dxa"/>
          <w:right w:w="17" w:type="dxa"/>
        </w:tblCellMar>
      </w:tblPr>
      <w:tblGrid>
        <w:gridCol w:w="2090"/>
        <w:gridCol w:w="6744"/>
      </w:tblGrid>
      <w:tr>
        <w:trPr>
          <w:trHeight w:val="1864"/>
        </w:trPr>
        <w:tc>
          <w:tcPr>
            <w:tcW w:w="2090" w:type="dxa"/>
            <w:tcBorders>
              <w:top w:val="single" w:sz="4" w:space="0" w:color="auto"/>
              <w:left w:val="single" w:sz="4" w:space="0" w:color="auto"/>
              <w:bottom w:val="single" w:sz="4" w:space="0" w:color="auto"/>
              <w:right w:val="single" w:sz="4" w:space="0" w:color="auto"/>
            </w:tcBorders>
            <w:noWrap/>
            <w:vAlign w:val="center"/>
          </w:tcPr>
          <w:p>
            <w:pPr>
              <w:widowControl w:val="0"/>
              <w:overflowPunct w:val="0"/>
              <w:topLinePunct/>
              <w:adjustRightInd/>
              <w:snapToGrid/>
              <w:spacing w:after="0" w:line="500" w:lineRule="exact"/>
              <w:jc w:val="center"/>
              <w:rPr>
                <w:rFonts w:ascii="宋体" w:eastAsia="宋体" w:cs="宋体"/>
                <w:color w:val="333333"/>
                <w:sz w:val="24"/>
                <w:szCs w:val="24"/>
              </w:rPr>
            </w:pPr>
            <w:r>
              <w:rPr>
                <w:rFonts w:ascii="黑体" w:eastAsia="黑体" w:cs="宋体" w:hint="eastAsia"/>
                <w:sz w:val="32"/>
                <w:szCs w:val="32"/>
              </w:rPr>
              <w:t>整改任务</w:t>
            </w:r>
          </w:p>
        </w:tc>
        <w:tc>
          <w:tcPr>
            <w:tcW w:w="6744" w:type="dxa"/>
            <w:tcBorders>
              <w:top w:val="single" w:sz="4" w:space="0" w:color="auto"/>
              <w:left w:val="nil"/>
              <w:bottom w:val="single" w:sz="4" w:space="0" w:color="auto"/>
              <w:right w:val="single" w:sz="4" w:space="0" w:color="auto"/>
            </w:tcBorders>
            <w:noWrap/>
            <w:vAlign w:val="center"/>
          </w:tcPr>
          <w:p>
            <w:pPr>
              <w:widowControl w:val="0"/>
              <w:overflowPunct w:val="0"/>
              <w:topLinePunct/>
              <w:adjustRightInd/>
              <w:snapToGrid/>
              <w:spacing w:after="0" w:line="440" w:lineRule="exact"/>
              <w:jc w:val="both"/>
              <w:rPr>
                <w:rFonts w:ascii="宋体" w:eastAsia="宋体" w:cs="宋体"/>
                <w:color w:val="333333"/>
                <w:sz w:val="24"/>
                <w:szCs w:val="24"/>
              </w:rPr>
            </w:pPr>
            <w:r>
              <w:rPr>
                <w:rFonts w:ascii="仿宋_GB2312" w:eastAsia="仿宋_GB2312" w:cs="宋体" w:hint="eastAsia"/>
                <w:sz w:val="28"/>
                <w:szCs w:val="28"/>
              </w:rPr>
              <w:t>第一轮省级生态环境保护督察“回头看”第46项整改任务：州国土资源局以临时用地审批权限在县级为由，从未开展过汶马高速红线侵占排查，也不掌握具体情况。</w:t>
            </w:r>
          </w:p>
        </w:tc>
      </w:tr>
      <w:tr>
        <w:trPr>
          <w:trHeight w:val="859"/>
        </w:trPr>
        <w:tc>
          <w:tcPr>
            <w:tcW w:w="2090" w:type="dxa"/>
            <w:tcBorders>
              <w:top w:val="single" w:sz="4" w:space="0" w:color="auto"/>
              <w:left w:val="single" w:sz="4" w:space="0" w:color="auto"/>
              <w:bottom w:val="single" w:sz="4" w:space="0" w:color="auto"/>
              <w:right w:val="single" w:sz="4" w:space="0" w:color="auto"/>
            </w:tcBorders>
            <w:noWrap/>
            <w:vAlign w:val="center"/>
          </w:tcPr>
          <w:p>
            <w:pPr>
              <w:widowControl w:val="0"/>
              <w:overflowPunct w:val="0"/>
              <w:topLinePunct/>
              <w:adjustRightInd/>
              <w:snapToGrid/>
              <w:spacing w:after="0" w:line="500" w:lineRule="exact"/>
              <w:jc w:val="center"/>
              <w:rPr>
                <w:rFonts w:ascii="宋体" w:eastAsia="宋体" w:cs="宋体"/>
                <w:color w:val="333333"/>
                <w:sz w:val="24"/>
                <w:szCs w:val="24"/>
              </w:rPr>
            </w:pPr>
            <w:r>
              <w:rPr>
                <w:rFonts w:ascii="黑体" w:eastAsia="黑体" w:cs="宋体" w:hint="eastAsia"/>
                <w:sz w:val="32"/>
                <w:szCs w:val="32"/>
              </w:rPr>
              <w:t>整改责任单位</w:t>
            </w:r>
          </w:p>
        </w:tc>
        <w:tc>
          <w:tcPr>
            <w:tcW w:w="6744" w:type="dxa"/>
            <w:tcBorders>
              <w:top w:val="single" w:sz="4" w:space="0" w:color="auto"/>
              <w:left w:val="nil"/>
              <w:bottom w:val="single" w:sz="4" w:space="0" w:color="auto"/>
              <w:right w:val="single" w:sz="4" w:space="0" w:color="auto"/>
            </w:tcBorders>
            <w:noWrap/>
            <w:vAlign w:val="center"/>
          </w:tcPr>
          <w:p>
            <w:pPr>
              <w:widowControl w:val="0"/>
              <w:overflowPunct w:val="0"/>
              <w:topLinePunct/>
              <w:adjustRightInd/>
              <w:snapToGrid/>
              <w:spacing w:after="0" w:line="440" w:lineRule="exact"/>
              <w:jc w:val="both"/>
              <w:rPr>
                <w:rFonts w:ascii="宋体" w:eastAsia="宋体" w:cs="宋体"/>
                <w:color w:val="333333"/>
                <w:sz w:val="24"/>
                <w:szCs w:val="24"/>
              </w:rPr>
            </w:pPr>
            <w:r>
              <w:rPr>
                <w:rFonts w:ascii="仿宋_GB2312" w:eastAsia="仿宋_GB2312" w:cs="宋体" w:hint="eastAsia"/>
                <w:sz w:val="28"/>
                <w:szCs w:val="28"/>
              </w:rPr>
              <w:t>马尔康、汶川、理县党委和人民政府</w:t>
            </w:r>
          </w:p>
        </w:tc>
      </w:tr>
      <w:tr>
        <w:trPr>
          <w:trHeight w:val="861"/>
        </w:trPr>
        <w:tc>
          <w:tcPr>
            <w:tcW w:w="2090" w:type="dxa"/>
            <w:tcBorders>
              <w:top w:val="single" w:sz="4" w:space="0" w:color="auto"/>
              <w:left w:val="single" w:sz="4" w:space="0" w:color="auto"/>
              <w:bottom w:val="single" w:sz="4" w:space="0" w:color="auto"/>
              <w:right w:val="single" w:sz="4" w:space="0" w:color="auto"/>
            </w:tcBorders>
            <w:noWrap/>
            <w:vAlign w:val="center"/>
          </w:tcPr>
          <w:p>
            <w:pPr>
              <w:widowControl w:val="0"/>
              <w:overflowPunct w:val="0"/>
              <w:topLinePunct/>
              <w:adjustRightInd/>
              <w:snapToGrid/>
              <w:spacing w:after="0" w:line="500" w:lineRule="exact"/>
              <w:jc w:val="center"/>
              <w:rPr>
                <w:rFonts w:ascii="宋体" w:eastAsia="宋体" w:cs="宋体"/>
                <w:color w:val="333333"/>
                <w:sz w:val="24"/>
                <w:szCs w:val="24"/>
              </w:rPr>
            </w:pPr>
            <w:r>
              <w:rPr>
                <w:rFonts w:ascii="黑体" w:eastAsia="黑体" w:cs="宋体" w:hint="eastAsia"/>
                <w:sz w:val="32"/>
                <w:szCs w:val="32"/>
              </w:rPr>
              <w:t>整改目标</w:t>
            </w:r>
          </w:p>
        </w:tc>
        <w:tc>
          <w:tcPr>
            <w:tcW w:w="6744" w:type="dxa"/>
            <w:tcBorders>
              <w:top w:val="single" w:sz="4" w:space="0" w:color="auto"/>
              <w:left w:val="nil"/>
              <w:bottom w:val="single" w:sz="4" w:space="0" w:color="auto"/>
              <w:right w:val="single" w:sz="4" w:space="0" w:color="auto"/>
            </w:tcBorders>
            <w:noWrap/>
            <w:vAlign w:val="center"/>
          </w:tcPr>
          <w:p>
            <w:pPr>
              <w:widowControl w:val="0"/>
              <w:overflowPunct w:val="0"/>
              <w:topLinePunct/>
              <w:adjustRightInd/>
              <w:snapToGrid/>
              <w:spacing w:after="0" w:line="440" w:lineRule="exact"/>
              <w:jc w:val="both"/>
              <w:rPr>
                <w:rFonts w:ascii="宋体" w:eastAsia="宋体" w:cs="宋体"/>
                <w:color w:val="333333"/>
                <w:sz w:val="24"/>
                <w:szCs w:val="24"/>
              </w:rPr>
            </w:pPr>
            <w:r>
              <w:rPr>
                <w:rFonts w:ascii="仿宋_GB2312" w:eastAsia="仿宋_GB2312" w:cs="宋体" w:hint="eastAsia"/>
                <w:sz w:val="28"/>
                <w:szCs w:val="28"/>
              </w:rPr>
              <w:t>汶马高速项目公司完成办理临时用地审批手续</w:t>
            </w:r>
          </w:p>
        </w:tc>
      </w:tr>
      <w:tr>
        <w:trPr>
          <w:trHeight w:val="3379"/>
        </w:trPr>
        <w:tc>
          <w:tcPr>
            <w:tcW w:w="2090" w:type="dxa"/>
            <w:tcBorders>
              <w:top w:val="single" w:sz="4" w:space="0" w:color="auto"/>
              <w:left w:val="single" w:sz="4" w:space="0" w:color="auto"/>
              <w:bottom w:val="single" w:sz="4" w:space="0" w:color="auto"/>
              <w:right w:val="single" w:sz="4" w:space="0" w:color="auto"/>
            </w:tcBorders>
            <w:noWrap/>
            <w:vAlign w:val="center"/>
          </w:tcPr>
          <w:p>
            <w:pPr>
              <w:widowControl w:val="0"/>
              <w:overflowPunct w:val="0"/>
              <w:topLinePunct/>
              <w:adjustRightInd/>
              <w:snapToGrid/>
              <w:spacing w:after="0" w:line="500" w:lineRule="exact"/>
              <w:jc w:val="center"/>
              <w:rPr>
                <w:rFonts w:ascii="宋体" w:eastAsia="宋体" w:cs="宋体"/>
                <w:color w:val="333333"/>
                <w:sz w:val="24"/>
                <w:szCs w:val="24"/>
              </w:rPr>
            </w:pPr>
            <w:r>
              <w:rPr>
                <w:rFonts w:ascii="黑体" w:eastAsia="黑体" w:cs="宋体" w:hint="eastAsia"/>
                <w:sz w:val="32"/>
                <w:szCs w:val="32"/>
              </w:rPr>
              <w:t>整改措施</w:t>
            </w:r>
          </w:p>
        </w:tc>
        <w:tc>
          <w:tcPr>
            <w:tcW w:w="6744" w:type="dxa"/>
            <w:tcBorders>
              <w:top w:val="single" w:sz="4" w:space="0" w:color="auto"/>
              <w:left w:val="nil"/>
              <w:bottom w:val="single" w:sz="4" w:space="0" w:color="auto"/>
              <w:right w:val="single" w:sz="4" w:space="0" w:color="auto"/>
            </w:tcBorders>
            <w:noWrap/>
            <w:vAlign w:val="center"/>
          </w:tcPr>
          <w:p>
            <w:pPr>
              <w:widowControl w:val="0"/>
              <w:overflowPunct w:val="0"/>
              <w:topLinePunct/>
              <w:adjustRightInd/>
              <w:snapToGrid/>
              <w:spacing w:after="0" w:line="440" w:lineRule="exact"/>
              <w:jc w:val="both"/>
              <w:rPr>
                <w:rFonts w:ascii="宋体" w:eastAsia="宋体" w:cs="宋体"/>
                <w:color w:val="333333"/>
                <w:sz w:val="24"/>
                <w:szCs w:val="24"/>
              </w:rPr>
            </w:pPr>
            <w:r>
              <w:rPr>
                <w:rFonts w:ascii="仿宋_GB2312" w:eastAsia="仿宋_GB2312" w:cs="宋体" w:hint="eastAsia"/>
                <w:sz w:val="28"/>
                <w:szCs w:val="28"/>
              </w:rPr>
              <w:t>（1）督促汶马高速项目办和汶马高速业主严格按照《国土资源部关于支持深度贫困地区脱贫攻坚的意见》（国土资规</w:t>
            </w:r>
            <w:r>
              <w:rPr>
                <w:rFonts w:ascii="仿宋_GB2312" w:eastAsia="仿宋_GB2312" w:cs="方正隶书_GBK" w:hint="eastAsia"/>
                <w:sz w:val="28"/>
                <w:szCs w:val="28"/>
              </w:rPr>
              <w:t>〔</w:t>
            </w:r>
            <w:r>
              <w:rPr>
                <w:rFonts w:ascii="仿宋_GB2312" w:eastAsia="仿宋_GB2312" w:cs="宋体" w:hint="eastAsia"/>
                <w:sz w:val="28"/>
                <w:szCs w:val="28"/>
              </w:rPr>
              <w:t>2017</w:t>
            </w:r>
            <w:r>
              <w:rPr>
                <w:rFonts w:ascii="仿宋_GB2312" w:eastAsia="仿宋_GB2312" w:cs="方正隶书_GBK" w:hint="eastAsia"/>
                <w:sz w:val="28"/>
                <w:szCs w:val="28"/>
              </w:rPr>
              <w:t>〕</w:t>
            </w:r>
            <w:r>
              <w:rPr>
                <w:rFonts w:ascii="仿宋_GB2312" w:eastAsia="仿宋_GB2312" w:cs="宋体" w:hint="eastAsia"/>
                <w:sz w:val="28"/>
                <w:szCs w:val="28"/>
              </w:rPr>
              <w:t>10号）文件规定：“深度贫困地区建设用地，涉及农用地转用和土地征收的，在做好补偿安置前提下，可以边建设边报批。”在2020年12月31日前按要求完成办理临时用地审批手续。</w:t>
            </w:r>
          </w:p>
          <w:p>
            <w:pPr>
              <w:widowControl w:val="0"/>
              <w:overflowPunct w:val="0"/>
              <w:topLinePunct/>
              <w:adjustRightInd/>
              <w:snapToGrid/>
              <w:spacing w:after="0" w:line="440" w:lineRule="exact"/>
              <w:jc w:val="both"/>
              <w:rPr>
                <w:rFonts w:ascii="宋体" w:eastAsia="宋体" w:cs="宋体"/>
                <w:color w:val="333333"/>
                <w:sz w:val="24"/>
                <w:szCs w:val="24"/>
              </w:rPr>
            </w:pPr>
            <w:r>
              <w:rPr>
                <w:rFonts w:ascii="仿宋_GB2312" w:eastAsia="仿宋_GB2312" w:cs="宋体" w:hint="eastAsia"/>
                <w:sz w:val="28"/>
                <w:szCs w:val="28"/>
              </w:rPr>
              <w:t>（2）要求马尔康、理县、汶川按照《阿坝州国土资源局关于进一步加强土地批后监管和临时用地管理工作的通知》（阿州国土资发</w:t>
            </w:r>
            <w:r>
              <w:rPr>
                <w:rFonts w:ascii="仿宋_GB2312" w:eastAsia="仿宋_GB2312" w:cs="方正隶书_GBK" w:hint="eastAsia"/>
                <w:sz w:val="28"/>
                <w:szCs w:val="28"/>
              </w:rPr>
              <w:t>〔</w:t>
            </w:r>
            <w:r>
              <w:rPr>
                <w:rFonts w:ascii="仿宋_GB2312" w:eastAsia="仿宋_GB2312" w:cs="宋体" w:hint="eastAsia"/>
                <w:sz w:val="28"/>
                <w:szCs w:val="28"/>
              </w:rPr>
              <w:t>2018</w:t>
            </w:r>
            <w:r>
              <w:rPr>
                <w:rFonts w:ascii="仿宋_GB2312" w:eastAsia="仿宋_GB2312" w:cs="方正隶书_GBK" w:hint="eastAsia"/>
                <w:sz w:val="28"/>
                <w:szCs w:val="28"/>
              </w:rPr>
              <w:t>〕</w:t>
            </w:r>
            <w:r>
              <w:rPr>
                <w:rFonts w:ascii="仿宋_GB2312" w:eastAsia="仿宋_GB2312" w:cs="宋体" w:hint="eastAsia"/>
                <w:sz w:val="28"/>
                <w:szCs w:val="28"/>
              </w:rPr>
              <w:t>129号）要求，加强土地批后监管和临时用地管理工作，加大违法违规用地的查处力度，对临时用地未经批准占用土地、使用期满拒不归还土地又不办理延期手续、改变临时用地的批准用途，在临时用地上修建永久性建（构）筑物、土地使用者拒不履行复垦义务等情形，按照国土资源管理相关法律、法规严肃处理。</w:t>
            </w:r>
          </w:p>
          <w:p>
            <w:pPr>
              <w:widowControl w:val="0"/>
              <w:overflowPunct w:val="0"/>
              <w:topLinePunct/>
              <w:adjustRightInd/>
              <w:snapToGrid/>
              <w:spacing w:after="0" w:line="440" w:lineRule="exact"/>
              <w:jc w:val="both"/>
              <w:rPr>
                <w:rFonts w:ascii="宋体" w:eastAsia="宋体" w:cs="宋体"/>
                <w:color w:val="333333"/>
                <w:sz w:val="24"/>
                <w:szCs w:val="24"/>
              </w:rPr>
            </w:pPr>
            <w:r>
              <w:rPr>
                <w:rFonts w:ascii="仿宋_GB2312" w:eastAsia="仿宋_GB2312" w:cs="宋体" w:hint="eastAsia"/>
                <w:sz w:val="28"/>
                <w:szCs w:val="28"/>
              </w:rPr>
              <w:t>（3）要求马尔康、理县、汶川按照临时用地审批权限，及时督促项目业主单位办理临时用地审批手续，及时上报办理进度，并加强日常巡查检查力度，督促项目业主单位履行复垦义务；要对复垦土地加强监管，确保项目批后实施监管到位、临时用地管理到位。</w:t>
            </w:r>
          </w:p>
        </w:tc>
      </w:tr>
      <w:tr>
        <w:trPr>
          <w:trHeight w:val="6180"/>
        </w:trPr>
        <w:tc>
          <w:tcPr>
            <w:tcW w:w="2090" w:type="dxa"/>
            <w:tcBorders>
              <w:top w:val="single" w:sz="4" w:space="0" w:color="auto"/>
              <w:left w:val="single" w:sz="4" w:space="0" w:color="auto"/>
              <w:bottom w:val="single" w:sz="4" w:space="0" w:color="auto"/>
              <w:right w:val="single" w:sz="4" w:space="0" w:color="auto"/>
            </w:tcBorders>
            <w:noWrap/>
            <w:vAlign w:val="center"/>
          </w:tcPr>
          <w:p>
            <w:pPr>
              <w:widowControl w:val="0"/>
              <w:overflowPunct w:val="0"/>
              <w:topLinePunct/>
              <w:adjustRightInd/>
              <w:snapToGrid/>
              <w:spacing w:after="0" w:line="500" w:lineRule="exact"/>
              <w:jc w:val="center"/>
              <w:rPr>
                <w:rFonts w:ascii="宋体" w:eastAsia="宋体" w:cs="宋体"/>
                <w:color w:val="333333"/>
                <w:sz w:val="24"/>
                <w:szCs w:val="24"/>
              </w:rPr>
            </w:pPr>
            <w:r>
              <w:rPr>
                <w:rFonts w:ascii="黑体" w:eastAsia="黑体" w:cs="宋体" w:hint="eastAsia"/>
                <w:sz w:val="32"/>
                <w:szCs w:val="32"/>
              </w:rPr>
              <w:t>整改主要工作</w:t>
            </w:r>
          </w:p>
          <w:p>
            <w:pPr>
              <w:widowControl w:val="0"/>
              <w:overflowPunct w:val="0"/>
              <w:topLinePunct/>
              <w:adjustRightInd/>
              <w:snapToGrid/>
              <w:spacing w:after="0" w:line="500" w:lineRule="exact"/>
              <w:jc w:val="center"/>
              <w:rPr>
                <w:rFonts w:ascii="宋体" w:eastAsia="宋体" w:cs="宋体"/>
                <w:color w:val="333333"/>
                <w:sz w:val="24"/>
                <w:szCs w:val="24"/>
              </w:rPr>
            </w:pPr>
            <w:r>
              <w:rPr>
                <w:rFonts w:ascii="黑体" w:eastAsia="黑体" w:cs="宋体" w:hint="eastAsia"/>
                <w:sz w:val="32"/>
                <w:szCs w:val="32"/>
              </w:rPr>
              <w:t>及成效</w:t>
            </w:r>
          </w:p>
        </w:tc>
        <w:tc>
          <w:tcPr>
            <w:tcW w:w="6744" w:type="dxa"/>
            <w:tcBorders>
              <w:top w:val="single" w:sz="4" w:space="0" w:color="auto"/>
              <w:left w:val="nil"/>
              <w:bottom w:val="single" w:sz="4" w:space="0" w:color="auto"/>
              <w:right w:val="single" w:sz="4" w:space="0" w:color="auto"/>
            </w:tcBorders>
            <w:noWrap/>
            <w:vAlign w:val="center"/>
          </w:tcPr>
          <w:p>
            <w:pPr>
              <w:widowControl w:val="0"/>
              <w:overflowPunct w:val="0"/>
              <w:topLinePunct/>
              <w:adjustRightInd/>
              <w:snapToGrid/>
              <w:spacing w:after="0" w:line="440" w:lineRule="exact"/>
              <w:jc w:val="both"/>
              <w:rPr>
                <w:rFonts w:ascii="宋体" w:eastAsia="宋体" w:cs="宋体"/>
                <w:color w:val="333333"/>
                <w:sz w:val="24"/>
                <w:szCs w:val="24"/>
              </w:rPr>
            </w:pPr>
            <w:r>
              <w:rPr>
                <w:rFonts w:ascii="仿宋_GB2312" w:eastAsia="仿宋_GB2312" w:cs="宋体" w:hint="eastAsia"/>
                <w:sz w:val="28"/>
                <w:szCs w:val="28"/>
              </w:rPr>
              <w:t>（1）马尔康市、汶川县、理县对临时用地手续进行了全面梳理，对合法、合规部分已按要求完成临时用地审批手续。</w:t>
            </w:r>
          </w:p>
          <w:p>
            <w:pPr>
              <w:widowControl w:val="0"/>
              <w:overflowPunct w:val="0"/>
              <w:topLinePunct/>
              <w:adjustRightInd/>
              <w:snapToGrid/>
              <w:spacing w:after="0" w:line="440" w:lineRule="exact"/>
              <w:jc w:val="both"/>
              <w:rPr>
                <w:rFonts w:ascii="宋体" w:eastAsia="宋体" w:cs="宋体"/>
                <w:color w:val="333333"/>
                <w:sz w:val="24"/>
                <w:szCs w:val="24"/>
              </w:rPr>
            </w:pPr>
            <w:r>
              <w:rPr>
                <w:rFonts w:ascii="仿宋_GB2312" w:eastAsia="仿宋_GB2312" w:cs="宋体" w:hint="eastAsia"/>
                <w:sz w:val="28"/>
                <w:szCs w:val="28"/>
              </w:rPr>
              <w:t>（2）马尔康市、汶川县、理县针对临时用地未经批准占用土地、使用期满拒不归还土地又不办理延期手续、土地使用者拒不履行复垦义务等情形，按照相关法律法规，加大违法违规用地查处力度，下发5次督促整改通知，缴纳临时用地相关费用149289.28元，确保临时用地及时恢复。</w:t>
            </w:r>
          </w:p>
          <w:p>
            <w:pPr>
              <w:widowControl w:val="0"/>
              <w:overflowPunct w:val="0"/>
              <w:topLinePunct/>
              <w:adjustRightInd/>
              <w:snapToGrid/>
              <w:spacing w:after="0" w:line="440" w:lineRule="exact"/>
              <w:jc w:val="both"/>
              <w:rPr>
                <w:rFonts w:ascii="宋体" w:eastAsia="宋体" w:cs="宋体"/>
                <w:color w:val="333333"/>
                <w:sz w:val="24"/>
                <w:szCs w:val="24"/>
              </w:rPr>
            </w:pPr>
            <w:r>
              <w:rPr>
                <w:rFonts w:ascii="仿宋_GB2312" w:eastAsia="仿宋_GB2312" w:cs="宋体" w:hint="eastAsia"/>
                <w:sz w:val="28"/>
                <w:szCs w:val="28"/>
              </w:rPr>
              <w:t>（3）马尔康市、汶川县、理县督促项目业主单位及时履行复垦义务，对复垦土地加强监管，涉及的临时用地已完成复垦并通过验收。</w:t>
            </w:r>
          </w:p>
        </w:tc>
      </w:tr>
    </w:tbl>
    <w:p>
      <w:pPr>
        <w:spacing w:line="220" w:lineRule="atLeast"/>
      </w:pPr>
    </w:p>
    <w:sectPr>
      <w:pgSz w:w="11906" w:h="16838"/>
      <w:pgMar w:top="1440" w:right="1800" w:bottom="1440" w:left="1800" w:header="708" w:footer="708" w:gutter="0"/>
      <w:docGrid w:linePitch="360"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方正隶书_GBK">
    <w:panose1 w:val="00000000000000000000"/>
    <w:charset w:val="86"/>
    <w:family w:val="roman"/>
    <w:pitch w:val="variable"/>
    <w:sig w:usb0="00000001" w:usb1="080E0000" w:usb2="0000001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微软雅黑">
    <w:altName w:val="宋体"/>
    <w:panose1 w:val="020B0503020204020204"/>
    <w:charset w:val="86"/>
    <w:family w:val="swiss"/>
    <w:pitch w:val="variable"/>
    <w:sig w:usb0="80000287" w:usb1="2ACF3C50" w:usb2="00000016" w:usb3="00000000" w:csb0="0004001F" w:csb1="00000000"/>
  </w:font>
  <w:font w:name="Arial">
    <w:altName w:val="DejaVu Sans"/>
    <w:panose1 w:val="020B0604020202020204"/>
    <w:charset w:val="00"/>
    <w:family w:val="swiss"/>
    <w:pitch w:val="variable"/>
    <w:sig w:usb0="E0002EFF" w:usb1="C000785B" w:usb2="00000009" w:usb3="00000000" w:csb0="000001F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720"/>
  <w:drawingGridHorizontalSpacing w:val="110"/>
  <w:drawingGridVerticalSpacing w:val="156"/>
  <w:displayHorizontalDrawingGridEvery w:val="0"/>
  <w:displayVerticalDrawingGridEvery w:val="1"/>
  <w:compat>
    <w:spaceForUL/>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adjustRightInd w:val="0"/>
      <w:snapToGrid w:val="0"/>
      <w:spacing w:after="200" w:line="240" w:lineRule="auto"/>
    </w:pPr>
    <w:rPr>
      <w:rFonts w:ascii="Tahoma" w:eastAsia="微软雅黑" w:cs="Arial" w:hAnsi="Tahoma"/>
      <w:sz w:val="22"/>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Times New Roman" w:eastAsia="黑体" w:hAnsi="Times New Roman"/>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Body Text"/>
    <w:basedOn w:val="0"/>
    <w:pPr>
      <w:adjustRightInd/>
      <w:snapToGrid/>
      <w:spacing w:before="100" w:beforeAutospacing="1" w:after="100" w:afterAutospacing="1"/>
    </w:pPr>
    <w:rPr>
      <w:rFonts w:ascii="宋体" w:eastAsia="宋体" w:cs="宋体"/>
      <w:sz w:val="24"/>
      <w:szCs w:val="24"/>
    </w:rPr>
  </w:style>
  <w:style w:type="paragraph" w:styleId="16">
    <w:name w:val="index 8"/>
    <w:basedOn w:val="0"/>
    <w:autoRedefine/>
    <w:pPr>
      <w:adjustRightInd/>
      <w:snapToGrid/>
      <w:spacing w:before="100" w:beforeAutospacing="1" w:after="100" w:afterAutospacing="1"/>
    </w:pPr>
    <w:rPr>
      <w:rFonts w:ascii="宋体" w:eastAsia="宋体" w:cs="宋体"/>
      <w:sz w:val="24"/>
      <w:szCs w:val="24"/>
    </w:rPr>
  </w:style>
  <w:style w:type="paragraph" w:styleId="17">
    <w:name w:val="header"/>
    <w:basedOn w:val="0"/>
    <w:pPr>
      <w:pBdr>
        <w:bottom w:val="single" w:sz="6" w:space="1" w:color="auto"/>
      </w:pBdr>
      <w:tabs>
        <w:tab w:val="center" w:pos="4153"/>
        <w:tab w:val="right" w:pos="8306"/>
      </w:tabs>
      <w:jc w:val="center"/>
    </w:pPr>
    <w:rPr>
      <w:sz w:val="18"/>
      <w:szCs w:val="18"/>
    </w:rPr>
  </w:style>
  <w:style w:type="paragraph" w:styleId="18">
    <w:name w:val="footer"/>
    <w:basedOn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2</Pages>
  <Words>850</Words>
  <Characters>873</Characters>
  <Lines>45</Lines>
  <Paragraphs>18</Paragraphs>
  <CharactersWithSpaces>874</CharactersWithSpaces>
  <Company>Hewlett-Packard Company</Company>
</Properties>
</file>

<file path=docProps/core.xml><?xml version="1.0" encoding="utf-8"?>
<cp:coreProperties xmlns:cp="http://schemas.openxmlformats.org/package/2006/metadata/core-properties" xmlns:dc="http://purl.org/dc/elements/1.1/" xmlns:dcterms="http://purl.org/dc/terms/" xmlns:xsi="http://www.w3.org/2001/XMLSchema-instance">
  <dc:creator>qiqi</dc:creator>
  <cp:lastModifiedBy>user</cp:lastModifiedBy>
  <cp:revision>2</cp:revision>
  <dcterms:created xsi:type="dcterms:W3CDTF">2024-02-06T07:18:00Z</dcterms:created>
  <dcterms:modified xsi:type="dcterms:W3CDTF">2024-02-06T07:22:29Z</dcterms:modified>
</cp:coreProperties>
</file>