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ascii="黑体" w:hAnsi="黑体" w:eastAsia="黑体" w:cs="黑体"/>
          <w:sz w:val="32"/>
          <w:szCs w:val="32"/>
          <w:lang w:val="en-US" w:eastAsia="zh-CN"/>
        </w:rPr>
        <w:t>附件5</w:t>
      </w:r>
      <w:r>
        <w:rPr>
          <w:rFonts w:hint="eastAsia"/>
          <w:lang w:val="en-US" w:eastAsia="zh-CN"/>
        </w:rPr>
        <w:t xml:space="preserve"> </w:t>
      </w:r>
    </w:p>
    <w:p>
      <w:pPr>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理县</w:t>
      </w:r>
      <w:r>
        <w:rPr>
          <w:rFonts w:hint="eastAsia" w:ascii="Times New Roman" w:hAnsi="Times New Roman" w:eastAsia="方正小标宋_GBK" w:cs="Times New Roman"/>
          <w:sz w:val="44"/>
          <w:szCs w:val="44"/>
          <w:lang w:val="en-US" w:eastAsia="zh-Hans"/>
        </w:rPr>
        <w:t>市场监督管理局</w:t>
      </w:r>
      <w:r>
        <w:rPr>
          <w:rFonts w:hint="default" w:ascii="Times New Roman" w:hAnsi="Times New Roman" w:eastAsia="方正小标宋_GBK" w:cs="Times New Roman"/>
          <w:sz w:val="44"/>
          <w:szCs w:val="44"/>
          <w:lang w:val="en-US" w:eastAsia="zh-CN"/>
        </w:rPr>
        <w:t>分类</w:t>
      </w:r>
      <w:r>
        <w:rPr>
          <w:rFonts w:hint="eastAsia" w:ascii="Times New Roman" w:hAnsi="Times New Roman" w:eastAsia="方正小标宋_GBK" w:cs="Times New Roman"/>
          <w:sz w:val="44"/>
          <w:szCs w:val="44"/>
          <w:lang w:val="en-US" w:eastAsia="zh-CN"/>
        </w:rPr>
        <w:t>行政</w:t>
      </w:r>
      <w:r>
        <w:rPr>
          <w:rFonts w:hint="default" w:ascii="Times New Roman" w:hAnsi="Times New Roman" w:eastAsia="方正小标宋_GBK" w:cs="Times New Roman"/>
          <w:sz w:val="44"/>
          <w:szCs w:val="44"/>
          <w:lang w:val="en-US" w:eastAsia="zh-CN"/>
        </w:rPr>
        <w:t>检查事项目录</w:t>
      </w:r>
    </w:p>
    <w:tbl>
      <w:tblPr>
        <w:tblStyle w:val="4"/>
        <w:tblpPr w:leftFromText="180" w:rightFromText="180" w:vertAnchor="text" w:horzAnchor="page" w:tblpX="1933" w:tblpY="554"/>
        <w:tblOverlap w:val="never"/>
        <w:tblW w:w="136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2285"/>
        <w:gridCol w:w="2329"/>
        <w:gridCol w:w="2791"/>
        <w:gridCol w:w="2267"/>
        <w:gridCol w:w="2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atLeast"/>
        </w:trPr>
        <w:tc>
          <w:tcPr>
            <w:tcW w:w="119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color w:val="auto"/>
                <w:sz w:val="28"/>
                <w:szCs w:val="28"/>
                <w:vertAlign w:val="baseline"/>
                <w:lang w:val="en-US" w:eastAsia="zh-CN"/>
              </w:rPr>
            </w:pPr>
            <w:r>
              <w:rPr>
                <w:rFonts w:hint="default" w:ascii="Times New Roman" w:hAnsi="Times New Roman" w:eastAsia="仿宋_GB2312" w:cs="Times New Roman"/>
                <w:b/>
                <w:bCs/>
                <w:color w:val="auto"/>
                <w:sz w:val="28"/>
                <w:szCs w:val="28"/>
                <w:vertAlign w:val="baseline"/>
                <w:lang w:val="en-US" w:eastAsia="zh-CN"/>
              </w:rPr>
              <w:t>序号</w:t>
            </w:r>
          </w:p>
        </w:tc>
        <w:tc>
          <w:tcPr>
            <w:tcW w:w="228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color w:val="auto"/>
                <w:sz w:val="28"/>
                <w:szCs w:val="28"/>
                <w:vertAlign w:val="baseline"/>
                <w:lang w:val="en-US" w:eastAsia="zh-CN"/>
              </w:rPr>
            </w:pPr>
            <w:r>
              <w:rPr>
                <w:rFonts w:hint="default" w:ascii="Times New Roman" w:hAnsi="Times New Roman" w:eastAsia="仿宋_GB2312" w:cs="Times New Roman"/>
                <w:b/>
                <w:bCs/>
                <w:color w:val="auto"/>
                <w:sz w:val="28"/>
                <w:szCs w:val="28"/>
                <w:vertAlign w:val="baseline"/>
                <w:lang w:val="en-US" w:eastAsia="zh-CN"/>
              </w:rPr>
              <w:t>检查对象</w:t>
            </w:r>
          </w:p>
        </w:tc>
        <w:tc>
          <w:tcPr>
            <w:tcW w:w="232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color w:val="auto"/>
                <w:sz w:val="28"/>
                <w:szCs w:val="28"/>
                <w:vertAlign w:val="baseline"/>
                <w:lang w:val="en-US" w:eastAsia="zh-CN"/>
              </w:rPr>
            </w:pPr>
            <w:r>
              <w:rPr>
                <w:rFonts w:hint="default" w:ascii="Times New Roman" w:hAnsi="Times New Roman" w:eastAsia="仿宋_GB2312" w:cs="Times New Roman"/>
                <w:b/>
                <w:bCs/>
                <w:color w:val="auto"/>
                <w:sz w:val="28"/>
                <w:szCs w:val="28"/>
                <w:vertAlign w:val="baseline"/>
                <w:lang w:val="en-US" w:eastAsia="zh-CN"/>
              </w:rPr>
              <w:t>检查事项</w:t>
            </w:r>
          </w:p>
        </w:tc>
        <w:tc>
          <w:tcPr>
            <w:tcW w:w="27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color w:val="auto"/>
                <w:sz w:val="28"/>
                <w:szCs w:val="28"/>
                <w:vertAlign w:val="baseline"/>
                <w:lang w:val="en-US" w:eastAsia="zh-CN"/>
              </w:rPr>
            </w:pPr>
            <w:r>
              <w:rPr>
                <w:rFonts w:hint="default" w:ascii="Times New Roman" w:hAnsi="Times New Roman" w:eastAsia="仿宋_GB2312" w:cs="Times New Roman"/>
                <w:b/>
                <w:bCs/>
                <w:color w:val="auto"/>
                <w:sz w:val="28"/>
                <w:szCs w:val="28"/>
                <w:vertAlign w:val="baseline"/>
                <w:lang w:val="en-US" w:eastAsia="zh-CN"/>
              </w:rPr>
              <w:t>检查事项等级</w:t>
            </w:r>
          </w:p>
        </w:tc>
        <w:tc>
          <w:tcPr>
            <w:tcW w:w="226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color w:val="auto"/>
                <w:sz w:val="28"/>
                <w:szCs w:val="28"/>
                <w:vertAlign w:val="baseline"/>
                <w:lang w:val="en-US" w:eastAsia="zh-CN"/>
              </w:rPr>
            </w:pPr>
            <w:r>
              <w:rPr>
                <w:rFonts w:hint="default" w:ascii="Times New Roman" w:hAnsi="Times New Roman" w:eastAsia="仿宋_GB2312" w:cs="Times New Roman"/>
                <w:b/>
                <w:bCs/>
                <w:color w:val="auto"/>
                <w:sz w:val="28"/>
                <w:szCs w:val="28"/>
                <w:vertAlign w:val="baseline"/>
                <w:lang w:val="en-US" w:eastAsia="zh-CN"/>
              </w:rPr>
              <w:t>检查依据</w:t>
            </w:r>
          </w:p>
        </w:tc>
        <w:tc>
          <w:tcPr>
            <w:tcW w:w="280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color w:val="auto"/>
                <w:sz w:val="28"/>
                <w:szCs w:val="28"/>
                <w:vertAlign w:val="baseline"/>
                <w:lang w:val="en-US" w:eastAsia="zh-CN"/>
              </w:rPr>
            </w:pPr>
            <w:r>
              <w:rPr>
                <w:rFonts w:hint="eastAsia" w:ascii="Times New Roman" w:hAnsi="Times New Roman" w:eastAsia="仿宋_GB2312" w:cs="Times New Roman"/>
                <w:b/>
                <w:bCs/>
                <w:color w:val="auto"/>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atLeast"/>
        </w:trPr>
        <w:tc>
          <w:tcPr>
            <w:tcW w:w="1196"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企业/个体</w:t>
            </w:r>
          </w:p>
        </w:tc>
        <w:tc>
          <w:tcPr>
            <w:tcW w:w="232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sz w:val="28"/>
                <w:szCs w:val="28"/>
                <w:vertAlign w:val="baseline"/>
                <w:lang w:val="en-US" w:eastAsia="zh-CN"/>
              </w:rPr>
            </w:pPr>
            <w:r>
              <w:rPr>
                <w:rFonts w:hint="default" w:ascii="仿宋_GB2312" w:hAnsi="仿宋_GB2312" w:eastAsia="仿宋_GB2312" w:cs="仿宋_GB2312"/>
                <w:b w:val="0"/>
                <w:bCs w:val="0"/>
                <w:sz w:val="18"/>
                <w:szCs w:val="18"/>
                <w:vertAlign w:val="baseline"/>
                <w:lang w:eastAsia="zh-CN"/>
              </w:rPr>
              <w:t>1</w:t>
            </w:r>
            <w:r>
              <w:rPr>
                <w:rFonts w:hint="eastAsia" w:ascii="仿宋_GB2312" w:hAnsi="仿宋_GB2312" w:eastAsia="仿宋_GB2312" w:cs="仿宋_GB2312"/>
                <w:b w:val="0"/>
                <w:bCs w:val="0"/>
                <w:sz w:val="18"/>
                <w:szCs w:val="18"/>
                <w:vertAlign w:val="baseline"/>
                <w:lang w:val="en-US" w:eastAsia="zh-Hans"/>
              </w:rPr>
              <w:t>.</w:t>
            </w:r>
            <w:r>
              <w:rPr>
                <w:rFonts w:hint="eastAsia" w:ascii="仿宋_GB2312" w:hAnsi="仿宋_GB2312" w:eastAsia="仿宋_GB2312" w:cs="仿宋_GB2312"/>
                <w:b w:val="0"/>
                <w:bCs w:val="0"/>
                <w:sz w:val="18"/>
                <w:szCs w:val="18"/>
                <w:vertAlign w:val="baseline"/>
                <w:lang w:val="en-US" w:eastAsia="zh-CN"/>
              </w:rPr>
              <w:t>对检验检测机构的监督检查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《检验检测机构监督管理办法》</w:t>
            </w:r>
          </w:p>
          <w:p>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第二十条第一项</w:t>
            </w:r>
            <w:r>
              <w:rPr>
                <w:rFonts w:hint="eastAsia" w:ascii="仿宋_GB2312" w:hAnsi="仿宋_GB2312" w:eastAsia="仿宋_GB2312" w:cs="仿宋_GB2312"/>
                <w:i w:val="0"/>
                <w:iCs w:val="0"/>
                <w:color w:val="000000"/>
                <w:kern w:val="0"/>
                <w:sz w:val="18"/>
                <w:szCs w:val="18"/>
                <w:u w:val="none"/>
                <w:lang w:val="en-US" w:eastAsia="zh-CN" w:bidi="ar"/>
              </w:rPr>
              <w:t xml:space="preserve"> 市场监督管理部门可以依法行使下列职权：</w:t>
            </w:r>
          </w:p>
          <w:p>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i w:val="0"/>
                <w:iCs w:val="0"/>
                <w:color w:val="000000"/>
                <w:kern w:val="0"/>
                <w:sz w:val="18"/>
                <w:szCs w:val="18"/>
                <w:u w:val="none"/>
                <w:lang w:val="en-US" w:eastAsia="zh-CN" w:bidi="ar"/>
              </w:rPr>
              <w:t>（一）进入检验检测机构进行现场检查；</w:t>
            </w:r>
          </w:p>
        </w:tc>
        <w:tc>
          <w:tcPr>
            <w:tcW w:w="2809"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atLeast"/>
        </w:trPr>
        <w:tc>
          <w:tcPr>
            <w:tcW w:w="119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rPr>
            </w:pPr>
          </w:p>
        </w:tc>
        <w:tc>
          <w:tcPr>
            <w:tcW w:w="228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rPr>
            </w:pPr>
          </w:p>
        </w:tc>
        <w:tc>
          <w:tcPr>
            <w:tcW w:w="232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sz w:val="28"/>
                <w:szCs w:val="28"/>
                <w:vertAlign w:val="baseline"/>
                <w:lang w:val="en-US" w:eastAsia="zh-CN"/>
              </w:rPr>
            </w:pPr>
            <w:r>
              <w:rPr>
                <w:rFonts w:hint="default" w:ascii="仿宋_GB2312" w:hAnsi="仿宋_GB2312" w:eastAsia="仿宋_GB2312" w:cs="仿宋_GB2312"/>
                <w:b w:val="0"/>
                <w:bCs w:val="0"/>
                <w:sz w:val="18"/>
                <w:szCs w:val="18"/>
                <w:vertAlign w:val="baseline"/>
                <w:lang w:eastAsia="zh-CN"/>
              </w:rPr>
              <w:t>2</w:t>
            </w:r>
            <w:r>
              <w:rPr>
                <w:rFonts w:hint="eastAsia" w:ascii="仿宋_GB2312" w:hAnsi="仿宋_GB2312" w:eastAsia="仿宋_GB2312" w:cs="仿宋_GB2312"/>
                <w:b w:val="0"/>
                <w:bCs w:val="0"/>
                <w:sz w:val="18"/>
                <w:szCs w:val="18"/>
                <w:vertAlign w:val="baseline"/>
                <w:lang w:val="en-US" w:eastAsia="zh-Hans"/>
              </w:rPr>
              <w:t>.</w:t>
            </w:r>
            <w:r>
              <w:rPr>
                <w:rFonts w:hint="eastAsia" w:ascii="仿宋_GB2312" w:hAnsi="仿宋_GB2312" w:eastAsia="仿宋_GB2312" w:cs="仿宋_GB2312"/>
                <w:b w:val="0"/>
                <w:bCs w:val="0"/>
                <w:sz w:val="18"/>
                <w:szCs w:val="18"/>
                <w:vertAlign w:val="baseline"/>
                <w:lang w:val="en-US" w:eastAsia="zh-CN"/>
              </w:rPr>
              <w:t>对网络交易行为的监督检查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suppressLineNumbers w:val="0"/>
              <w:kinsoku/>
              <w:wordWrap/>
              <w:overflowPunct/>
              <w:topLinePunct w:val="0"/>
              <w:autoSpaceDE/>
              <w:autoSpaceDN/>
              <w:bidi w:val="0"/>
              <w:spacing w:line="300" w:lineRule="exact"/>
              <w:jc w:val="both"/>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《网络交易管理办法》</w:t>
            </w:r>
          </w:p>
          <w:p>
            <w:pPr>
              <w:keepNext w:val="0"/>
              <w:keepLines w:val="0"/>
              <w:pageBreakBefore w:val="0"/>
              <w:widowControl/>
              <w:suppressLineNumbers w:val="0"/>
              <w:kinsoku/>
              <w:wordWrap/>
              <w:overflowPunct/>
              <w:topLinePunct w:val="0"/>
              <w:autoSpaceDE/>
              <w:autoSpaceDN/>
              <w:bidi w:val="0"/>
              <w:spacing w:line="300" w:lineRule="exact"/>
              <w:jc w:val="both"/>
              <w:textAlignment w:val="center"/>
              <w:rPr>
                <w:rFonts w:hint="eastAsia" w:ascii="仿宋_GB2312" w:hAnsi="仿宋_GB2312" w:eastAsia="仿宋_GB2312" w:cs="仿宋_GB2312"/>
                <w:b w:val="0"/>
                <w:bCs w:val="0"/>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 xml:space="preserve">第三十五条第一款第一项 </w:t>
            </w:r>
            <w:r>
              <w:rPr>
                <w:rFonts w:hint="eastAsia" w:ascii="仿宋_GB2312" w:hAnsi="仿宋_GB2312" w:eastAsia="仿宋_GB2312" w:cs="仿宋_GB2312"/>
                <w:b w:val="0"/>
                <w:bCs w:val="0"/>
                <w:i w:val="0"/>
                <w:iCs w:val="0"/>
                <w:color w:val="000000"/>
                <w:kern w:val="0"/>
                <w:sz w:val="18"/>
                <w:szCs w:val="18"/>
                <w:u w:val="none"/>
                <w:lang w:val="en-US" w:eastAsia="zh-CN" w:bidi="ar"/>
              </w:rPr>
              <w:t xml:space="preserve"> 市场监督管理部门对涉嫌违法的网络交易行为进行查处时，可以依法采取下列措施：</w:t>
            </w:r>
          </w:p>
          <w:p>
            <w:pPr>
              <w:keepNext w:val="0"/>
              <w:keepLines w:val="0"/>
              <w:pageBreakBefore w:val="0"/>
              <w:widowControl/>
              <w:suppressLineNumbers w:val="0"/>
              <w:kinsoku/>
              <w:wordWrap/>
              <w:overflowPunct/>
              <w:topLinePunct w:val="0"/>
              <w:autoSpaceDE/>
              <w:autoSpaceDN/>
              <w:bidi w:val="0"/>
              <w:spacing w:line="300" w:lineRule="exact"/>
              <w:jc w:val="both"/>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b w:val="0"/>
                <w:bCs w:val="0"/>
                <w:i w:val="0"/>
                <w:iCs w:val="0"/>
                <w:color w:val="000000"/>
                <w:kern w:val="0"/>
                <w:sz w:val="18"/>
                <w:szCs w:val="18"/>
                <w:u w:val="none"/>
                <w:lang w:val="en-US" w:eastAsia="zh-CN" w:bidi="ar"/>
              </w:rPr>
              <w:t>（一）对与涉嫌违法的网络交易行为有关的场所进行现场检查；</w:t>
            </w:r>
          </w:p>
          <w:p>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《网络购买商品七日无理由退货暂行办法》</w:t>
            </w:r>
          </w:p>
          <w:p>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i w:val="0"/>
                <w:iCs w:val="0"/>
                <w:color w:val="000000"/>
                <w:kern w:val="0"/>
                <w:sz w:val="18"/>
                <w:szCs w:val="18"/>
                <w:u w:val="none"/>
                <w:lang w:val="en-US" w:eastAsia="zh-CN" w:bidi="ar"/>
              </w:rPr>
              <w:t xml:space="preserve">第二十六条 </w:t>
            </w:r>
            <w:r>
              <w:rPr>
                <w:rFonts w:hint="eastAsia" w:ascii="仿宋_GB2312" w:hAnsi="仿宋_GB2312" w:eastAsia="仿宋_GB2312" w:cs="仿宋_GB2312"/>
                <w:i w:val="0"/>
                <w:iCs w:val="0"/>
                <w:color w:val="000000"/>
                <w:kern w:val="0"/>
                <w:sz w:val="18"/>
                <w:szCs w:val="18"/>
                <w:u w:val="none"/>
                <w:lang w:val="en-US" w:eastAsia="zh-CN" w:bidi="ar"/>
              </w:rPr>
              <w:t>市场监督管理部门应当加强对网络商品销售者和网络交易平台提供者经营行为的监督检查，督促和引导其建立健全经营者首问和赔偿先付制度，依法履行网络购买商品七日无理由退货义务。</w:t>
            </w:r>
          </w:p>
        </w:tc>
        <w:tc>
          <w:tcPr>
            <w:tcW w:w="280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atLeast"/>
        </w:trPr>
        <w:tc>
          <w:tcPr>
            <w:tcW w:w="119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sz w:val="28"/>
                <w:szCs w:val="28"/>
                <w:vertAlign w:val="baseline"/>
                <w:lang w:val="en-US" w:eastAsia="zh-CN"/>
              </w:rPr>
            </w:pPr>
            <w:r>
              <w:rPr>
                <w:rFonts w:hint="default" w:ascii="仿宋_GB2312" w:hAnsi="仿宋_GB2312" w:eastAsia="仿宋_GB2312" w:cs="仿宋_GB2312"/>
                <w:b w:val="0"/>
                <w:bCs w:val="0"/>
                <w:sz w:val="18"/>
                <w:szCs w:val="18"/>
                <w:vertAlign w:val="baseline"/>
                <w:lang w:eastAsia="zh-CN"/>
              </w:rPr>
              <w:t>3</w:t>
            </w:r>
            <w:r>
              <w:rPr>
                <w:rFonts w:hint="eastAsia" w:ascii="仿宋_GB2312" w:hAnsi="仿宋_GB2312" w:eastAsia="仿宋_GB2312" w:cs="仿宋_GB2312"/>
                <w:b w:val="0"/>
                <w:bCs w:val="0"/>
                <w:sz w:val="18"/>
                <w:szCs w:val="18"/>
                <w:vertAlign w:val="baseline"/>
                <w:lang w:val="en-US" w:eastAsia="zh-Hans"/>
              </w:rPr>
              <w:t>.</w:t>
            </w:r>
            <w:r>
              <w:rPr>
                <w:rFonts w:hint="eastAsia" w:ascii="仿宋_GB2312" w:hAnsi="仿宋_GB2312" w:eastAsia="仿宋_GB2312" w:cs="仿宋_GB2312"/>
                <w:b w:val="0"/>
                <w:bCs w:val="0"/>
                <w:sz w:val="18"/>
                <w:szCs w:val="18"/>
                <w:vertAlign w:val="baseline"/>
                <w:lang w:val="en-US" w:eastAsia="zh-CN"/>
              </w:rPr>
              <w:t>对食品生产经营者停止生产经营、召回和处置不安全食品情况的现场监督检查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keepNext w:val="0"/>
              <w:keepLines w:val="0"/>
              <w:pageBreakBefore w:val="0"/>
              <w:kinsoku/>
              <w:wordWrap/>
              <w:overflowPunct/>
              <w:topLinePunct w:val="0"/>
              <w:autoSpaceDE/>
              <w:autoSpaceDN/>
              <w:bidi w:val="0"/>
              <w:adjustRightInd/>
              <w:snapToGrid/>
              <w:spacing w:line="300" w:lineRule="exact"/>
              <w:jc w:val="left"/>
              <w:rPr>
                <w:rStyle w:val="8"/>
                <w:rFonts w:hint="eastAsia" w:ascii="仿宋_GB2312" w:hAnsi="仿宋_GB2312" w:eastAsia="仿宋_GB2312" w:cs="仿宋_GB2312"/>
                <w:b/>
                <w:bCs/>
                <w:sz w:val="18"/>
                <w:szCs w:val="18"/>
                <w:highlight w:val="none"/>
                <w:lang w:bidi="ar"/>
              </w:rPr>
            </w:pPr>
            <w:r>
              <w:rPr>
                <w:rStyle w:val="8"/>
                <w:rFonts w:hint="default" w:ascii="Times New Roman" w:hAnsi="Times New Roman" w:eastAsia="方正仿宋简体" w:cs="Times New Roman"/>
                <w:b/>
                <w:bCs/>
                <w:sz w:val="21"/>
                <w:szCs w:val="21"/>
                <w:highlight w:val="none"/>
                <w:lang w:bidi="ar"/>
              </w:rPr>
              <w:t>《</w:t>
            </w:r>
            <w:r>
              <w:rPr>
                <w:rStyle w:val="8"/>
                <w:rFonts w:hint="eastAsia" w:ascii="仿宋_GB2312" w:hAnsi="仿宋_GB2312" w:eastAsia="仿宋_GB2312" w:cs="仿宋_GB2312"/>
                <w:b/>
                <w:bCs/>
                <w:sz w:val="18"/>
                <w:szCs w:val="18"/>
                <w:highlight w:val="none"/>
                <w:lang w:bidi="ar"/>
              </w:rPr>
              <w:t>食品召回管理办法》</w:t>
            </w:r>
          </w:p>
          <w:p>
            <w:pPr>
              <w:keepNext w:val="0"/>
              <w:keepLines w:val="0"/>
              <w:pageBreakBefore w:val="0"/>
              <w:kinsoku/>
              <w:wordWrap/>
              <w:overflowPunct/>
              <w:topLinePunct w:val="0"/>
              <w:autoSpaceDE/>
              <w:autoSpaceDN/>
              <w:bidi w:val="0"/>
              <w:adjustRightInd/>
              <w:snapToGrid/>
              <w:spacing w:line="300" w:lineRule="exact"/>
              <w:jc w:val="left"/>
              <w:rPr>
                <w:rStyle w:val="8"/>
                <w:rFonts w:hint="eastAsia" w:ascii="仿宋_GB2312" w:hAnsi="仿宋_GB2312" w:eastAsia="仿宋_GB2312" w:cs="仿宋_GB2312"/>
                <w:sz w:val="18"/>
                <w:szCs w:val="18"/>
                <w:highlight w:val="none"/>
                <w:lang w:val="zh-CN" w:bidi="ar"/>
              </w:rPr>
            </w:pPr>
            <w:r>
              <w:rPr>
                <w:rStyle w:val="8"/>
                <w:rFonts w:hint="eastAsia" w:ascii="仿宋_GB2312" w:hAnsi="仿宋_GB2312" w:eastAsia="仿宋_GB2312" w:cs="仿宋_GB2312"/>
                <w:b/>
                <w:bCs/>
                <w:sz w:val="18"/>
                <w:szCs w:val="18"/>
                <w:highlight w:val="none"/>
                <w:lang w:bidi="ar"/>
              </w:rPr>
              <w:t>第三十一条</w:t>
            </w:r>
            <w:r>
              <w:rPr>
                <w:rStyle w:val="8"/>
                <w:rFonts w:hint="eastAsia" w:ascii="仿宋_GB2312" w:hAnsi="仿宋_GB2312" w:eastAsia="仿宋_GB2312" w:cs="仿宋_GB2312"/>
                <w:sz w:val="18"/>
                <w:szCs w:val="18"/>
                <w:highlight w:val="none"/>
                <w:lang w:val="en-US" w:eastAsia="zh-CN" w:bidi="ar"/>
              </w:rPr>
              <w:t xml:space="preserve"> </w:t>
            </w:r>
            <w:r>
              <w:rPr>
                <w:rStyle w:val="8"/>
                <w:rFonts w:hint="eastAsia" w:ascii="仿宋_GB2312" w:hAnsi="仿宋_GB2312" w:eastAsia="仿宋_GB2312" w:cs="仿宋_GB2312"/>
                <w:sz w:val="18"/>
                <w:szCs w:val="18"/>
                <w:highlight w:val="none"/>
                <w:lang w:val="zh-CN" w:bidi="ar"/>
              </w:rPr>
              <w:t>　县级以上地方市场监督管理部门可以对食品生产经营者停止生产经营、召回和处置不安全食品情况进行现场监督检查。</w:t>
            </w:r>
          </w:p>
          <w:p>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仿宋_GB2312" w:cs="Times New Roman"/>
                <w:sz w:val="28"/>
                <w:szCs w:val="28"/>
                <w:vertAlign w:val="baseline"/>
                <w:lang w:val="en-US" w:eastAsia="zh-CN"/>
              </w:rPr>
            </w:pPr>
          </w:p>
        </w:tc>
        <w:tc>
          <w:tcPr>
            <w:tcW w:w="280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atLeast"/>
        </w:trPr>
        <w:tc>
          <w:tcPr>
            <w:tcW w:w="119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default"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4</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对市场主体登记事项的监督检查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《中华人民共和国市场主体登记管理条例》</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sz w:val="18"/>
                <w:szCs w:val="18"/>
                <w:highlight w:val="none"/>
                <w:lang w:val="en-US" w:eastAsia="zh-CN" w:bidi="ar"/>
              </w:rPr>
            </w:pPr>
            <w:r>
              <w:rPr>
                <w:rStyle w:val="8"/>
                <w:rFonts w:hint="eastAsia" w:ascii="仿宋_GB2312" w:hAnsi="仿宋_GB2312" w:eastAsia="仿宋_GB2312" w:cs="仿宋_GB2312"/>
                <w:b/>
                <w:bCs/>
                <w:sz w:val="18"/>
                <w:szCs w:val="18"/>
                <w:highlight w:val="none"/>
                <w:lang w:bidi="ar"/>
              </w:rPr>
              <w:t>第三十八条</w:t>
            </w:r>
            <w:r>
              <w:rPr>
                <w:rStyle w:val="8"/>
                <w:rFonts w:hint="eastAsia" w:ascii="仿宋_GB2312" w:hAnsi="仿宋_GB2312" w:eastAsia="仿宋_GB2312" w:cs="仿宋_GB2312"/>
                <w:b/>
                <w:bCs/>
                <w:sz w:val="18"/>
                <w:szCs w:val="18"/>
                <w:highlight w:val="none"/>
                <w:lang w:val="en-US" w:eastAsia="zh-CN" w:bidi="ar"/>
              </w:rPr>
              <w:t xml:space="preserve">  </w:t>
            </w:r>
            <w:r>
              <w:rPr>
                <w:rStyle w:val="8"/>
                <w:rFonts w:hint="eastAsia" w:ascii="仿宋_GB2312" w:hAnsi="仿宋_GB2312" w:eastAsia="仿宋_GB2312" w:cs="仿宋_GB2312"/>
                <w:sz w:val="18"/>
                <w:szCs w:val="18"/>
                <w:highlight w:val="none"/>
                <w:lang w:val="en-US" w:eastAsia="zh-CN" w:bidi="ar"/>
              </w:rPr>
              <w:t>登记机关应当根据市场主体的信用风险状况实施分级分类监管。</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default" w:ascii="Times New Roman" w:hAnsi="Times New Roman" w:eastAsia="仿宋_GB2312" w:cs="Times New Roman"/>
                <w:sz w:val="28"/>
                <w:szCs w:val="28"/>
                <w:vertAlign w:val="baseline"/>
                <w:lang w:val="en-US" w:eastAsia="zh-CN"/>
              </w:rPr>
            </w:pPr>
            <w:r>
              <w:rPr>
                <w:rStyle w:val="8"/>
                <w:rFonts w:hint="eastAsia" w:ascii="仿宋_GB2312" w:hAnsi="仿宋_GB2312" w:eastAsia="仿宋_GB2312" w:cs="仿宋_GB2312"/>
                <w:sz w:val="18"/>
                <w:szCs w:val="18"/>
                <w:highlight w:val="none"/>
                <w:lang w:val="en-US" w:eastAsia="zh-CN" w:bidi="ar"/>
              </w:rPr>
              <w:t>登记机关应当采取随机抽取检查对象、随机选派执法检查人员的方式，对市场主体登记事项进行监督检查，并及时向社会公开监督检查结果。</w:t>
            </w:r>
          </w:p>
        </w:tc>
        <w:tc>
          <w:tcPr>
            <w:tcW w:w="280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default"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5</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对食品安全进行监督检查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b/>
                <w:bCs/>
                <w:sz w:val="18"/>
                <w:szCs w:val="18"/>
                <w:highlight w:val="none"/>
                <w:lang w:val="en-US" w:eastAsia="zh-CN" w:bidi="ar"/>
              </w:rPr>
            </w:pPr>
            <w:r>
              <w:rPr>
                <w:rStyle w:val="8"/>
                <w:rFonts w:hint="eastAsia" w:ascii="仿宋_GB2312" w:hAnsi="仿宋_GB2312" w:eastAsia="仿宋_GB2312" w:cs="仿宋_GB2312"/>
                <w:b/>
                <w:bCs/>
                <w:sz w:val="18"/>
                <w:szCs w:val="18"/>
                <w:highlight w:val="none"/>
                <w:lang w:val="en-US" w:eastAsia="zh-CN" w:bidi="ar"/>
              </w:rPr>
              <w:t>《中华人民共和国食品安全法》</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sz w:val="18"/>
                <w:szCs w:val="18"/>
                <w:highlight w:val="none"/>
                <w:lang w:val="en-US" w:eastAsia="zh-CN" w:bidi="ar"/>
              </w:rPr>
            </w:pPr>
            <w:r>
              <w:rPr>
                <w:rStyle w:val="8"/>
                <w:rFonts w:hint="eastAsia" w:ascii="仿宋_GB2312" w:hAnsi="仿宋_GB2312" w:eastAsia="仿宋_GB2312" w:cs="仿宋_GB2312"/>
                <w:b/>
                <w:bCs/>
                <w:sz w:val="18"/>
                <w:szCs w:val="18"/>
                <w:highlight w:val="none"/>
                <w:lang w:val="en-US" w:eastAsia="zh-CN" w:bidi="ar"/>
              </w:rPr>
              <w:t>第一百一十条第一项</w:t>
            </w:r>
            <w:r>
              <w:rPr>
                <w:rStyle w:val="8"/>
                <w:rFonts w:hint="eastAsia" w:ascii="仿宋_GB2312" w:hAnsi="仿宋_GB2312" w:eastAsia="仿宋_GB2312" w:cs="仿宋_GB2312"/>
                <w:sz w:val="18"/>
                <w:szCs w:val="18"/>
                <w:highlight w:val="none"/>
                <w:lang w:val="en-US" w:eastAsia="zh-CN" w:bidi="ar"/>
              </w:rPr>
              <w:t>　县级以上人民政府食品安全监督管理部门履行食品安全监督管理职责，有权采取下列措施，对生产经营者遵守本法的情况进行监督检查：</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default" w:ascii="Times New Roman" w:hAnsi="Times New Roman" w:eastAsia="仿宋_GB2312" w:cs="Times New Roman"/>
                <w:sz w:val="28"/>
                <w:szCs w:val="28"/>
                <w:vertAlign w:val="baseline"/>
                <w:lang w:val="en-US" w:eastAsia="zh-CN"/>
              </w:rPr>
            </w:pPr>
            <w:r>
              <w:rPr>
                <w:rStyle w:val="8"/>
                <w:rFonts w:hint="eastAsia" w:ascii="仿宋_GB2312" w:hAnsi="仿宋_GB2312" w:eastAsia="仿宋_GB2312" w:cs="仿宋_GB2312"/>
                <w:sz w:val="18"/>
                <w:szCs w:val="18"/>
                <w:highlight w:val="none"/>
                <w:lang w:val="en-US" w:eastAsia="zh-CN" w:bidi="ar"/>
              </w:rPr>
              <w:t>（一）进入生产经营场所实施现场检查；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6</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对涉嫌专利违法行为的场所实施现场检查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《中华人民共和国专利法》</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sz w:val="18"/>
                <w:szCs w:val="18"/>
                <w:highlight w:val="none"/>
                <w:lang w:val="zh-CN" w:bidi="ar"/>
              </w:rPr>
            </w:pPr>
            <w:r>
              <w:rPr>
                <w:rStyle w:val="8"/>
                <w:rFonts w:hint="eastAsia" w:ascii="仿宋_GB2312" w:hAnsi="仿宋_GB2312" w:eastAsia="仿宋_GB2312" w:cs="仿宋_GB2312"/>
                <w:b/>
                <w:bCs/>
                <w:sz w:val="18"/>
                <w:szCs w:val="18"/>
                <w:highlight w:val="none"/>
                <w:lang w:val="zh-CN" w:bidi="ar"/>
              </w:rPr>
              <w:t>第六十九条</w:t>
            </w:r>
            <w:r>
              <w:rPr>
                <w:rStyle w:val="8"/>
                <w:rFonts w:hint="eastAsia" w:ascii="仿宋_GB2312" w:hAnsi="仿宋_GB2312" w:eastAsia="仿宋_GB2312" w:cs="仿宋_GB2312"/>
                <w:b/>
                <w:bCs/>
                <w:sz w:val="18"/>
                <w:szCs w:val="18"/>
                <w:highlight w:val="none"/>
                <w:lang w:val="en-US" w:eastAsia="zh-CN" w:bidi="ar"/>
              </w:rPr>
              <w:t>第一款第二项、第三项</w:t>
            </w:r>
            <w:r>
              <w:rPr>
                <w:rStyle w:val="8"/>
                <w:rFonts w:hint="eastAsia" w:ascii="仿宋_GB2312" w:hAnsi="仿宋_GB2312" w:eastAsia="仿宋_GB2312" w:cs="仿宋_GB2312"/>
                <w:sz w:val="18"/>
                <w:szCs w:val="18"/>
                <w:highlight w:val="none"/>
                <w:lang w:val="zh-CN" w:bidi="ar"/>
              </w:rPr>
              <w:t>　负责专利执法的部门根据已经取得的证据，对涉嫌假冒专利行为进行查处时，有权采取下列措施：</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sz w:val="18"/>
                <w:szCs w:val="18"/>
                <w:highlight w:val="none"/>
                <w:lang w:val="zh-CN" w:bidi="ar"/>
              </w:rPr>
            </w:pPr>
            <w:r>
              <w:rPr>
                <w:rStyle w:val="8"/>
                <w:rFonts w:hint="eastAsia" w:ascii="仿宋_GB2312" w:hAnsi="仿宋_GB2312" w:eastAsia="仿宋_GB2312" w:cs="仿宋_GB2312"/>
                <w:sz w:val="18"/>
                <w:szCs w:val="18"/>
                <w:highlight w:val="none"/>
                <w:lang w:val="zh-CN" w:bidi="ar"/>
              </w:rPr>
              <w:t>（二）对当事人涉嫌违法行为的场所实施现场检查；</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default" w:ascii="Times New Roman" w:hAnsi="Times New Roman" w:eastAsia="仿宋_GB2312" w:cs="Times New Roman"/>
                <w:sz w:val="28"/>
                <w:szCs w:val="28"/>
                <w:vertAlign w:val="baseline"/>
                <w:lang w:val="en-US" w:eastAsia="zh-CN"/>
              </w:rPr>
            </w:pPr>
            <w:r>
              <w:rPr>
                <w:rStyle w:val="8"/>
                <w:rFonts w:hint="eastAsia" w:ascii="仿宋_GB2312" w:hAnsi="仿宋_GB2312" w:eastAsia="仿宋_GB2312" w:cs="仿宋_GB2312"/>
                <w:sz w:val="18"/>
                <w:szCs w:val="18"/>
                <w:highlight w:val="none"/>
                <w:lang w:val="zh-CN" w:bidi="ar"/>
              </w:rPr>
              <w:t>（四）检查与涉嫌违法行为有关的产品</w:t>
            </w:r>
            <w:r>
              <w:rPr>
                <w:rStyle w:val="8"/>
                <w:rFonts w:hint="default" w:ascii="Times New Roman" w:hAnsi="Times New Roman" w:eastAsia="方正仿宋简体" w:cs="Times New Roman"/>
                <w:sz w:val="21"/>
                <w:szCs w:val="21"/>
                <w:highlight w:val="none"/>
                <w:lang w:val="zh-CN" w:bidi="ar"/>
              </w:rPr>
              <w:t>；</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7</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对水效标识进行监督检查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kinsoku/>
              <w:wordWrap/>
              <w:overflowPunct/>
              <w:topLinePunct w:val="0"/>
              <w:autoSpaceDE/>
              <w:autoSpaceDN/>
              <w:bidi w:val="0"/>
              <w:spacing w:beforeLines="0" w:after="20" w:afterLines="0" w:line="300" w:lineRule="exact"/>
              <w:jc w:val="left"/>
              <w:rPr>
                <w:rStyle w:val="8"/>
                <w:rFonts w:hint="eastAsia" w:ascii="仿宋_GB2312" w:hAnsi="仿宋_GB2312" w:eastAsia="仿宋_GB2312" w:cs="仿宋_GB2312"/>
                <w:b/>
                <w:bCs/>
                <w:sz w:val="18"/>
                <w:szCs w:val="18"/>
                <w:highlight w:val="none"/>
                <w:lang w:bidi="ar"/>
              </w:rPr>
            </w:pPr>
            <w:r>
              <w:rPr>
                <w:rStyle w:val="8"/>
                <w:rFonts w:hint="eastAsia" w:ascii="仿宋_GB2312" w:hAnsi="仿宋_GB2312" w:eastAsia="仿宋_GB2312" w:cs="仿宋_GB2312"/>
                <w:b/>
                <w:bCs/>
                <w:sz w:val="18"/>
                <w:szCs w:val="18"/>
                <w:highlight w:val="none"/>
                <w:lang w:bidi="ar"/>
              </w:rPr>
              <w:t>《水效标识管理办法》</w:t>
            </w:r>
          </w:p>
          <w:p>
            <w:pPr>
              <w:keepNext w:val="0"/>
              <w:keepLines w:val="0"/>
              <w:pageBreakBefore w:val="0"/>
              <w:kinsoku/>
              <w:wordWrap/>
              <w:overflowPunct/>
              <w:topLinePunct w:val="0"/>
              <w:autoSpaceDE/>
              <w:autoSpaceDN/>
              <w:bidi w:val="0"/>
              <w:spacing w:beforeLines="0" w:after="20" w:afterLines="0" w:line="300" w:lineRule="exact"/>
              <w:jc w:val="left"/>
              <w:rPr>
                <w:rFonts w:hint="default" w:ascii="Times New Roman" w:hAnsi="Times New Roman" w:eastAsia="仿宋_GB2312" w:cs="Times New Roman"/>
                <w:sz w:val="28"/>
                <w:szCs w:val="28"/>
                <w:vertAlign w:val="baseline"/>
                <w:lang w:val="en-US" w:eastAsia="zh-CN"/>
              </w:rPr>
            </w:pPr>
            <w:r>
              <w:rPr>
                <w:rStyle w:val="8"/>
                <w:rFonts w:hint="eastAsia" w:ascii="仿宋_GB2312" w:hAnsi="仿宋_GB2312" w:eastAsia="仿宋_GB2312" w:cs="仿宋_GB2312"/>
                <w:b/>
                <w:bCs/>
                <w:sz w:val="18"/>
                <w:szCs w:val="18"/>
                <w:highlight w:val="none"/>
                <w:lang w:bidi="ar"/>
              </w:rPr>
              <w:t>第十七条</w:t>
            </w:r>
            <w:r>
              <w:rPr>
                <w:rStyle w:val="8"/>
                <w:rFonts w:hint="eastAsia" w:ascii="仿宋_GB2312" w:hAnsi="仿宋_GB2312" w:eastAsia="仿宋_GB2312" w:cs="仿宋_GB2312"/>
                <w:b/>
                <w:bCs/>
                <w:sz w:val="18"/>
                <w:szCs w:val="18"/>
                <w:highlight w:val="none"/>
                <w:lang w:val="en-US" w:eastAsia="zh-CN" w:bidi="ar"/>
              </w:rPr>
              <w:t xml:space="preserve">  </w:t>
            </w:r>
            <w:r>
              <w:rPr>
                <w:rFonts w:hint="eastAsia" w:ascii="仿宋_GB2312" w:hAnsi="仿宋_GB2312" w:eastAsia="仿宋_GB2312" w:cs="仿宋_GB2312"/>
                <w:color w:val="000000"/>
                <w:sz w:val="18"/>
                <w:szCs w:val="18"/>
                <w:lang w:val="zh-CN"/>
              </w:rPr>
              <w:t>质检部门对列入《目录》的产品依法进行水效标识监督检查、专项检查和验证管理。地方质检部门将检查结果通报同级发展改革部门和水行政主管部门，并通知授权机构。</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8</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对合同违法行为进行监督</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kinsoku/>
              <w:wordWrap/>
              <w:overflowPunct/>
              <w:topLinePunct w:val="0"/>
              <w:autoSpaceDE/>
              <w:autoSpaceDN/>
              <w:bidi w:val="0"/>
              <w:spacing w:beforeLines="0" w:after="20" w:afterLines="0" w:line="300" w:lineRule="exact"/>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《四川省合同监督条例》</w:t>
            </w:r>
          </w:p>
          <w:p>
            <w:pPr>
              <w:keepNext w:val="0"/>
              <w:keepLines w:val="0"/>
              <w:pageBreakBefore w:val="0"/>
              <w:kinsoku/>
              <w:wordWrap/>
              <w:overflowPunct/>
              <w:topLinePunct w:val="0"/>
              <w:autoSpaceDE/>
              <w:autoSpaceDN/>
              <w:bidi w:val="0"/>
              <w:spacing w:beforeLines="0" w:after="20" w:afterLines="0" w:line="300" w:lineRule="exact"/>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i w:val="0"/>
                <w:iCs w:val="0"/>
                <w:caps w:val="0"/>
                <w:color w:val="000000"/>
                <w:spacing w:val="0"/>
                <w:sz w:val="18"/>
                <w:szCs w:val="18"/>
                <w:shd w:val="clear" w:fill="FFFFFF"/>
              </w:rPr>
              <w:t>第三十九条</w:t>
            </w:r>
            <w:r>
              <w:rPr>
                <w:rFonts w:hint="eastAsia" w:ascii="仿宋_GB2312" w:hAnsi="仿宋_GB2312" w:eastAsia="仿宋_GB2312" w:cs="仿宋_GB2312"/>
                <w:b/>
                <w:bCs/>
                <w:i w:val="0"/>
                <w:iCs w:val="0"/>
                <w:caps w:val="0"/>
                <w:color w:val="000000"/>
                <w:spacing w:val="0"/>
                <w:sz w:val="18"/>
                <w:szCs w:val="18"/>
                <w:shd w:val="clear" w:fill="FFFFFF"/>
                <w:lang w:val="en-US" w:eastAsia="zh-CN"/>
              </w:rPr>
              <w:t>第二项</w:t>
            </w:r>
            <w:r>
              <w:rPr>
                <w:rFonts w:hint="eastAsia" w:ascii="仿宋_GB2312" w:hAnsi="仿宋_GB2312" w:eastAsia="仿宋_GB2312" w:cs="仿宋_GB2312"/>
                <w:i w:val="0"/>
                <w:iCs w:val="0"/>
                <w:caps w:val="0"/>
                <w:color w:val="000000"/>
                <w:spacing w:val="0"/>
                <w:sz w:val="18"/>
                <w:szCs w:val="18"/>
                <w:shd w:val="clear" w:fill="FFFFFF"/>
              </w:rPr>
              <w:t>　工商行政管理部门和其他有关行政主管部门在各自职责范围内依法查处利用合同实施的违法行为，依法行使下列职权：</w:t>
            </w:r>
            <w:r>
              <w:rPr>
                <w:rFonts w:hint="eastAsia" w:ascii="仿宋_GB2312" w:hAnsi="仿宋_GB2312" w:eastAsia="仿宋_GB2312" w:cs="仿宋_GB2312"/>
                <w:i w:val="0"/>
                <w:iCs w:val="0"/>
                <w:caps w:val="0"/>
                <w:color w:val="000000"/>
                <w:spacing w:val="0"/>
                <w:sz w:val="18"/>
                <w:szCs w:val="18"/>
                <w:shd w:val="clear" w:fill="FFFFFF"/>
              </w:rPr>
              <w:br w:type="textWrapping"/>
            </w:r>
            <w:r>
              <w:rPr>
                <w:rFonts w:hint="eastAsia" w:ascii="仿宋_GB2312" w:hAnsi="仿宋_GB2312" w:eastAsia="仿宋_GB2312" w:cs="仿宋_GB2312"/>
                <w:i w:val="0"/>
                <w:iCs w:val="0"/>
                <w:caps w:val="0"/>
                <w:color w:val="000000"/>
                <w:spacing w:val="0"/>
                <w:sz w:val="18"/>
                <w:szCs w:val="18"/>
                <w:shd w:val="clear" w:fill="FFFFFF"/>
              </w:rPr>
              <w:t>　　（二）调查利用合同实施的违法行为和与之有关的活动，对相关场所实施检查；对与违法行为有关的证据、财物、工具可能被转移、藏匿、毁损的，先行登记保存、查封或者扣押；</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9</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对拍卖活动实施监督管理</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kinsoku/>
              <w:wordWrap/>
              <w:overflowPunct/>
              <w:topLinePunct w:val="0"/>
              <w:autoSpaceDE/>
              <w:autoSpaceDN/>
              <w:bidi w:val="0"/>
              <w:spacing w:beforeLines="0" w:after="20" w:afterLines="0" w:line="300" w:lineRule="exact"/>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《拍卖监督管理办法》</w:t>
            </w:r>
          </w:p>
          <w:p>
            <w:pPr>
              <w:keepNext w:val="0"/>
              <w:keepLines w:val="0"/>
              <w:pageBreakBefore w:val="0"/>
              <w:kinsoku/>
              <w:wordWrap/>
              <w:overflowPunct/>
              <w:topLinePunct w:val="0"/>
              <w:autoSpaceDE/>
              <w:autoSpaceDN/>
              <w:bidi w:val="0"/>
              <w:spacing w:beforeLines="0" w:after="20" w:afterLines="0" w:line="300" w:lineRule="exact"/>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第三条</w:t>
            </w:r>
            <w:r>
              <w:rPr>
                <w:rFonts w:hint="eastAsia" w:ascii="仿宋_GB2312" w:hAnsi="仿宋_GB2312" w:eastAsia="仿宋_GB2312" w:cs="仿宋_GB2312"/>
                <w:b/>
                <w:bCs/>
                <w:color w:val="000000"/>
                <w:sz w:val="18"/>
                <w:szCs w:val="18"/>
                <w:lang w:val="en-US" w:eastAsia="zh-CN"/>
              </w:rPr>
              <w:t>第二项</w:t>
            </w:r>
            <w:r>
              <w:rPr>
                <w:rFonts w:hint="eastAsia" w:ascii="仿宋_GB2312" w:hAnsi="仿宋_GB2312" w:eastAsia="仿宋_GB2312" w:cs="仿宋_GB2312"/>
                <w:color w:val="000000"/>
                <w:sz w:val="18"/>
                <w:szCs w:val="18"/>
                <w:lang w:val="zh-CN"/>
              </w:rPr>
              <w:t xml:space="preserve">  市场监督管理部门依照《中华人民共和国拍卖法》等法律法规和本办法对拍卖活动实施监督管理，主要职责是：</w:t>
            </w:r>
          </w:p>
          <w:p>
            <w:pPr>
              <w:keepNext w:val="0"/>
              <w:keepLines w:val="0"/>
              <w:pageBreakBefore w:val="0"/>
              <w:kinsoku/>
              <w:wordWrap/>
              <w:overflowPunct/>
              <w:topLinePunct w:val="0"/>
              <w:autoSpaceDE/>
              <w:autoSpaceDN/>
              <w:bidi w:val="0"/>
              <w:spacing w:beforeLines="0" w:after="20" w:afterLines="0" w:line="300" w:lineRule="exact"/>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（二）依法对拍卖人、委托人、竞买人及其他参与拍卖活动的当事人进行监督管理；</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10</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对涉嫌非法销售窃听窃照专用器材、“伪基站”设备进行执法检查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kinsoku/>
              <w:wordWrap/>
              <w:overflowPunct/>
              <w:topLinePunct w:val="0"/>
              <w:autoSpaceDE/>
              <w:autoSpaceDN/>
              <w:bidi w:val="0"/>
              <w:spacing w:beforeLines="0" w:after="20" w:afterLines="0" w:line="300" w:lineRule="exact"/>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《禁止非法生产销售使用窃听窃照专用器材和“伪基站”设备的规定》</w:t>
            </w:r>
          </w:p>
          <w:p>
            <w:pPr>
              <w:keepNext w:val="0"/>
              <w:keepLines w:val="0"/>
              <w:pageBreakBefore w:val="0"/>
              <w:kinsoku/>
              <w:wordWrap/>
              <w:overflowPunct/>
              <w:topLinePunct w:val="0"/>
              <w:autoSpaceDE/>
              <w:autoSpaceDN/>
              <w:bidi w:val="0"/>
              <w:spacing w:beforeLines="0" w:after="20" w:afterLines="0" w:line="300" w:lineRule="exact"/>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第七条</w:t>
            </w:r>
            <w:r>
              <w:rPr>
                <w:rFonts w:hint="eastAsia" w:ascii="仿宋_GB2312" w:hAnsi="仿宋_GB2312" w:eastAsia="仿宋_GB2312" w:cs="仿宋_GB2312"/>
                <w:color w:val="000000"/>
                <w:sz w:val="18"/>
                <w:szCs w:val="18"/>
                <w:lang w:val="zh-CN"/>
              </w:rPr>
              <w:t>　公安机关负责对窃听窃照专用器材、“伪基站”设备的认定工作。</w:t>
            </w:r>
          </w:p>
          <w:p>
            <w:pPr>
              <w:keepNext w:val="0"/>
              <w:keepLines w:val="0"/>
              <w:pageBreakBefore w:val="0"/>
              <w:kinsoku/>
              <w:wordWrap/>
              <w:overflowPunct/>
              <w:topLinePunct w:val="0"/>
              <w:autoSpaceDE/>
              <w:autoSpaceDN/>
              <w:bidi w:val="0"/>
              <w:spacing w:beforeLines="0" w:after="20" w:afterLines="0" w:line="300" w:lineRule="exact"/>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　　质量技术监督部门、工商行政管理部门在执法检查中，发现涉嫌非法生产、销售窃听窃照专用器材、“伪基站”设备的，应当及时将有关器材、设备送当地公安机关认定，公安机关应当在7日内出具认定结论。工商行政管理部门、质量技术监督部门应当依据公安机关出具的认定结论，对不构成犯罪的非法生产、销售窃听窃照专用器材和“伪基站”设备行为以及为非法销售窃听窃照专用器材和“伪基站”设备提供广告设计制作、代理、发布的行为依法予以处理。</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11</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对商标（含世界博览会标志、奥林匹克标志、特殊标志）侵权活动场所、有关物品检查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b/>
                <w:bCs/>
                <w:sz w:val="18"/>
                <w:szCs w:val="18"/>
                <w:highlight w:val="none"/>
                <w:lang w:eastAsia="zh-CN" w:bidi="ar"/>
              </w:rPr>
            </w:pPr>
            <w:r>
              <w:rPr>
                <w:rStyle w:val="8"/>
                <w:rFonts w:hint="eastAsia" w:ascii="Times New Roman" w:hAnsi="Times New Roman" w:eastAsia="方正仿宋简体" w:cs="Times New Roman"/>
                <w:b/>
                <w:bCs/>
                <w:sz w:val="21"/>
                <w:szCs w:val="21"/>
                <w:highlight w:val="none"/>
                <w:lang w:eastAsia="zh-CN" w:bidi="ar"/>
              </w:rPr>
              <w:t>《</w:t>
            </w:r>
            <w:r>
              <w:rPr>
                <w:rStyle w:val="8"/>
                <w:rFonts w:hint="eastAsia" w:ascii="仿宋_GB2312" w:hAnsi="仿宋_GB2312" w:eastAsia="仿宋_GB2312" w:cs="仿宋_GB2312"/>
                <w:b/>
                <w:bCs/>
                <w:sz w:val="18"/>
                <w:szCs w:val="18"/>
                <w:highlight w:val="none"/>
                <w:lang w:eastAsia="zh-CN" w:bidi="ar"/>
              </w:rPr>
              <w:t>中华人民共和国商标法》</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sz w:val="18"/>
                <w:szCs w:val="18"/>
                <w:highlight w:val="none"/>
                <w:lang w:val="zh-CN" w:bidi="ar"/>
              </w:rPr>
            </w:pPr>
            <w:r>
              <w:rPr>
                <w:rStyle w:val="8"/>
                <w:rFonts w:hint="eastAsia" w:ascii="仿宋_GB2312" w:hAnsi="仿宋_GB2312" w:eastAsia="仿宋_GB2312" w:cs="仿宋_GB2312"/>
                <w:b/>
                <w:bCs/>
                <w:sz w:val="18"/>
                <w:szCs w:val="18"/>
                <w:highlight w:val="none"/>
                <w:lang w:bidi="ar"/>
              </w:rPr>
              <w:t>第六十二条</w:t>
            </w:r>
            <w:r>
              <w:rPr>
                <w:rStyle w:val="8"/>
                <w:rFonts w:hint="eastAsia" w:ascii="仿宋_GB2312" w:hAnsi="仿宋_GB2312" w:eastAsia="仿宋_GB2312" w:cs="仿宋_GB2312"/>
                <w:b/>
                <w:bCs/>
                <w:sz w:val="18"/>
                <w:szCs w:val="18"/>
                <w:highlight w:val="none"/>
                <w:lang w:val="en-US" w:eastAsia="zh-CN" w:bidi="ar"/>
              </w:rPr>
              <w:t xml:space="preserve">第一款第三项、第四项 </w:t>
            </w:r>
            <w:r>
              <w:rPr>
                <w:rStyle w:val="8"/>
                <w:rFonts w:hint="eastAsia" w:ascii="仿宋_GB2312" w:hAnsi="仿宋_GB2312" w:eastAsia="仿宋_GB2312" w:cs="仿宋_GB2312"/>
                <w:sz w:val="18"/>
                <w:szCs w:val="18"/>
                <w:highlight w:val="none"/>
                <w:lang w:val="en-US" w:eastAsia="zh-CN" w:bidi="ar"/>
              </w:rPr>
              <w:t xml:space="preserve"> </w:t>
            </w:r>
            <w:r>
              <w:rPr>
                <w:rStyle w:val="8"/>
                <w:rFonts w:hint="eastAsia" w:ascii="仿宋_GB2312" w:hAnsi="仿宋_GB2312" w:eastAsia="仿宋_GB2312" w:cs="仿宋_GB2312"/>
                <w:sz w:val="18"/>
                <w:szCs w:val="18"/>
                <w:highlight w:val="none"/>
                <w:lang w:val="zh-CN" w:bidi="ar"/>
              </w:rPr>
              <w:t>县级以上工商行政管理部门根据已经取得的违法嫌疑证据或者举报，对涉嫌侵犯他人注册商标专用权的行为进行查处时，可以行使下列职权：</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仿宋_GB2312" w:hAnsi="仿宋_GB2312" w:eastAsia="仿宋_GB2312" w:cs="仿宋_GB2312"/>
                <w:sz w:val="18"/>
                <w:szCs w:val="18"/>
                <w:highlight w:val="none"/>
                <w:lang w:val="zh-CN" w:bidi="ar"/>
              </w:rPr>
            </w:pPr>
            <w:r>
              <w:rPr>
                <w:rStyle w:val="8"/>
                <w:rFonts w:hint="eastAsia" w:ascii="仿宋_GB2312" w:hAnsi="仿宋_GB2312" w:eastAsia="仿宋_GB2312" w:cs="仿宋_GB2312"/>
                <w:sz w:val="18"/>
                <w:szCs w:val="18"/>
                <w:highlight w:val="none"/>
                <w:lang w:val="zh-CN" w:bidi="ar"/>
              </w:rPr>
              <w:t>（三）对当事人涉嫌从事侵犯他人注册商标专用权活动的场所实施现场检查；</w:t>
            </w:r>
          </w:p>
          <w:p>
            <w:pPr>
              <w:keepNext w:val="0"/>
              <w:keepLines w:val="0"/>
              <w:pageBreakBefore w:val="0"/>
              <w:widowControl/>
              <w:kinsoku/>
              <w:wordWrap/>
              <w:overflowPunct/>
              <w:topLinePunct w:val="0"/>
              <w:autoSpaceDE/>
              <w:autoSpaceDN/>
              <w:bidi w:val="0"/>
              <w:adjustRightInd w:val="0"/>
              <w:snapToGrid w:val="0"/>
              <w:spacing w:line="300" w:lineRule="exact"/>
              <w:jc w:val="both"/>
              <w:textAlignment w:val="center"/>
              <w:rPr>
                <w:rStyle w:val="8"/>
                <w:rFonts w:hint="eastAsia" w:ascii="Times New Roman" w:hAnsi="Times New Roman" w:eastAsia="方正仿宋简体" w:cs="Times New Roman"/>
                <w:sz w:val="21"/>
                <w:szCs w:val="21"/>
                <w:highlight w:val="none"/>
                <w:lang w:eastAsia="zh-CN" w:bidi="ar"/>
              </w:rPr>
            </w:pPr>
            <w:r>
              <w:rPr>
                <w:rStyle w:val="8"/>
                <w:rFonts w:hint="eastAsia" w:ascii="仿宋_GB2312" w:hAnsi="仿宋_GB2312" w:eastAsia="仿宋_GB2312" w:cs="仿宋_GB2312"/>
                <w:sz w:val="18"/>
                <w:szCs w:val="18"/>
                <w:highlight w:val="none"/>
                <w:lang w:val="zh-CN" w:bidi="ar"/>
              </w:rPr>
              <w:t>（四）检查与侵权活动有关的物品；对有证据证明是侵犯他人注册商标专用权的物品，可以查封或者扣押。</w:t>
            </w:r>
          </w:p>
          <w:p>
            <w:pPr>
              <w:keepNext w:val="0"/>
              <w:keepLines w:val="0"/>
              <w:pageBreakBefore w:val="0"/>
              <w:kinsoku/>
              <w:wordWrap/>
              <w:overflowPunct/>
              <w:topLinePunct w:val="0"/>
              <w:autoSpaceDE/>
              <w:autoSpaceDN/>
              <w:bidi w:val="0"/>
              <w:spacing w:beforeLines="0" w:after="20" w:afterLines="0" w:line="300" w:lineRule="exact"/>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《世界博览会标志保护条例》</w:t>
            </w:r>
          </w:p>
          <w:p>
            <w:pPr>
              <w:keepNext w:val="0"/>
              <w:keepLines w:val="0"/>
              <w:pageBreakBefore w:val="0"/>
              <w:kinsoku/>
              <w:wordWrap/>
              <w:overflowPunct/>
              <w:topLinePunct w:val="0"/>
              <w:autoSpaceDE/>
              <w:autoSpaceDN/>
              <w:bidi w:val="0"/>
              <w:spacing w:beforeLines="0" w:after="20" w:afterLines="0" w:line="300" w:lineRule="exact"/>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第十条</w:t>
            </w:r>
            <w:r>
              <w:rPr>
                <w:rFonts w:hint="eastAsia" w:ascii="仿宋_GB2312" w:hAnsi="仿宋_GB2312" w:eastAsia="仿宋_GB2312" w:cs="仿宋_GB2312"/>
                <w:b/>
                <w:bCs/>
                <w:color w:val="000000"/>
                <w:sz w:val="18"/>
                <w:szCs w:val="18"/>
                <w:lang w:val="en-US" w:eastAsia="zh-CN"/>
              </w:rPr>
              <w:t>第一款</w:t>
            </w:r>
            <w:r>
              <w:rPr>
                <w:rStyle w:val="8"/>
                <w:rFonts w:hint="eastAsia" w:ascii="仿宋_GB2312" w:hAnsi="仿宋_GB2312" w:eastAsia="仿宋_GB2312" w:cs="仿宋_GB2312"/>
                <w:b/>
                <w:bCs/>
                <w:sz w:val="18"/>
                <w:szCs w:val="18"/>
                <w:highlight w:val="none"/>
                <w:lang w:val="en-US" w:eastAsia="zh-CN" w:bidi="ar"/>
              </w:rPr>
              <w:t>第三项、第四项</w:t>
            </w:r>
            <w:r>
              <w:rPr>
                <w:rFonts w:hint="eastAsia" w:ascii="仿宋_GB2312" w:hAnsi="仿宋_GB2312" w:eastAsia="仿宋_GB2312" w:cs="仿宋_GB2312"/>
                <w:color w:val="000000"/>
                <w:sz w:val="18"/>
                <w:szCs w:val="18"/>
                <w:lang w:val="zh-CN"/>
              </w:rPr>
              <w:t xml:space="preserve"> </w:t>
            </w:r>
            <w:r>
              <w:rPr>
                <w:rFonts w:hint="eastAsia" w:ascii="仿宋_GB2312" w:hAnsi="仿宋_GB2312" w:eastAsia="仿宋_GB2312" w:cs="仿宋_GB2312"/>
                <w:color w:val="000000"/>
                <w:sz w:val="18"/>
                <w:szCs w:val="18"/>
                <w:lang w:val="en-US" w:eastAsia="zh-CN"/>
              </w:rPr>
              <w:t xml:space="preserve"> </w:t>
            </w:r>
            <w:r>
              <w:rPr>
                <w:rFonts w:hint="eastAsia" w:ascii="仿宋_GB2312" w:hAnsi="仿宋_GB2312" w:eastAsia="仿宋_GB2312" w:cs="仿宋_GB2312"/>
                <w:color w:val="000000"/>
                <w:sz w:val="18"/>
                <w:szCs w:val="18"/>
                <w:lang w:val="zh-CN"/>
              </w:rPr>
              <w:t xml:space="preserve">工商行政管理部门根据已经取得的违法嫌疑证据或者举报查处涉嫌侵犯世界博览会标志专有权的行为时，可以行使下列职权： </w:t>
            </w:r>
          </w:p>
          <w:p>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color w:val="000000"/>
                <w:sz w:val="18"/>
                <w:szCs w:val="18"/>
                <w:lang w:val="zh-CN"/>
              </w:rPr>
              <w:t>（</w:t>
            </w:r>
            <w:r>
              <w:rPr>
                <w:rFonts w:hint="eastAsia" w:ascii="仿宋_GB2312" w:hAnsi="仿宋_GB2312" w:eastAsia="仿宋_GB2312" w:cs="仿宋_GB2312"/>
                <w:color w:val="000000"/>
                <w:sz w:val="18"/>
                <w:szCs w:val="18"/>
                <w:lang w:val="en-US" w:eastAsia="zh-CN"/>
              </w:rPr>
              <w:t>三</w:t>
            </w:r>
            <w:r>
              <w:rPr>
                <w:rFonts w:hint="eastAsia" w:ascii="仿宋_GB2312" w:hAnsi="仿宋_GB2312" w:eastAsia="仿宋_GB2312" w:cs="仿宋_GB2312"/>
                <w:color w:val="000000"/>
                <w:sz w:val="18"/>
                <w:szCs w:val="18"/>
                <w:lang w:val="zh-CN"/>
              </w:rPr>
              <w:t xml:space="preserve">）对当事人涉嫌侵犯世界博览会标志专有权活动的场所实施现场检查； </w:t>
            </w:r>
          </w:p>
          <w:p>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jc w:val="both"/>
              <w:textAlignment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18"/>
                <w:szCs w:val="18"/>
                <w:lang w:val="zh-CN"/>
              </w:rPr>
              <w:t xml:space="preserve">（四）检查与侵权活动有关的物品；对有证据证明侵犯世界博览会标志专有权的物品，予以查封或者扣押。 </w:t>
            </w:r>
          </w:p>
          <w:p>
            <w:pPr>
              <w:keepNext w:val="0"/>
              <w:keepLines w:val="0"/>
              <w:pageBreakBefore w:val="0"/>
              <w:kinsoku/>
              <w:wordWrap/>
              <w:overflowPunct/>
              <w:topLinePunct w:val="0"/>
              <w:autoSpaceDE/>
              <w:autoSpaceDN/>
              <w:bidi w:val="0"/>
              <w:spacing w:beforeLines="0" w:after="20" w:afterLines="0" w:line="300" w:lineRule="exact"/>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《奥林匹克标志保护条例》</w:t>
            </w:r>
          </w:p>
          <w:p>
            <w:pPr>
              <w:keepNext w:val="0"/>
              <w:keepLines w:val="0"/>
              <w:pageBreakBefore w:val="0"/>
              <w:kinsoku/>
              <w:wordWrap/>
              <w:overflowPunct/>
              <w:topLinePunct w:val="0"/>
              <w:autoSpaceDE/>
              <w:autoSpaceDN/>
              <w:bidi w:val="0"/>
              <w:spacing w:beforeLines="0" w:after="20" w:afterLines="0" w:line="300" w:lineRule="exact"/>
              <w:jc w:val="left"/>
              <w:rPr>
                <w:rFonts w:hint="eastAsia" w:ascii="仿宋_GB2312" w:hAnsi="仿宋_GB2312" w:eastAsia="仿宋_GB2312" w:cs="仿宋_GB2312"/>
                <w:color w:val="000000"/>
                <w:sz w:val="18"/>
                <w:szCs w:val="18"/>
                <w:lang w:val="zh-CN"/>
              </w:rPr>
            </w:pPr>
            <w:r>
              <w:rPr>
                <w:rStyle w:val="8"/>
                <w:rFonts w:hint="eastAsia" w:ascii="仿宋_GB2312" w:hAnsi="仿宋_GB2312" w:eastAsia="仿宋_GB2312" w:cs="仿宋_GB2312"/>
                <w:b/>
                <w:bCs/>
                <w:sz w:val="18"/>
                <w:szCs w:val="18"/>
                <w:highlight w:val="none"/>
                <w:lang w:bidi="ar"/>
              </w:rPr>
              <w:t>第十三条第二款</w:t>
            </w:r>
            <w:r>
              <w:rPr>
                <w:rStyle w:val="8"/>
                <w:rFonts w:hint="eastAsia" w:ascii="仿宋_GB2312" w:hAnsi="仿宋_GB2312" w:eastAsia="仿宋_GB2312" w:cs="仿宋_GB2312"/>
                <w:b/>
                <w:bCs/>
                <w:sz w:val="18"/>
                <w:szCs w:val="18"/>
                <w:highlight w:val="none"/>
                <w:lang w:val="en-US" w:eastAsia="zh-CN" w:bidi="ar"/>
              </w:rPr>
              <w:t xml:space="preserve">  </w:t>
            </w:r>
            <w:r>
              <w:rPr>
                <w:rFonts w:hint="eastAsia" w:ascii="仿宋_GB2312" w:hAnsi="仿宋_GB2312" w:eastAsia="仿宋_GB2312" w:cs="仿宋_GB2312"/>
                <w:color w:val="000000"/>
                <w:sz w:val="18"/>
                <w:szCs w:val="18"/>
                <w:lang w:val="zh-CN"/>
              </w:rPr>
              <w:t>市场监督管理部门根据已经取得的违法嫌疑证据或者举报，对涉嫌侵犯奥林匹克标志专有权的行为进行查处时，可以行使下列职权：</w:t>
            </w:r>
          </w:p>
          <w:p>
            <w:pPr>
              <w:keepNext w:val="0"/>
              <w:keepLines w:val="0"/>
              <w:pageBreakBefore w:val="0"/>
              <w:kinsoku/>
              <w:wordWrap/>
              <w:overflowPunct/>
              <w:topLinePunct w:val="0"/>
              <w:autoSpaceDE/>
              <w:autoSpaceDN/>
              <w:bidi w:val="0"/>
              <w:spacing w:beforeLines="0" w:after="20" w:afterLines="0" w:line="300" w:lineRule="exact"/>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color w:val="000000"/>
                <w:sz w:val="18"/>
                <w:szCs w:val="18"/>
                <w:lang w:val="zh-CN"/>
              </w:rPr>
              <w:t>（三）对当事人涉嫌侵犯奥林匹克标志专有权活动的场所实施现场检查；</w:t>
            </w:r>
          </w:p>
          <w:p>
            <w:pPr>
              <w:keepNext w:val="0"/>
              <w:keepLines w:val="0"/>
              <w:pageBreakBefore w:val="0"/>
              <w:kinsoku/>
              <w:wordWrap/>
              <w:overflowPunct/>
              <w:topLinePunct w:val="0"/>
              <w:autoSpaceDE/>
              <w:autoSpaceDN/>
              <w:bidi w:val="0"/>
              <w:spacing w:beforeLines="0" w:after="20" w:afterLines="0" w:line="300" w:lineRule="exact"/>
              <w:jc w:val="left"/>
              <w:rPr>
                <w:rFonts w:hint="eastAsia" w:ascii="仿宋_GB2312" w:hAnsi="仿宋_GB2312" w:eastAsia="仿宋_GB2312" w:cs="仿宋_GB2312"/>
                <w:sz w:val="18"/>
                <w:szCs w:val="18"/>
                <w:lang w:eastAsia="zh-CN"/>
              </w:rPr>
            </w:pPr>
            <w:r>
              <w:rPr>
                <w:rFonts w:hint="eastAsia" w:ascii="仿宋_GB2312" w:hAnsi="仿宋_GB2312" w:eastAsia="仿宋_GB2312" w:cs="仿宋_GB2312"/>
                <w:color w:val="000000"/>
                <w:sz w:val="18"/>
                <w:szCs w:val="18"/>
                <w:lang w:val="zh-CN"/>
              </w:rPr>
              <w:t>（四）检查与侵权活动有关的物品；对有证据证明是侵犯奥林匹克标志专有权的物品，予以查封或者扣押。</w:t>
            </w:r>
          </w:p>
          <w:p>
            <w:pPr>
              <w:keepNext w:val="0"/>
              <w:keepLines w:val="0"/>
              <w:pageBreakBefore w:val="0"/>
              <w:kinsoku/>
              <w:wordWrap/>
              <w:overflowPunct/>
              <w:topLinePunct w:val="0"/>
              <w:autoSpaceDE/>
              <w:autoSpaceDN/>
              <w:bidi w:val="0"/>
              <w:spacing w:beforeLines="0" w:after="20" w:afterLines="0" w:line="300" w:lineRule="exact"/>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《特殊标志管理条例》</w:t>
            </w:r>
          </w:p>
          <w:p>
            <w:pPr>
              <w:keepNext w:val="0"/>
              <w:keepLines w:val="0"/>
              <w:pageBreakBefore w:val="0"/>
              <w:kinsoku/>
              <w:wordWrap/>
              <w:overflowPunct/>
              <w:topLinePunct w:val="0"/>
              <w:autoSpaceDE/>
              <w:autoSpaceDN/>
              <w:bidi w:val="0"/>
              <w:spacing w:beforeLines="0" w:after="20" w:afterLines="0" w:line="300" w:lineRule="exact"/>
              <w:jc w:val="left"/>
              <w:rPr>
                <w:rFonts w:hint="eastAsia" w:ascii="仿宋_GB2312" w:hAnsi="仿宋_GB2312" w:eastAsia="仿宋_GB2312" w:cs="仿宋_GB2312"/>
                <w:color w:val="000000"/>
                <w:sz w:val="18"/>
                <w:szCs w:val="18"/>
                <w:lang w:val="zh-CN"/>
              </w:rPr>
            </w:pPr>
            <w:r>
              <w:rPr>
                <w:rStyle w:val="8"/>
                <w:rFonts w:hint="eastAsia" w:ascii="仿宋_GB2312" w:hAnsi="仿宋_GB2312" w:eastAsia="仿宋_GB2312" w:cs="仿宋_GB2312"/>
                <w:b/>
                <w:bCs/>
                <w:sz w:val="18"/>
                <w:szCs w:val="18"/>
                <w:highlight w:val="none"/>
                <w:lang w:bidi="ar"/>
              </w:rPr>
              <w:t>第十八条</w:t>
            </w:r>
            <w:r>
              <w:rPr>
                <w:rStyle w:val="8"/>
                <w:rFonts w:hint="eastAsia" w:ascii="仿宋_GB2312" w:hAnsi="仿宋_GB2312" w:eastAsia="仿宋_GB2312" w:cs="仿宋_GB2312"/>
                <w:b/>
                <w:bCs/>
                <w:sz w:val="18"/>
                <w:szCs w:val="18"/>
                <w:highlight w:val="none"/>
                <w:lang w:val="en-US" w:eastAsia="zh-CN" w:bidi="ar"/>
              </w:rPr>
              <w:t xml:space="preserve">第二项  </w:t>
            </w:r>
            <w:r>
              <w:rPr>
                <w:rFonts w:hint="eastAsia" w:ascii="仿宋_GB2312" w:hAnsi="仿宋_GB2312" w:eastAsia="仿宋_GB2312" w:cs="仿宋_GB2312"/>
                <w:color w:val="000000"/>
                <w:sz w:val="18"/>
                <w:szCs w:val="18"/>
                <w:lang w:val="zh-CN"/>
              </w:rPr>
              <w:t>工商行政管理部门受理特殊标志侵权案件，在调查取证时，可以行使下列职权，有关当事人应当予以协助，不得拒绝：</w:t>
            </w:r>
          </w:p>
          <w:p>
            <w:pPr>
              <w:keepNext w:val="0"/>
              <w:keepLines w:val="0"/>
              <w:pageBreakBefore w:val="0"/>
              <w:kinsoku/>
              <w:wordWrap/>
              <w:overflowPunct/>
              <w:topLinePunct w:val="0"/>
              <w:autoSpaceDE/>
              <w:autoSpaceDN/>
              <w:bidi w:val="0"/>
              <w:spacing w:beforeLines="0" w:after="20" w:afterLines="0" w:line="300" w:lineRule="exact"/>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(二)检查与侵权活动有关的物品；</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12</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对广告活动的监督检查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《中华人民共和国广告法》</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第四十九条</w:t>
            </w:r>
            <w:r>
              <w:rPr>
                <w:rFonts w:hint="eastAsia" w:ascii="仿宋_GB2312" w:hAnsi="仿宋_GB2312" w:eastAsia="仿宋_GB2312" w:cs="仿宋_GB2312"/>
                <w:b/>
                <w:bCs/>
                <w:color w:val="000000"/>
                <w:sz w:val="18"/>
                <w:szCs w:val="18"/>
                <w:lang w:val="en-US" w:eastAsia="zh-CN"/>
              </w:rPr>
              <w:t>第一项</w:t>
            </w:r>
            <w:r>
              <w:rPr>
                <w:rFonts w:hint="eastAsia" w:ascii="仿宋_GB2312" w:hAnsi="仿宋_GB2312" w:eastAsia="仿宋_GB2312" w:cs="仿宋_GB2312"/>
                <w:b/>
                <w:bCs/>
                <w:color w:val="000000"/>
                <w:sz w:val="18"/>
                <w:szCs w:val="18"/>
                <w:lang w:val="zh-CN"/>
              </w:rPr>
              <w:t xml:space="preserve"> </w:t>
            </w:r>
            <w:r>
              <w:rPr>
                <w:rFonts w:hint="eastAsia" w:ascii="仿宋_GB2312" w:hAnsi="仿宋_GB2312" w:eastAsia="仿宋_GB2312" w:cs="仿宋_GB2312"/>
                <w:color w:val="000000"/>
                <w:sz w:val="18"/>
                <w:szCs w:val="18"/>
                <w:lang w:val="zh-CN"/>
              </w:rPr>
              <w:t>市场监督管理部门履行广告监督管理职责，可以行使下列职权：</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　（一）对涉嫌从事违法广告活动的场所实施现场检查；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13</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对涉嫌不正当竞争行为进行调查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spacing w:beforeLines="0" w:after="20" w:afterLines="0"/>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《中华人民共和国反不正当竞争法》</w:t>
            </w:r>
          </w:p>
          <w:p>
            <w:pPr>
              <w:spacing w:beforeLines="0" w:after="20" w:afterLines="0"/>
              <w:jc w:val="left"/>
              <w:rPr>
                <w:rFonts w:hint="eastAsia" w:ascii="仿宋_GB2312" w:hAnsi="仿宋_GB2312" w:eastAsia="仿宋_GB2312" w:cs="仿宋_GB2312"/>
                <w:color w:val="000000"/>
                <w:sz w:val="18"/>
                <w:szCs w:val="18"/>
                <w:lang w:val="zh-CN"/>
              </w:rPr>
            </w:pPr>
            <w:r>
              <w:rPr>
                <w:rStyle w:val="8"/>
                <w:rFonts w:hint="eastAsia" w:ascii="仿宋_GB2312" w:hAnsi="仿宋_GB2312" w:eastAsia="仿宋_GB2312" w:cs="仿宋_GB2312"/>
                <w:b/>
                <w:bCs/>
                <w:sz w:val="18"/>
                <w:szCs w:val="18"/>
                <w:highlight w:val="none"/>
                <w:lang w:bidi="ar"/>
              </w:rPr>
              <w:t>第十三条</w:t>
            </w:r>
            <w:r>
              <w:rPr>
                <w:rStyle w:val="8"/>
                <w:rFonts w:hint="eastAsia" w:ascii="仿宋_GB2312" w:hAnsi="仿宋_GB2312" w:eastAsia="仿宋_GB2312" w:cs="仿宋_GB2312"/>
                <w:b/>
                <w:bCs/>
                <w:sz w:val="18"/>
                <w:szCs w:val="18"/>
                <w:highlight w:val="none"/>
                <w:lang w:val="en-US" w:eastAsia="zh-CN" w:bidi="ar"/>
              </w:rPr>
              <w:t>第一款第一项</w:t>
            </w:r>
            <w:r>
              <w:rPr>
                <w:rFonts w:hint="eastAsia" w:ascii="仿宋_GB2312" w:hAnsi="仿宋_GB2312" w:eastAsia="仿宋_GB2312" w:cs="仿宋_GB2312"/>
                <w:color w:val="000000"/>
                <w:sz w:val="18"/>
                <w:szCs w:val="18"/>
                <w:lang w:val="zh-CN"/>
              </w:rPr>
              <w:t>监督检查部门调查涉嫌不正当竞争行为，可以采取下列措施：</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(一)进入涉嫌不正当竞争行为的经营场所进行检查;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14</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对无证无照经营行为进行监督检查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spacing w:beforeLines="0" w:after="20" w:afterLines="0"/>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《无证无照经营查处办法》</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第十一条</w:t>
            </w:r>
            <w:r>
              <w:rPr>
                <w:rFonts w:hint="eastAsia" w:ascii="仿宋_GB2312" w:hAnsi="仿宋_GB2312" w:eastAsia="仿宋_GB2312" w:cs="仿宋_GB2312"/>
                <w:b/>
                <w:bCs/>
                <w:color w:val="000000"/>
                <w:sz w:val="18"/>
                <w:szCs w:val="18"/>
                <w:lang w:val="en-US" w:eastAsia="zh-CN"/>
              </w:rPr>
              <w:t>第一款第三项</w:t>
            </w:r>
            <w:r>
              <w:rPr>
                <w:rFonts w:hint="eastAsia" w:ascii="仿宋_GB2312" w:hAnsi="仿宋_GB2312" w:eastAsia="仿宋_GB2312" w:cs="仿宋_GB2312"/>
                <w:color w:val="000000"/>
                <w:sz w:val="18"/>
                <w:szCs w:val="18"/>
                <w:lang w:val="zh-CN"/>
              </w:rPr>
              <w:t>　县级以上人民政府工商行政管理部门对涉嫌无照经营进行查处，可以行使下列职权：</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（三）进入涉嫌从事无照经营的场所实施现场检查；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15</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对传销行为进行查处</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《禁止传销条例》</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第十四条</w:t>
            </w:r>
            <w:r>
              <w:rPr>
                <w:rFonts w:hint="eastAsia" w:ascii="仿宋_GB2312" w:hAnsi="仿宋_GB2312" w:eastAsia="仿宋_GB2312" w:cs="仿宋_GB2312"/>
                <w:color w:val="000000"/>
                <w:sz w:val="18"/>
                <w:szCs w:val="18"/>
                <w:lang w:val="zh-CN"/>
              </w:rPr>
              <w:t xml:space="preserve">　县级以上工商行政管理部门对涉嫌传销行为进行查处时，可以采取下列措施：  </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 xml:space="preserve">（三）进入涉嫌传销的经营场所和培训、集会等活动场所，实施现场检查； </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16</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对粮食经营活动中的扰乱市场秩序行为、违法交易行为以及价格违法行为的监督检查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《粮食流通管理条例》</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imes New Roman" w:hAnsi="Times New Roman" w:eastAsia="仿宋_GB2312" w:cs="Times New Roman"/>
                <w:sz w:val="28"/>
                <w:szCs w:val="28"/>
                <w:vertAlign w:val="baseline"/>
                <w:lang w:val="en-US" w:eastAsia="zh-CN"/>
              </w:rPr>
            </w:pPr>
            <w:r>
              <w:rPr>
                <w:rStyle w:val="8"/>
                <w:rFonts w:hint="eastAsia" w:ascii="仿宋_GB2312" w:hAnsi="仿宋_GB2312" w:eastAsia="仿宋_GB2312" w:cs="仿宋_GB2312"/>
                <w:b/>
                <w:bCs/>
                <w:sz w:val="18"/>
                <w:szCs w:val="18"/>
                <w:highlight w:val="none"/>
                <w:lang w:bidi="ar"/>
              </w:rPr>
              <w:t>第三十九条</w:t>
            </w:r>
            <w:r>
              <w:rPr>
                <w:rStyle w:val="8"/>
                <w:rFonts w:hint="eastAsia" w:ascii="仿宋_GB2312" w:hAnsi="仿宋_GB2312" w:eastAsia="仿宋_GB2312" w:cs="仿宋_GB2312"/>
                <w:b/>
                <w:bCs/>
                <w:sz w:val="18"/>
                <w:szCs w:val="18"/>
                <w:highlight w:val="none"/>
                <w:lang w:val="en-US" w:eastAsia="zh-CN" w:bidi="ar"/>
              </w:rPr>
              <w:t xml:space="preserve">  </w:t>
            </w:r>
            <w:r>
              <w:rPr>
                <w:rFonts w:hint="eastAsia" w:ascii="仿宋_GB2312" w:hAnsi="仿宋_GB2312" w:eastAsia="仿宋_GB2312" w:cs="仿宋_GB2312"/>
                <w:color w:val="000000"/>
                <w:sz w:val="18"/>
                <w:szCs w:val="18"/>
                <w:lang w:val="zh-CN"/>
              </w:rPr>
              <w:t>市场监督管理部门依照有关法律、法规的规定，对粮食经营活动中的扰乱市场秩序行为、违法交易行为以及价格违法行为进行监督检查。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17</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对企业公示信息情况进行抽查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《企业公示信息抽查暂行办法》</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第二条</w:t>
            </w:r>
            <w:r>
              <w:rPr>
                <w:rFonts w:hint="eastAsia" w:ascii="仿宋_GB2312" w:hAnsi="仿宋_GB2312" w:eastAsia="仿宋_GB2312" w:cs="仿宋_GB2312"/>
                <w:color w:val="000000"/>
                <w:sz w:val="18"/>
                <w:szCs w:val="18"/>
                <w:lang w:val="zh-CN"/>
              </w:rPr>
              <w:t>　本办法所称企业公示信息抽查，是指工商行政管理部门随机抽取一定比例的企业，对其通过企业信用信息公示系统公示信息的情况进行检查的活动。</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both"/>
              <w:textAlignment w:val="auto"/>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color w:val="000000"/>
                <w:sz w:val="18"/>
                <w:szCs w:val="18"/>
                <w:lang w:val="zh-CN"/>
              </w:rPr>
              <w:t>第三条</w:t>
            </w:r>
            <w:r>
              <w:rPr>
                <w:rFonts w:hint="eastAsia" w:ascii="仿宋_GB2312" w:hAnsi="仿宋_GB2312" w:eastAsia="仿宋_GB2312" w:cs="仿宋_GB2312"/>
                <w:b/>
                <w:bCs/>
                <w:color w:val="000000"/>
                <w:sz w:val="18"/>
                <w:szCs w:val="18"/>
                <w:lang w:val="en-US" w:eastAsia="zh-CN"/>
              </w:rPr>
              <w:t>第一款</w:t>
            </w:r>
            <w:r>
              <w:rPr>
                <w:rFonts w:hint="eastAsia" w:ascii="仿宋_GB2312" w:hAnsi="仿宋_GB2312" w:eastAsia="仿宋_GB2312" w:cs="仿宋_GB2312"/>
                <w:color w:val="000000"/>
                <w:sz w:val="18"/>
                <w:szCs w:val="18"/>
                <w:lang w:val="zh-CN"/>
              </w:rPr>
              <w:t xml:space="preserve">　国家工商行政管理总局负责指导全国的企业公示信息抽查工作，根据需要开展或者组织地方工商行政管理部门开展企业公示信息抽查工作。 </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18</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对旅游市场实施监督检查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right="0"/>
              <w:textAlignment w:val="auto"/>
              <w:rPr>
                <w:rFonts w:hint="eastAsia" w:ascii="仿宋_GB2312" w:hAnsi="仿宋_GB2312" w:eastAsia="仿宋_GB2312" w:cs="仿宋_GB2312"/>
                <w:b/>
                <w:bCs/>
                <w:i w:val="0"/>
                <w:iCs w:val="0"/>
                <w:caps w:val="0"/>
                <w:color w:val="333333"/>
                <w:spacing w:val="0"/>
                <w:sz w:val="18"/>
                <w:szCs w:val="18"/>
              </w:rPr>
            </w:pPr>
            <w:r>
              <w:rPr>
                <w:rStyle w:val="8"/>
                <w:rFonts w:hint="eastAsia" w:ascii="仿宋_GB2312" w:hAnsi="仿宋_GB2312" w:eastAsia="仿宋_GB2312" w:cs="仿宋_GB2312"/>
                <w:b/>
                <w:bCs/>
                <w:sz w:val="18"/>
                <w:szCs w:val="18"/>
                <w:highlight w:val="none"/>
                <w:lang w:eastAsia="zh-CN" w:bidi="ar"/>
              </w:rPr>
              <w:t>《中华人民共和国旅游法》</w:t>
            </w:r>
            <w:r>
              <w:rPr>
                <w:rStyle w:val="8"/>
                <w:rFonts w:hint="eastAsia" w:ascii="仿宋_GB2312" w:hAnsi="仿宋_GB2312" w:eastAsia="仿宋_GB2312" w:cs="仿宋_GB2312"/>
                <w:b/>
                <w:bCs/>
                <w:sz w:val="18"/>
                <w:szCs w:val="18"/>
                <w:highlight w:val="none"/>
                <w:lang w:bidi="ar"/>
              </w:rPr>
              <w:t>第八十三条</w:t>
            </w:r>
            <w:r>
              <w:rPr>
                <w:rFonts w:hint="eastAsia" w:ascii="仿宋_GB2312" w:hAnsi="仿宋_GB2312" w:eastAsia="仿宋_GB2312" w:cs="仿宋_GB2312"/>
                <w:b/>
                <w:bCs/>
                <w:i w:val="0"/>
                <w:iCs w:val="0"/>
                <w:caps w:val="0"/>
                <w:color w:val="333333"/>
                <w:spacing w:val="0"/>
                <w:sz w:val="18"/>
                <w:szCs w:val="18"/>
                <w:shd w:val="clear" w:fill="FFFFFF"/>
                <w:lang w:val="en-US" w:eastAsia="zh-CN"/>
              </w:rPr>
              <w:t>第二款</w:t>
            </w:r>
            <w:r>
              <w:rPr>
                <w:rFonts w:hint="eastAsia" w:ascii="仿宋_GB2312" w:hAnsi="仿宋_GB2312" w:eastAsia="仿宋_GB2312" w:cs="仿宋_GB2312"/>
                <w:b/>
                <w:bCs/>
                <w:i w:val="0"/>
                <w:iCs w:val="0"/>
                <w:caps w:val="0"/>
                <w:color w:val="333333"/>
                <w:spacing w:val="0"/>
                <w:sz w:val="18"/>
                <w:szCs w:val="18"/>
                <w:shd w:val="clear" w:fill="FFFFFF"/>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right="0"/>
              <w:textAlignment w:val="auto"/>
              <w:rPr>
                <w:rStyle w:val="8"/>
                <w:rFonts w:hint="eastAsia" w:ascii="Times New Roman" w:hAnsi="Times New Roman" w:eastAsia="方正仿宋简体" w:cs="Times New Roman"/>
                <w:sz w:val="21"/>
                <w:szCs w:val="21"/>
                <w:highlight w:val="none"/>
                <w:lang w:eastAsia="zh-CN" w:bidi="ar"/>
              </w:rPr>
            </w:pPr>
            <w:r>
              <w:rPr>
                <w:rFonts w:hint="eastAsia" w:ascii="仿宋_GB2312" w:hAnsi="仿宋_GB2312" w:eastAsia="仿宋_GB2312" w:cs="仿宋_GB2312"/>
                <w:i w:val="0"/>
                <w:iCs w:val="0"/>
                <w:caps w:val="0"/>
                <w:color w:val="333333"/>
                <w:spacing w:val="0"/>
                <w:sz w:val="18"/>
                <w:szCs w:val="18"/>
                <w:shd w:val="clear" w:fill="FFFFFF"/>
              </w:rPr>
              <w:t>县级以上人民政府应当组织旅游主管部门、有关主管部门和市场监督管理、交通等执法部门对相关旅游经营行为实施监督检查。</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Style w:val="8"/>
                <w:rFonts w:hint="eastAsia" w:ascii="仿宋_GB2312" w:hAnsi="仿宋_GB2312" w:eastAsia="仿宋_GB2312" w:cs="仿宋_GB2312"/>
                <w:b/>
                <w:bCs/>
                <w:sz w:val="18"/>
                <w:szCs w:val="18"/>
                <w:highlight w:val="none"/>
                <w:lang w:eastAsia="zh-CN" w:bidi="ar"/>
              </w:rPr>
            </w:pPr>
            <w:r>
              <w:rPr>
                <w:rFonts w:hint="eastAsia" w:ascii="仿宋_GB2312" w:hAnsi="仿宋_GB2312" w:eastAsia="仿宋_GB2312" w:cs="仿宋_GB2312"/>
                <w:b/>
                <w:bCs/>
                <w:sz w:val="18"/>
                <w:szCs w:val="18"/>
                <w:lang w:eastAsia="zh-CN"/>
              </w:rPr>
              <w:t>《</w:t>
            </w:r>
            <w:r>
              <w:rPr>
                <w:rStyle w:val="8"/>
                <w:rFonts w:hint="eastAsia" w:ascii="仿宋_GB2312" w:hAnsi="仿宋_GB2312" w:eastAsia="仿宋_GB2312" w:cs="仿宋_GB2312"/>
                <w:b/>
                <w:bCs/>
                <w:sz w:val="18"/>
                <w:szCs w:val="18"/>
                <w:highlight w:val="none"/>
                <w:lang w:eastAsia="zh-CN" w:bidi="ar"/>
              </w:rPr>
              <w:t>旅行社条例》</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imes New Roman" w:hAnsi="Times New Roman" w:eastAsia="仿宋_GB2312" w:cs="Times New Roman"/>
                <w:sz w:val="28"/>
                <w:szCs w:val="28"/>
                <w:vertAlign w:val="baseline"/>
                <w:lang w:val="en-US" w:eastAsia="zh-CN"/>
              </w:rPr>
            </w:pPr>
            <w:r>
              <w:rPr>
                <w:rStyle w:val="8"/>
                <w:rFonts w:hint="eastAsia" w:ascii="仿宋_GB2312" w:hAnsi="仿宋_GB2312" w:eastAsia="仿宋_GB2312" w:cs="仿宋_GB2312"/>
                <w:b/>
                <w:bCs/>
                <w:sz w:val="18"/>
                <w:szCs w:val="18"/>
                <w:highlight w:val="none"/>
                <w:lang w:bidi="ar"/>
              </w:rPr>
              <w:t>第三条</w:t>
            </w:r>
            <w:r>
              <w:rPr>
                <w:rStyle w:val="8"/>
                <w:rFonts w:hint="eastAsia" w:ascii="仿宋_GB2312" w:hAnsi="仿宋_GB2312" w:eastAsia="仿宋_GB2312" w:cs="仿宋_GB2312"/>
                <w:b/>
                <w:bCs/>
                <w:sz w:val="18"/>
                <w:szCs w:val="18"/>
                <w:highlight w:val="none"/>
                <w:lang w:val="en-US" w:eastAsia="zh-CN" w:bidi="ar"/>
              </w:rPr>
              <w:t xml:space="preserve">第三款  </w:t>
            </w:r>
            <w:r>
              <w:rPr>
                <w:rFonts w:hint="eastAsia" w:ascii="仿宋_GB2312" w:hAnsi="仿宋_GB2312" w:eastAsia="仿宋_GB2312" w:cs="仿宋_GB2312"/>
                <w:b w:val="0"/>
                <w:bCs w:val="0"/>
                <w:color w:val="000000"/>
                <w:sz w:val="18"/>
                <w:szCs w:val="18"/>
                <w:lang w:val="zh-CN"/>
              </w:rPr>
              <w:t>县级以上各级人民政府工商、价格、商务、外汇等有关部门，应当按照职责分工，依法对旅行社进行监督管理。</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19</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对二手车流通的监督检查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《二手车流通管理办法》</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color w:val="000000"/>
                <w:sz w:val="18"/>
                <w:szCs w:val="18"/>
                <w:lang w:val="zh-CN"/>
              </w:rPr>
              <w:t>第三十五条</w:t>
            </w:r>
            <w:r>
              <w:rPr>
                <w:rFonts w:hint="eastAsia" w:ascii="仿宋_GB2312" w:hAnsi="仿宋_GB2312" w:eastAsia="仿宋_GB2312" w:cs="仿宋_GB2312"/>
                <w:color w:val="000000"/>
                <w:sz w:val="18"/>
                <w:szCs w:val="18"/>
                <w:lang w:val="zh-CN"/>
              </w:rPr>
              <w:t xml:space="preserve"> 商务主管部门、工商行政管理部门应当在各自的职责范围内采取有效措施,加强对二手车交易市场经营者和经营主体的监督管理,依法查处违法违规行为,维护市场秩序,保护消费者的合法权益。 </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20</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对直销企业和直销员及其直销活动进行检查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《直销管理条例》</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仿宋_GB2312" w:hAnsi="仿宋_GB2312" w:eastAsia="仿宋_GB2312" w:cs="仿宋_GB2312"/>
                <w:color w:val="000000"/>
                <w:sz w:val="18"/>
                <w:szCs w:val="18"/>
                <w:lang w:val="zh-CN"/>
              </w:rPr>
            </w:pPr>
            <w:r>
              <w:rPr>
                <w:rStyle w:val="8"/>
                <w:rFonts w:hint="eastAsia" w:ascii="仿宋_GB2312" w:hAnsi="仿宋_GB2312" w:eastAsia="仿宋_GB2312" w:cs="仿宋_GB2312"/>
                <w:b/>
                <w:bCs/>
                <w:sz w:val="18"/>
                <w:szCs w:val="18"/>
                <w:highlight w:val="none"/>
                <w:lang w:bidi="ar"/>
              </w:rPr>
              <w:t>第三十五条</w:t>
            </w:r>
            <w:r>
              <w:rPr>
                <w:rStyle w:val="8"/>
                <w:rFonts w:hint="eastAsia" w:ascii="仿宋_GB2312" w:hAnsi="仿宋_GB2312" w:eastAsia="仿宋_GB2312" w:cs="仿宋_GB2312"/>
                <w:b/>
                <w:bCs/>
                <w:sz w:val="18"/>
                <w:szCs w:val="18"/>
                <w:highlight w:val="none"/>
                <w:lang w:val="en-US" w:eastAsia="zh-CN" w:bidi="ar"/>
              </w:rPr>
              <w:t xml:space="preserve">第一款第一项  </w:t>
            </w:r>
            <w:r>
              <w:rPr>
                <w:rFonts w:hint="eastAsia" w:ascii="仿宋_GB2312" w:hAnsi="仿宋_GB2312" w:eastAsia="仿宋_GB2312" w:cs="仿宋_GB2312"/>
                <w:color w:val="000000"/>
                <w:sz w:val="18"/>
                <w:szCs w:val="18"/>
                <w:lang w:val="zh-CN"/>
              </w:rPr>
              <w:t>工商行政管理部门负责对直销企业和直销员及其直销活动实施日常的监督管理。工商行政管理部门可以采取下列措施进行现场检查：</w:t>
            </w:r>
          </w:p>
          <w:p>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（一）进入相关企业进行检查；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21</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对产品质量进行监督</w:t>
            </w:r>
            <w:r>
              <w:rPr>
                <w:rStyle w:val="8"/>
                <w:rFonts w:hint="eastAsia" w:ascii="仿宋_GB2312" w:hAnsi="仿宋_GB2312" w:eastAsia="仿宋_GB2312" w:cs="仿宋_GB2312"/>
                <w:sz w:val="18"/>
                <w:szCs w:val="18"/>
                <w:highlight w:val="none"/>
                <w:lang w:val="en-US" w:eastAsia="zh-CN" w:bidi="ar"/>
              </w:rPr>
              <w:t>检查</w:t>
            </w:r>
            <w:r>
              <w:rPr>
                <w:rStyle w:val="8"/>
                <w:rFonts w:hint="eastAsia" w:ascii="仿宋_GB2312" w:hAnsi="仿宋_GB2312" w:eastAsia="仿宋_GB2312" w:cs="仿宋_GB2312"/>
                <w:sz w:val="18"/>
                <w:szCs w:val="18"/>
                <w:highlight w:val="none"/>
                <w:lang w:bidi="ar"/>
              </w:rPr>
              <w:t>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both"/>
              <w:textAlignment w:val="center"/>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《中华人民共和国产品质量法》</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both"/>
              <w:textAlignment w:val="center"/>
              <w:rPr>
                <w:rFonts w:hint="eastAsia" w:ascii="仿宋_GB2312" w:hAnsi="仿宋_GB2312" w:eastAsia="仿宋_GB2312" w:cs="仿宋_GB2312"/>
                <w:sz w:val="18"/>
                <w:szCs w:val="18"/>
                <w:lang w:eastAsia="zh-CN"/>
              </w:rPr>
            </w:pPr>
            <w:r>
              <w:rPr>
                <w:rStyle w:val="8"/>
                <w:rFonts w:hint="eastAsia" w:ascii="仿宋_GB2312" w:hAnsi="仿宋_GB2312" w:eastAsia="仿宋_GB2312" w:cs="仿宋_GB2312"/>
                <w:b/>
                <w:bCs/>
                <w:sz w:val="18"/>
                <w:szCs w:val="18"/>
                <w:highlight w:val="none"/>
                <w:lang w:bidi="ar"/>
              </w:rPr>
              <w:t>第十五条</w:t>
            </w:r>
            <w:r>
              <w:rPr>
                <w:rStyle w:val="8"/>
                <w:rFonts w:hint="eastAsia" w:ascii="仿宋_GB2312" w:hAnsi="仿宋_GB2312" w:eastAsia="仿宋_GB2312" w:cs="仿宋_GB2312"/>
                <w:b/>
                <w:bCs/>
                <w:sz w:val="18"/>
                <w:szCs w:val="18"/>
                <w:highlight w:val="none"/>
                <w:lang w:val="en-US" w:eastAsia="zh-CN" w:bidi="ar"/>
              </w:rPr>
              <w:t xml:space="preserve">第一款  </w:t>
            </w:r>
            <w:r>
              <w:rPr>
                <w:rFonts w:hint="eastAsia" w:ascii="仿宋_GB2312" w:hAnsi="仿宋_GB2312" w:eastAsia="仿宋_GB2312" w:cs="仿宋_GB2312"/>
                <w:color w:val="000000"/>
                <w:sz w:val="18"/>
                <w:szCs w:val="18"/>
                <w:lang w:val="zh-CN"/>
              </w:rPr>
              <w:t>国家对产品质量实行以抽查为主要方式的监督检查制度，对可能危及人体健康和人身、财产安全的产品，影响国计民生的重要工业产品以及消费者、有关组织反映有质量问题的产品进行抽查。抽查的样品应当在市场上或者企业成品仓库内的待销产品中随机抽取。监督抽查工作由国务院市场监督管理部门规划和组织。县级以上地方市场监督管理部门在本行政区域内也可以组织监督抽查。法律对产品质量的监督检查另有规定的，依照有关法律的规定执行。</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第十八条</w:t>
            </w:r>
            <w:r>
              <w:rPr>
                <w:rFonts w:hint="eastAsia" w:ascii="仿宋_GB2312" w:hAnsi="仿宋_GB2312" w:eastAsia="仿宋_GB2312" w:cs="仿宋_GB2312"/>
                <w:b/>
                <w:bCs/>
                <w:color w:val="000000"/>
                <w:sz w:val="18"/>
                <w:szCs w:val="18"/>
                <w:lang w:val="en-US" w:eastAsia="zh-CN"/>
              </w:rPr>
              <w:t>第一项</w:t>
            </w:r>
            <w:r>
              <w:rPr>
                <w:rFonts w:hint="eastAsia" w:ascii="仿宋_GB2312" w:hAnsi="仿宋_GB2312" w:eastAsia="仿宋_GB2312" w:cs="仿宋_GB2312"/>
                <w:color w:val="000000"/>
                <w:sz w:val="18"/>
                <w:szCs w:val="18"/>
                <w:lang w:val="zh-CN"/>
              </w:rPr>
              <w:t>　县级以上市场监督管理部门根据已经取得的违法嫌疑证据或者举报，对涉嫌违反本法规定的行为进行查处时，可以行使下列职权：</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(一)对当事人涉嫌从事违反本法的生产、销售活动的场所实施现场检查；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22</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对工业产品生产许可获证企业（含食品相关产品）开展监督检查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spacing w:beforeLines="0" w:after="20" w:afterLines="0"/>
              <w:jc w:val="left"/>
              <w:rPr>
                <w:rFonts w:hint="eastAsia" w:ascii="仿宋_GB2312" w:hAnsi="仿宋_GB2312" w:eastAsia="仿宋_GB2312" w:cs="仿宋_GB2312"/>
                <w:b/>
                <w:bCs/>
                <w:color w:val="000000"/>
                <w:sz w:val="18"/>
                <w:szCs w:val="18"/>
                <w:lang w:val="zh-CN"/>
              </w:rPr>
            </w:pPr>
            <w:r>
              <w:rPr>
                <w:rFonts w:hint="eastAsia" w:ascii="仿宋_GB2312" w:hAnsi="仿宋_GB2312" w:eastAsia="仿宋_GB2312" w:cs="仿宋_GB2312"/>
                <w:b/>
                <w:bCs/>
                <w:color w:val="000000"/>
                <w:sz w:val="18"/>
                <w:szCs w:val="18"/>
                <w:lang w:val="zh-CN"/>
              </w:rPr>
              <w:t>《工业产品生产许可证管理条例》</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第三十七条</w:t>
            </w:r>
            <w:r>
              <w:rPr>
                <w:rFonts w:hint="eastAsia" w:ascii="仿宋_GB2312" w:hAnsi="仿宋_GB2312" w:eastAsia="仿宋_GB2312" w:cs="仿宋_GB2312"/>
                <w:b/>
                <w:bCs/>
                <w:color w:val="000000"/>
                <w:sz w:val="18"/>
                <w:szCs w:val="18"/>
                <w:lang w:val="en-US" w:eastAsia="zh-CN"/>
              </w:rPr>
              <w:t>第一项</w:t>
            </w:r>
            <w:r>
              <w:rPr>
                <w:rFonts w:hint="eastAsia" w:ascii="仿宋_GB2312" w:hAnsi="仿宋_GB2312" w:eastAsia="仿宋_GB2312" w:cs="仿宋_GB2312"/>
                <w:color w:val="000000"/>
                <w:sz w:val="18"/>
                <w:szCs w:val="18"/>
                <w:lang w:val="zh-CN"/>
              </w:rPr>
              <w:t>　县级以上工业产品生产许可证主管部门根据已经取得的违法嫌疑证据或者举报，对涉嫌违反本条例的行为进行查处并可以行使下列职权：</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color w:val="000000"/>
                <w:sz w:val="18"/>
                <w:szCs w:val="18"/>
                <w:lang w:val="zh-CN"/>
              </w:rPr>
              <w:t>（一）向有关生产、销售或者在经营活动中使用列入目录产品的单位和检验机构的法定代表人、主要负责人和其他有关人员调查、了解有关涉嫌从事违反本条例活动的情况；</w:t>
            </w:r>
          </w:p>
          <w:p>
            <w:pPr>
              <w:spacing w:beforeLines="0" w:after="20" w:afterLines="0"/>
              <w:jc w:val="left"/>
              <w:rPr>
                <w:rFonts w:hint="eastAsia" w:ascii="仿宋_GB2312" w:hAnsi="仿宋_GB2312" w:eastAsia="仿宋_GB2312" w:cs="仿宋_GB2312"/>
                <w:b/>
                <w:bCs/>
                <w:color w:val="000000"/>
                <w:sz w:val="18"/>
                <w:szCs w:val="18"/>
                <w:lang w:val="zh-CN"/>
              </w:rPr>
            </w:pPr>
            <w:r>
              <w:rPr>
                <w:rFonts w:hint="eastAsia" w:ascii="仿宋_GB2312" w:hAnsi="仿宋_GB2312" w:eastAsia="仿宋_GB2312" w:cs="仿宋_GB2312"/>
                <w:b/>
                <w:bCs/>
                <w:color w:val="000000"/>
                <w:sz w:val="18"/>
                <w:szCs w:val="18"/>
                <w:lang w:val="zh-CN"/>
              </w:rPr>
              <w:t>《食品相关产品质量安全监督管理暂行办法》</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第二十五条</w:t>
            </w:r>
            <w:r>
              <w:rPr>
                <w:rFonts w:hint="eastAsia" w:ascii="仿宋_GB2312" w:hAnsi="仿宋_GB2312" w:eastAsia="仿宋_GB2312" w:cs="仿宋_GB2312"/>
                <w:color w:val="000000"/>
                <w:sz w:val="18"/>
                <w:szCs w:val="18"/>
                <w:lang w:val="zh-CN"/>
              </w:rPr>
              <w:t xml:space="preserve"> </w:t>
            </w:r>
            <w:r>
              <w:rPr>
                <w:rFonts w:hint="eastAsia" w:ascii="仿宋_GB2312" w:hAnsi="仿宋_GB2312" w:eastAsia="仿宋_GB2312" w:cs="仿宋_GB2312"/>
                <w:color w:val="000000"/>
                <w:sz w:val="18"/>
                <w:szCs w:val="18"/>
                <w:lang w:val="en-US" w:eastAsia="zh-CN"/>
              </w:rPr>
              <w:t xml:space="preserve"> </w:t>
            </w:r>
            <w:r>
              <w:rPr>
                <w:rFonts w:hint="eastAsia" w:ascii="仿宋_GB2312" w:hAnsi="仿宋_GB2312" w:eastAsia="仿宋_GB2312" w:cs="仿宋_GB2312"/>
                <w:color w:val="000000"/>
                <w:sz w:val="18"/>
                <w:szCs w:val="18"/>
                <w:lang w:val="zh-CN"/>
              </w:rPr>
              <w:t>县级以上地方市场监督管理部门对食品相关产品生产者、销售者进行监督检查时，有权采取下列措施：</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（一）进入生产、销售场所实施现场检查；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23</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对计量器具及相关计量活动进行监督检查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spacing w:beforeLines="0" w:after="20" w:afterLines="0"/>
              <w:jc w:val="left"/>
              <w:rPr>
                <w:rFonts w:hint="eastAsia" w:ascii="仿宋_GB2312" w:hAnsi="仿宋_GB2312" w:eastAsia="仿宋_GB2312" w:cs="仿宋_GB2312"/>
                <w:b/>
                <w:bCs/>
                <w:color w:val="000000"/>
                <w:sz w:val="18"/>
                <w:szCs w:val="18"/>
                <w:lang w:val="zh-CN"/>
              </w:rPr>
            </w:pPr>
            <w:r>
              <w:rPr>
                <w:rFonts w:hint="eastAsia" w:ascii="仿宋_GB2312" w:hAnsi="仿宋_GB2312" w:eastAsia="仿宋_GB2312" w:cs="仿宋_GB2312"/>
                <w:b/>
                <w:bCs/>
                <w:color w:val="000000"/>
                <w:sz w:val="18"/>
                <w:szCs w:val="18"/>
                <w:lang w:val="zh-CN"/>
              </w:rPr>
              <w:t>《中华人民共和国计量法》</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 xml:space="preserve">第十八条 </w:t>
            </w:r>
            <w:r>
              <w:rPr>
                <w:rFonts w:hint="eastAsia" w:ascii="仿宋_GB2312" w:hAnsi="仿宋_GB2312" w:eastAsia="仿宋_GB2312" w:cs="仿宋_GB2312"/>
                <w:color w:val="000000"/>
                <w:sz w:val="18"/>
                <w:szCs w:val="18"/>
                <w:lang w:val="zh-CN"/>
              </w:rPr>
              <w:t xml:space="preserve"> 县级以上人民政府计量行政部门应当依法对制造、修理、销售、进口和使用计量器具，以及计量检定等相关计量活动进行监督检查。有关单位和个人不得拒绝、阻挠。</w:t>
            </w:r>
          </w:p>
          <w:p>
            <w:pPr>
              <w:spacing w:beforeLines="0" w:after="20" w:afterLines="0"/>
              <w:jc w:val="left"/>
              <w:rPr>
                <w:rFonts w:hint="default" w:ascii="Times New Roman" w:hAnsi="Times New Roman" w:eastAsia="仿宋_GB2312" w:cs="Times New Roman"/>
                <w:sz w:val="28"/>
                <w:szCs w:val="28"/>
                <w:vertAlign w:val="baseline"/>
                <w:lang w:val="en-US" w:eastAsia="zh-CN"/>
              </w:rPr>
            </w:pP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24</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对认证活动实施监督检查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spacing w:beforeLines="0" w:after="20" w:afterLines="0"/>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b/>
                <w:bCs/>
                <w:sz w:val="18"/>
                <w:szCs w:val="18"/>
                <w:highlight w:val="none"/>
                <w:lang w:eastAsia="zh-CN" w:bidi="ar"/>
              </w:rPr>
              <w:t>《中华人民共和国认证认可条例》</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color w:val="000000"/>
                <w:sz w:val="18"/>
                <w:szCs w:val="18"/>
                <w:lang w:val="zh-CN"/>
              </w:rPr>
              <w:t>第五十四条</w:t>
            </w:r>
            <w:r>
              <w:rPr>
                <w:rFonts w:hint="eastAsia" w:ascii="仿宋_GB2312" w:hAnsi="仿宋_GB2312" w:eastAsia="仿宋_GB2312" w:cs="仿宋_GB2312"/>
                <w:b/>
                <w:bCs/>
                <w:color w:val="000000"/>
                <w:sz w:val="18"/>
                <w:szCs w:val="18"/>
                <w:lang w:val="en-US" w:eastAsia="zh-CN"/>
              </w:rPr>
              <w:t>第一款</w:t>
            </w:r>
            <w:r>
              <w:rPr>
                <w:rFonts w:hint="eastAsia" w:ascii="仿宋_GB2312" w:hAnsi="仿宋_GB2312" w:eastAsia="仿宋_GB2312" w:cs="仿宋_GB2312"/>
                <w:color w:val="000000"/>
                <w:sz w:val="18"/>
                <w:szCs w:val="18"/>
                <w:lang w:val="zh-CN"/>
              </w:rPr>
              <w:t>　县级以上地方人民政府市场监督管理部门在国务院认证认可监督管理部门的授权范围内，依照本条例的规定对认证活动实施监督管理。</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25</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对特种设备安全实施监督检查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spacing w:beforeLines="0" w:after="20" w:afterLines="0"/>
              <w:jc w:val="left"/>
              <w:rPr>
                <w:rStyle w:val="8"/>
                <w:rFonts w:hint="eastAsia" w:ascii="仿宋_GB2312" w:hAnsi="仿宋_GB2312" w:eastAsia="仿宋_GB2312" w:cs="仿宋_GB2312"/>
                <w:b/>
                <w:bCs/>
                <w:sz w:val="18"/>
                <w:szCs w:val="18"/>
                <w:highlight w:val="none"/>
                <w:lang w:eastAsia="zh-CN" w:bidi="ar"/>
              </w:rPr>
            </w:pPr>
            <w:r>
              <w:rPr>
                <w:rStyle w:val="8"/>
                <w:rFonts w:hint="eastAsia" w:ascii="仿宋_GB2312" w:hAnsi="仿宋_GB2312" w:eastAsia="仿宋_GB2312" w:cs="仿宋_GB2312"/>
                <w:sz w:val="18"/>
                <w:szCs w:val="18"/>
                <w:highlight w:val="none"/>
                <w:lang w:eastAsia="zh-CN" w:bidi="ar"/>
              </w:rPr>
              <w:t>《</w:t>
            </w:r>
            <w:r>
              <w:rPr>
                <w:rStyle w:val="8"/>
                <w:rFonts w:hint="eastAsia" w:ascii="仿宋_GB2312" w:hAnsi="仿宋_GB2312" w:eastAsia="仿宋_GB2312" w:cs="仿宋_GB2312"/>
                <w:b/>
                <w:bCs/>
                <w:sz w:val="18"/>
                <w:szCs w:val="18"/>
                <w:highlight w:val="none"/>
                <w:lang w:eastAsia="zh-CN" w:bidi="ar"/>
              </w:rPr>
              <w:t>中华人民共和国特种设备安全法》</w:t>
            </w:r>
          </w:p>
          <w:p>
            <w:pPr>
              <w:spacing w:beforeLines="0" w:after="20" w:afterLines="0"/>
              <w:jc w:val="left"/>
              <w:rPr>
                <w:rFonts w:hint="eastAsia" w:ascii="仿宋_GB2312" w:hAnsi="仿宋_GB2312" w:eastAsia="仿宋_GB2312" w:cs="仿宋_GB2312"/>
                <w:color w:val="000000"/>
                <w:sz w:val="18"/>
                <w:szCs w:val="18"/>
                <w:lang w:val="zh-CN"/>
              </w:rPr>
            </w:pPr>
            <w:r>
              <w:rPr>
                <w:rStyle w:val="8"/>
                <w:rFonts w:hint="eastAsia" w:ascii="仿宋_GB2312" w:hAnsi="仿宋_GB2312" w:eastAsia="仿宋_GB2312" w:cs="仿宋_GB2312"/>
                <w:b/>
                <w:bCs/>
                <w:sz w:val="18"/>
                <w:szCs w:val="18"/>
                <w:highlight w:val="none"/>
                <w:lang w:bidi="ar"/>
              </w:rPr>
              <w:t>第六十一条</w:t>
            </w:r>
            <w:r>
              <w:rPr>
                <w:rStyle w:val="8"/>
                <w:rFonts w:hint="eastAsia" w:ascii="仿宋_GB2312" w:hAnsi="仿宋_GB2312" w:eastAsia="仿宋_GB2312" w:cs="仿宋_GB2312"/>
                <w:b/>
                <w:bCs/>
                <w:sz w:val="18"/>
                <w:szCs w:val="18"/>
                <w:highlight w:val="none"/>
                <w:lang w:val="en-US" w:eastAsia="zh-CN" w:bidi="ar"/>
              </w:rPr>
              <w:t>第一项</w:t>
            </w:r>
            <w:r>
              <w:rPr>
                <w:rFonts w:hint="eastAsia" w:ascii="仿宋_GB2312" w:hAnsi="仿宋_GB2312" w:eastAsia="仿宋_GB2312" w:cs="仿宋_GB2312"/>
                <w:color w:val="000000"/>
                <w:sz w:val="18"/>
                <w:szCs w:val="18"/>
                <w:lang w:val="zh-CN"/>
              </w:rPr>
              <w:t xml:space="preserve"> 负责特种设备安全监督管理的部门在依法履行监督检查职责时，可以行使下列职权：</w:t>
            </w:r>
          </w:p>
          <w:p>
            <w:pPr>
              <w:spacing w:beforeLines="0" w:after="20" w:afterLines="0"/>
              <w:jc w:val="left"/>
              <w:rPr>
                <w:rFonts w:hint="eastAsia" w:ascii="仿宋_GB2312" w:hAnsi="仿宋_GB2312" w:eastAsia="仿宋_GB2312" w:cs="仿宋_GB2312"/>
                <w:color w:val="000000"/>
                <w:sz w:val="18"/>
                <w:szCs w:val="18"/>
                <w:lang w:val="zh-CN"/>
              </w:rPr>
            </w:pP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（一）进入现场进行检查，向特种设备生产、经营、使用单位和检验、检测机构的主要负责人和其他有关人员调查、了解有关情况；</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26</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对商品条码实施监督检查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spacing w:beforeLines="0" w:after="20" w:afterLines="0"/>
              <w:jc w:val="left"/>
              <w:rPr>
                <w:rStyle w:val="8"/>
                <w:rFonts w:hint="eastAsia" w:ascii="仿宋_GB2312" w:hAnsi="仿宋_GB2312" w:eastAsia="仿宋_GB2312" w:cs="仿宋_GB2312"/>
                <w:b/>
                <w:bCs/>
                <w:sz w:val="18"/>
                <w:szCs w:val="18"/>
                <w:highlight w:val="none"/>
                <w:lang w:bidi="ar"/>
              </w:rPr>
            </w:pPr>
            <w:r>
              <w:rPr>
                <w:rStyle w:val="8"/>
                <w:rFonts w:hint="eastAsia" w:ascii="仿宋_GB2312" w:hAnsi="仿宋_GB2312" w:eastAsia="仿宋_GB2312" w:cs="仿宋_GB2312"/>
                <w:b/>
                <w:bCs/>
                <w:sz w:val="18"/>
                <w:szCs w:val="18"/>
                <w:highlight w:val="none"/>
                <w:lang w:bidi="ar"/>
              </w:rPr>
              <w:t>《商品条码管理办法》</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color w:val="000000"/>
                <w:sz w:val="18"/>
                <w:szCs w:val="18"/>
                <w:lang w:val="zh-CN"/>
              </w:rPr>
              <w:t>第二十六条</w:t>
            </w:r>
            <w:r>
              <w:rPr>
                <w:rFonts w:hint="eastAsia" w:ascii="仿宋_GB2312" w:hAnsi="仿宋_GB2312" w:eastAsia="仿宋_GB2312" w:cs="仿宋_GB2312"/>
                <w:color w:val="000000"/>
                <w:sz w:val="18"/>
                <w:szCs w:val="18"/>
                <w:lang w:val="zh-CN"/>
              </w:rPr>
              <w:t xml:space="preserve"> 国家质检总局、国家标准委负责组织全国商品条码的监督检查工作，各级地方质量技术监督行政部门负责本行政区域内商品条码的监督检查工作。</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27</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对标准的制定和实施进行监督检查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spacing w:beforeLines="0" w:after="20" w:afterLines="0"/>
              <w:jc w:val="left"/>
              <w:rPr>
                <w:rFonts w:hint="eastAsia" w:ascii="仿宋_GB2312" w:hAnsi="仿宋_GB2312" w:eastAsia="仿宋_GB2312" w:cs="仿宋_GB2312"/>
                <w:b/>
                <w:bCs/>
                <w:color w:val="000000"/>
                <w:sz w:val="18"/>
                <w:szCs w:val="18"/>
                <w:lang w:val="zh-CN"/>
              </w:rPr>
            </w:pPr>
            <w:r>
              <w:rPr>
                <w:rFonts w:hint="eastAsia" w:ascii="仿宋_GB2312" w:hAnsi="仿宋_GB2312" w:eastAsia="仿宋_GB2312" w:cs="仿宋_GB2312"/>
                <w:b/>
                <w:bCs/>
                <w:color w:val="000000"/>
                <w:sz w:val="18"/>
                <w:szCs w:val="18"/>
                <w:lang w:val="zh-CN"/>
              </w:rPr>
              <w:t>《中华人民共和国标准化法》</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color w:val="000000"/>
                <w:sz w:val="18"/>
                <w:szCs w:val="18"/>
                <w:lang w:val="zh-CN"/>
              </w:rPr>
              <w:t>第三十二条</w:t>
            </w:r>
            <w:r>
              <w:rPr>
                <w:rFonts w:hint="eastAsia" w:ascii="仿宋_GB2312" w:hAnsi="仿宋_GB2312" w:eastAsia="仿宋_GB2312" w:cs="仿宋_GB2312"/>
                <w:color w:val="000000"/>
                <w:sz w:val="18"/>
                <w:szCs w:val="18"/>
                <w:lang w:val="zh-CN"/>
              </w:rPr>
              <w:t>　县级以上人民政府标准化行政主管部门、有关行政主管部门依据法定职责,对标准的制定进行指导和监督，对标准的实施进行监督检查。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28</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对能效标识的使用实施监督检查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spacing w:beforeLines="0" w:after="20" w:afterLines="0"/>
              <w:jc w:val="left"/>
              <w:rPr>
                <w:rFonts w:hint="eastAsia" w:ascii="仿宋_GB2312" w:hAnsi="仿宋_GB2312" w:eastAsia="仿宋_GB2312" w:cs="仿宋_GB2312"/>
                <w:b/>
                <w:bCs/>
                <w:color w:val="000000"/>
                <w:sz w:val="18"/>
                <w:szCs w:val="18"/>
                <w:lang w:val="zh-CN"/>
              </w:rPr>
            </w:pPr>
            <w:r>
              <w:rPr>
                <w:rFonts w:hint="eastAsia" w:ascii="仿宋_GB2312" w:hAnsi="仿宋_GB2312" w:eastAsia="仿宋_GB2312" w:cs="仿宋_GB2312"/>
                <w:b/>
                <w:bCs/>
                <w:color w:val="000000"/>
                <w:sz w:val="18"/>
                <w:szCs w:val="18"/>
                <w:lang w:val="zh-CN"/>
              </w:rPr>
              <w:t>《能源效率标识管理办法》</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color w:val="000000"/>
                <w:sz w:val="18"/>
                <w:szCs w:val="18"/>
                <w:lang w:val="zh-CN"/>
              </w:rPr>
              <w:t>第十八条</w:t>
            </w:r>
            <w:r>
              <w:rPr>
                <w:rFonts w:hint="eastAsia" w:ascii="仿宋_GB2312" w:hAnsi="仿宋_GB2312" w:eastAsia="仿宋_GB2312" w:cs="仿宋_GB2312"/>
                <w:b/>
                <w:bCs/>
                <w:color w:val="000000"/>
                <w:sz w:val="18"/>
                <w:szCs w:val="18"/>
                <w:lang w:val="en-US" w:eastAsia="zh-CN"/>
              </w:rPr>
              <w:t xml:space="preserve">第二款  </w:t>
            </w:r>
            <w:r>
              <w:rPr>
                <w:rFonts w:hint="eastAsia" w:ascii="仿宋_GB2312" w:hAnsi="仿宋_GB2312" w:eastAsia="仿宋_GB2312" w:cs="仿宋_GB2312"/>
                <w:color w:val="000000"/>
                <w:sz w:val="18"/>
                <w:szCs w:val="18"/>
                <w:lang w:val="zh-CN"/>
              </w:rPr>
              <w:t>地方质检部门负责对所辖区域内能效标识的使用实施监督检查、专项检查和验证管理，发现有违反本办法规定行为的，通报同级节能主管部门，并通知授权机构。</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29</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对食品进行定期或不定期的抽样检验</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spacing w:beforeLines="0" w:after="20" w:afterLines="0"/>
              <w:jc w:val="left"/>
              <w:rPr>
                <w:rFonts w:hint="eastAsia" w:ascii="仿宋_GB2312" w:hAnsi="仿宋_GB2312" w:eastAsia="仿宋_GB2312" w:cs="仿宋_GB2312"/>
                <w:b/>
                <w:bCs/>
                <w:color w:val="000000"/>
                <w:sz w:val="18"/>
                <w:szCs w:val="18"/>
                <w:lang w:val="zh-CN"/>
              </w:rPr>
            </w:pPr>
            <w:r>
              <w:rPr>
                <w:rFonts w:hint="eastAsia" w:ascii="仿宋_GB2312" w:hAnsi="仿宋_GB2312" w:eastAsia="仿宋_GB2312" w:cs="仿宋_GB2312"/>
                <w:b/>
                <w:bCs/>
                <w:color w:val="000000"/>
                <w:sz w:val="18"/>
                <w:szCs w:val="18"/>
                <w:lang w:val="zh-CN"/>
              </w:rPr>
              <w:t>《中华人民共和国食品安全法》</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第八十七条</w:t>
            </w:r>
            <w:r>
              <w:rPr>
                <w:rFonts w:hint="eastAsia" w:ascii="仿宋_GB2312" w:hAnsi="仿宋_GB2312" w:eastAsia="仿宋_GB2312" w:cs="仿宋_GB2312"/>
                <w:color w:val="000000"/>
                <w:sz w:val="18"/>
                <w:szCs w:val="18"/>
                <w:lang w:val="zh-CN"/>
              </w:rPr>
              <w:t>　县级以上人民政府食品安全监督管理部门应当对食品进行定期或者不定期的抽样检验，并依据有关规定公布检验结果，不得免检。进行抽样检验，应当购买抽取的样品，委托符合本法规定的食品检验机构进行检验，并支付相关费用；不得向食品生产经营者收取检验费和其他费用。</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第一百一十条</w:t>
            </w:r>
            <w:r>
              <w:rPr>
                <w:rFonts w:hint="eastAsia" w:ascii="仿宋_GB2312" w:hAnsi="仿宋_GB2312" w:eastAsia="仿宋_GB2312" w:cs="仿宋_GB2312"/>
                <w:b/>
                <w:bCs/>
                <w:color w:val="000000"/>
                <w:sz w:val="18"/>
                <w:szCs w:val="18"/>
                <w:lang w:val="en-US" w:eastAsia="zh-CN"/>
              </w:rPr>
              <w:t>第二项</w:t>
            </w:r>
            <w:r>
              <w:rPr>
                <w:rFonts w:hint="eastAsia" w:ascii="仿宋_GB2312" w:hAnsi="仿宋_GB2312" w:eastAsia="仿宋_GB2312" w:cs="仿宋_GB2312"/>
                <w:color w:val="000000"/>
                <w:sz w:val="18"/>
                <w:szCs w:val="18"/>
                <w:lang w:val="zh-CN"/>
              </w:rPr>
              <w:t>　县级以上人民政府食品安全监督管理部门履行食品安全监督管理职责，有权采取下列措施，对生产经营者遵守本法的情况进行监督检查：</w:t>
            </w:r>
          </w:p>
          <w:p>
            <w:pPr>
              <w:numPr>
                <w:ilvl w:val="0"/>
                <w:numId w:val="1"/>
              </w:num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color w:val="000000"/>
                <w:sz w:val="18"/>
                <w:szCs w:val="18"/>
                <w:lang w:val="zh-CN"/>
              </w:rPr>
              <w:t>对生产经营的食品、食品添加剂、食品相关产品进行抽样检验；</w:t>
            </w:r>
          </w:p>
          <w:p>
            <w:pPr>
              <w:numPr>
                <w:ilvl w:val="0"/>
                <w:numId w:val="0"/>
              </w:numPr>
              <w:spacing w:beforeLines="0" w:after="20" w:afterLines="0"/>
              <w:jc w:val="left"/>
              <w:rPr>
                <w:rFonts w:hint="eastAsia" w:ascii="仿宋_GB2312" w:hAnsi="仿宋_GB2312" w:eastAsia="仿宋_GB2312" w:cs="仿宋_GB2312"/>
                <w:b/>
                <w:bCs/>
                <w:color w:val="000000"/>
                <w:sz w:val="18"/>
                <w:szCs w:val="18"/>
                <w:lang w:val="zh-CN"/>
              </w:rPr>
            </w:pPr>
            <w:r>
              <w:rPr>
                <w:rStyle w:val="8"/>
                <w:rFonts w:hint="eastAsia" w:ascii="仿宋_GB2312" w:hAnsi="仿宋_GB2312" w:eastAsia="仿宋_GB2312" w:cs="仿宋_GB2312"/>
                <w:sz w:val="18"/>
                <w:szCs w:val="18"/>
                <w:highlight w:val="none"/>
                <w:lang w:bidi="ar"/>
              </w:rPr>
              <w:t>《</w:t>
            </w:r>
            <w:r>
              <w:rPr>
                <w:rStyle w:val="8"/>
                <w:rFonts w:hint="eastAsia" w:ascii="仿宋_GB2312" w:hAnsi="仿宋_GB2312" w:eastAsia="仿宋_GB2312" w:cs="仿宋_GB2312"/>
                <w:b/>
                <w:bCs/>
                <w:sz w:val="18"/>
                <w:szCs w:val="18"/>
                <w:highlight w:val="none"/>
                <w:lang w:bidi="ar"/>
              </w:rPr>
              <w:t>食品安全抽样检验管理办法》</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第八条</w:t>
            </w:r>
            <w:r>
              <w:rPr>
                <w:rFonts w:hint="eastAsia" w:ascii="仿宋_GB2312" w:hAnsi="仿宋_GB2312" w:eastAsia="仿宋_GB2312" w:cs="仿宋_GB2312"/>
                <w:b/>
                <w:bCs/>
                <w:color w:val="000000"/>
                <w:sz w:val="18"/>
                <w:szCs w:val="18"/>
                <w:lang w:val="en-US" w:eastAsia="zh-CN"/>
              </w:rPr>
              <w:t xml:space="preserve">第二款、第三款  </w:t>
            </w:r>
            <w:r>
              <w:rPr>
                <w:rFonts w:hint="eastAsia" w:ascii="仿宋_GB2312" w:hAnsi="仿宋_GB2312" w:eastAsia="仿宋_GB2312" w:cs="仿宋_GB2312"/>
                <w:color w:val="000000"/>
                <w:sz w:val="18"/>
                <w:szCs w:val="18"/>
                <w:lang w:val="zh-CN"/>
              </w:rPr>
              <w:t>县级以上地方市场监督管理部门应当根据上级市场监督管理部门制定的抽样检验年度计划并结合实际情况，制定本行政区域的食品安全抽样检验工作方案。</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市场监督管理部门可以根据工作需要不定期开展食品安全抽样检验工作。</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center"/>
              <w:rPr>
                <w:rFonts w:hint="eastAsia" w:ascii="Times New Roman" w:hAnsi="Times New Roman" w:eastAsia="仿宋_GB2312" w:cs="Times New Roman"/>
                <w:sz w:val="28"/>
                <w:szCs w:val="28"/>
                <w:vertAlign w:val="baseline"/>
                <w:lang w:val="en-US" w:eastAsia="zh-CN"/>
              </w:rPr>
            </w:pPr>
            <w:r>
              <w:rPr>
                <w:rStyle w:val="8"/>
                <w:rFonts w:hint="default" w:ascii="仿宋_GB2312" w:hAnsi="仿宋_GB2312" w:eastAsia="仿宋_GB2312" w:cs="仿宋_GB2312"/>
                <w:sz w:val="18"/>
                <w:szCs w:val="18"/>
                <w:highlight w:val="none"/>
                <w:lang w:bidi="ar"/>
              </w:rPr>
              <w:t>30</w:t>
            </w:r>
            <w:r>
              <w:rPr>
                <w:rStyle w:val="8"/>
                <w:rFonts w:hint="eastAsia" w:ascii="仿宋_GB2312" w:hAnsi="仿宋_GB2312" w:eastAsia="仿宋_GB2312" w:cs="仿宋_GB2312"/>
                <w:sz w:val="18"/>
                <w:szCs w:val="18"/>
                <w:highlight w:val="none"/>
                <w:lang w:val="en-US" w:eastAsia="zh-Hans" w:bidi="ar"/>
              </w:rPr>
              <w:t>.</w:t>
            </w:r>
            <w:r>
              <w:rPr>
                <w:rStyle w:val="8"/>
                <w:rFonts w:hint="eastAsia" w:ascii="仿宋_GB2312" w:hAnsi="仿宋_GB2312" w:eastAsia="仿宋_GB2312" w:cs="仿宋_GB2312"/>
                <w:sz w:val="18"/>
                <w:szCs w:val="18"/>
                <w:highlight w:val="none"/>
                <w:lang w:bidi="ar"/>
              </w:rPr>
              <w:t>对价格活动进行监督检查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一般检查</w:t>
            </w:r>
          </w:p>
        </w:tc>
        <w:tc>
          <w:tcPr>
            <w:tcW w:w="2267" w:type="dxa"/>
            <w:noWrap w:val="0"/>
            <w:vAlign w:val="center"/>
          </w:tcPr>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《中华人民共和国价格法》</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第三十三条</w:t>
            </w:r>
            <w:r>
              <w:rPr>
                <w:rFonts w:hint="eastAsia" w:ascii="仿宋_GB2312" w:hAnsi="仿宋_GB2312" w:eastAsia="仿宋_GB2312" w:cs="仿宋_GB2312"/>
                <w:color w:val="000000"/>
                <w:sz w:val="18"/>
                <w:szCs w:val="18"/>
                <w:lang w:val="zh-CN"/>
              </w:rPr>
              <w:t xml:space="preserve"> 县级以上各级人民政府价格主管部门，依法对价格活动进行监督检查，并依照本法的规定对价格违法行为实施行政处罚。</w:t>
            </w:r>
          </w:p>
          <w:p>
            <w:pPr>
              <w:spacing w:beforeLines="0" w:after="20" w:afterLines="0"/>
              <w:jc w:val="left"/>
              <w:rPr>
                <w:rFonts w:hint="eastAsia" w:ascii="仿宋_GB2312" w:hAnsi="仿宋_GB2312" w:eastAsia="仿宋_GB2312" w:cs="仿宋_GB2312"/>
                <w:color w:val="000000"/>
                <w:sz w:val="18"/>
                <w:szCs w:val="18"/>
                <w:lang w:val="zh-CN"/>
              </w:rPr>
            </w:pPr>
            <w:r>
              <w:rPr>
                <w:rFonts w:hint="eastAsia" w:ascii="仿宋_GB2312" w:hAnsi="仿宋_GB2312" w:eastAsia="仿宋_GB2312" w:cs="仿宋_GB2312"/>
                <w:b/>
                <w:bCs/>
                <w:color w:val="000000"/>
                <w:sz w:val="18"/>
                <w:szCs w:val="18"/>
                <w:lang w:val="zh-CN"/>
              </w:rPr>
              <w:t>第三十四条</w:t>
            </w:r>
            <w:r>
              <w:rPr>
                <w:rFonts w:hint="eastAsia" w:ascii="仿宋_GB2312" w:hAnsi="仿宋_GB2312" w:eastAsia="仿宋_GB2312" w:cs="仿宋_GB2312"/>
                <w:b/>
                <w:bCs/>
                <w:color w:val="000000"/>
                <w:sz w:val="18"/>
                <w:szCs w:val="18"/>
                <w:lang w:val="en-US" w:eastAsia="zh-CN"/>
              </w:rPr>
              <w:t>第三项</w:t>
            </w:r>
            <w:r>
              <w:rPr>
                <w:rFonts w:hint="eastAsia" w:ascii="仿宋_GB2312" w:hAnsi="仿宋_GB2312" w:eastAsia="仿宋_GB2312" w:cs="仿宋_GB2312"/>
                <w:color w:val="000000"/>
                <w:sz w:val="18"/>
                <w:szCs w:val="18"/>
                <w:lang w:val="en-US" w:eastAsia="zh-CN"/>
              </w:rPr>
              <w:t xml:space="preserve"> </w:t>
            </w:r>
            <w:r>
              <w:rPr>
                <w:rFonts w:hint="eastAsia" w:ascii="仿宋_GB2312" w:hAnsi="仿宋_GB2312" w:eastAsia="仿宋_GB2312" w:cs="仿宋_GB2312"/>
                <w:color w:val="000000"/>
                <w:sz w:val="18"/>
                <w:szCs w:val="18"/>
                <w:lang w:val="zh-CN"/>
              </w:rPr>
              <w:t>政府价格主管部门进行价格监督检查时，可以行使下列职权：</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color w:val="000000"/>
                <w:sz w:val="18"/>
                <w:szCs w:val="18"/>
                <w:lang w:val="zh-CN"/>
              </w:rPr>
              <w:t>（三）检查与价格违法行为有关的财物，必要时可以责令当事人暂停相关营业；</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widowControl/>
              <w:suppressLineNumbers w:val="0"/>
              <w:jc w:val="left"/>
              <w:textAlignment w:val="center"/>
              <w:rPr>
                <w:rFonts w:hint="eastAsia" w:ascii="Times New Roman" w:hAnsi="Times New Roman" w:eastAsia="仿宋_GB2312" w:cs="Times New Roman"/>
                <w:sz w:val="28"/>
                <w:szCs w:val="28"/>
                <w:vertAlign w:val="baseline"/>
                <w:lang w:val="en-US" w:eastAsia="zh-CN"/>
              </w:rPr>
            </w:pPr>
            <w:r>
              <w:rPr>
                <w:rFonts w:hint="default" w:ascii="仿宋_GB2312" w:hAnsi="仿宋_GB2312" w:eastAsia="仿宋_GB2312" w:cs="仿宋_GB2312"/>
                <w:i w:val="0"/>
                <w:iCs w:val="0"/>
                <w:color w:val="000000"/>
                <w:kern w:val="0"/>
                <w:sz w:val="18"/>
                <w:szCs w:val="18"/>
                <w:u w:val="none"/>
                <w:lang w:eastAsia="zh-CN" w:bidi="ar"/>
              </w:rPr>
              <w:t>31</w:t>
            </w:r>
            <w:r>
              <w:rPr>
                <w:rFonts w:hint="eastAsia" w:ascii="仿宋_GB2312" w:hAnsi="仿宋_GB2312" w:eastAsia="仿宋_GB2312" w:cs="仿宋_GB2312"/>
                <w:i w:val="0"/>
                <w:iCs w:val="0"/>
                <w:color w:val="000000"/>
                <w:kern w:val="0"/>
                <w:sz w:val="18"/>
                <w:szCs w:val="18"/>
                <w:u w:val="none"/>
                <w:lang w:val="en-US" w:eastAsia="zh-Hans" w:bidi="ar"/>
              </w:rPr>
              <w:t>.</w:t>
            </w:r>
            <w:r>
              <w:rPr>
                <w:rFonts w:hint="eastAsia" w:ascii="仿宋_GB2312" w:hAnsi="仿宋_GB2312" w:eastAsia="仿宋_GB2312" w:cs="仿宋_GB2312"/>
                <w:i w:val="0"/>
                <w:iCs w:val="0"/>
                <w:color w:val="000000"/>
                <w:kern w:val="0"/>
                <w:sz w:val="18"/>
                <w:szCs w:val="18"/>
                <w:u w:val="none"/>
                <w:lang w:val="en-US" w:eastAsia="zh-CN" w:bidi="ar"/>
              </w:rPr>
              <w:t>对为药品研制、生产、经营、使用提供产品或者服务的单位和个人进行延伸检查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spacing w:beforeLines="0" w:after="20" w:afterLines="0"/>
              <w:jc w:val="left"/>
              <w:rPr>
                <w:rFonts w:hint="eastAsia" w:ascii="仿宋_GB2312" w:hAnsi="仿宋_GB2312" w:eastAsia="仿宋_GB2312" w:cs="仿宋_GB2312"/>
                <w:b/>
                <w:bCs/>
                <w:i w:val="0"/>
                <w:iCs w:val="0"/>
                <w:caps w:val="0"/>
                <w:color w:val="333333"/>
                <w:spacing w:val="0"/>
                <w:sz w:val="18"/>
                <w:szCs w:val="18"/>
                <w:shd w:val="clear" w:fill="FCFCFC"/>
              </w:rPr>
            </w:pPr>
            <w:r>
              <w:rPr>
                <w:rFonts w:hint="eastAsia" w:ascii="仿宋_GB2312" w:hAnsi="仿宋_GB2312" w:eastAsia="仿宋_GB2312" w:cs="仿宋_GB2312"/>
                <w:b/>
                <w:bCs/>
                <w:i w:val="0"/>
                <w:iCs w:val="0"/>
                <w:caps w:val="0"/>
                <w:color w:val="333333"/>
                <w:spacing w:val="0"/>
                <w:sz w:val="18"/>
                <w:szCs w:val="18"/>
                <w:shd w:val="clear" w:fill="FCFCFC"/>
              </w:rPr>
              <w:t xml:space="preserve">《中华人民共和国药品管理法》 </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i w:val="0"/>
                <w:iCs w:val="0"/>
                <w:caps w:val="0"/>
                <w:color w:val="333333"/>
                <w:spacing w:val="0"/>
                <w:sz w:val="18"/>
                <w:szCs w:val="18"/>
                <w:shd w:val="clear" w:fill="FCFCFC"/>
              </w:rPr>
              <w:t>第九十九条</w:t>
            </w:r>
            <w:r>
              <w:rPr>
                <w:rFonts w:hint="eastAsia" w:ascii="仿宋_GB2312" w:hAnsi="仿宋_GB2312" w:eastAsia="仿宋_GB2312" w:cs="仿宋_GB2312"/>
                <w:i w:val="0"/>
                <w:iCs w:val="0"/>
                <w:caps w:val="0"/>
                <w:color w:val="333333"/>
                <w:spacing w:val="0"/>
                <w:sz w:val="18"/>
                <w:szCs w:val="18"/>
                <w:shd w:val="clear" w:fill="FCFCFC"/>
              </w:rPr>
              <w:t xml:space="preserve"> </w:t>
            </w:r>
            <w:r>
              <w:rPr>
                <w:rFonts w:hint="eastAsia" w:ascii="仿宋_GB2312" w:hAnsi="仿宋_GB2312" w:eastAsia="仿宋_GB2312" w:cs="仿宋_GB2312"/>
                <w:i w:val="0"/>
                <w:iCs w:val="0"/>
                <w:caps w:val="0"/>
                <w:color w:val="333333"/>
                <w:spacing w:val="0"/>
                <w:sz w:val="18"/>
                <w:szCs w:val="18"/>
                <w:shd w:val="clear" w:fill="FCFCFC"/>
                <w:lang w:val="en-US" w:eastAsia="zh-CN"/>
              </w:rPr>
              <w:t xml:space="preserve"> </w:t>
            </w:r>
            <w:r>
              <w:rPr>
                <w:rFonts w:hint="eastAsia" w:ascii="仿宋_GB2312" w:hAnsi="仿宋_GB2312" w:eastAsia="仿宋_GB2312" w:cs="仿宋_GB2312"/>
                <w:i w:val="0"/>
                <w:iCs w:val="0"/>
                <w:caps w:val="0"/>
                <w:color w:val="333333"/>
                <w:spacing w:val="0"/>
                <w:sz w:val="18"/>
                <w:szCs w:val="18"/>
                <w:shd w:val="clear" w:fill="FCFCFC"/>
              </w:rPr>
              <w:t>药品监督管理部门应当依照法律、法规的规定对药品研制、生产、经营和药品使用单位使用药品等活动进行监督检查，必要时可以对为药品研制、生产、经营、使用提供产品或者服务的单位和个人进行延伸检查，有关单位和个人应当予以配合，不得拒绝和隐瞒。 药品监督管理部门应当对高风险的药品实施重点监督检查。 对有证据证明可能存在安全隐患的，药品监督管理部门根据监督检查情况，应当采取告诫、约谈、限期整改以及暂停生产、销售、使用、进口等措施，并及时公布检查处理结果。 药品监督管理部门进行监督检查时，应当出示证明文件，对监督检查中知悉的商业秘密应当保密。</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widowControl/>
              <w:suppressLineNumbers w:val="0"/>
              <w:jc w:val="left"/>
              <w:textAlignment w:val="center"/>
              <w:rPr>
                <w:rFonts w:hint="eastAsia" w:ascii="Times New Roman" w:hAnsi="Times New Roman" w:eastAsia="仿宋_GB2312" w:cs="Times New Roman"/>
                <w:sz w:val="28"/>
                <w:szCs w:val="28"/>
                <w:vertAlign w:val="baseline"/>
                <w:lang w:val="en-US" w:eastAsia="zh-CN"/>
              </w:rPr>
            </w:pPr>
            <w:r>
              <w:rPr>
                <w:rFonts w:hint="default" w:ascii="仿宋_GB2312" w:hAnsi="仿宋_GB2312" w:eastAsia="仿宋_GB2312" w:cs="仿宋_GB2312"/>
                <w:i w:val="0"/>
                <w:iCs w:val="0"/>
                <w:color w:val="000000"/>
                <w:kern w:val="0"/>
                <w:sz w:val="18"/>
                <w:szCs w:val="18"/>
                <w:u w:val="none"/>
                <w:lang w:eastAsia="zh-CN" w:bidi="ar"/>
              </w:rPr>
              <w:t>32</w:t>
            </w:r>
            <w:r>
              <w:rPr>
                <w:rFonts w:hint="eastAsia" w:ascii="仿宋_GB2312" w:hAnsi="仿宋_GB2312" w:eastAsia="仿宋_GB2312" w:cs="仿宋_GB2312"/>
                <w:i w:val="0"/>
                <w:iCs w:val="0"/>
                <w:color w:val="000000"/>
                <w:kern w:val="0"/>
                <w:sz w:val="18"/>
                <w:szCs w:val="18"/>
                <w:u w:val="none"/>
                <w:lang w:val="en-US" w:eastAsia="zh-Hans" w:bidi="ar"/>
              </w:rPr>
              <w:t>.</w:t>
            </w:r>
            <w:r>
              <w:rPr>
                <w:rFonts w:hint="eastAsia" w:ascii="仿宋_GB2312" w:hAnsi="仿宋_GB2312" w:eastAsia="仿宋_GB2312" w:cs="仿宋_GB2312"/>
                <w:i w:val="0"/>
                <w:iCs w:val="0"/>
                <w:color w:val="000000"/>
                <w:kern w:val="0"/>
                <w:sz w:val="18"/>
                <w:szCs w:val="18"/>
                <w:u w:val="none"/>
                <w:lang w:val="en-US" w:eastAsia="zh-CN" w:bidi="ar"/>
              </w:rPr>
              <w:t>对药品研制、注册、生产、经营和使用等活动的监督检查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spacing w:beforeLines="0" w:after="20" w:afterLines="0"/>
              <w:jc w:val="left"/>
              <w:rPr>
                <w:rFonts w:hint="eastAsia" w:ascii="仿宋_GB2312" w:hAnsi="仿宋_GB2312" w:eastAsia="仿宋_GB2312" w:cs="仿宋_GB2312"/>
                <w:b/>
                <w:bCs/>
                <w:i w:val="0"/>
                <w:iCs w:val="0"/>
                <w:caps w:val="0"/>
                <w:color w:val="333333"/>
                <w:spacing w:val="0"/>
                <w:sz w:val="18"/>
                <w:szCs w:val="18"/>
                <w:shd w:val="clear" w:fill="FCFCFC"/>
              </w:rPr>
            </w:pPr>
            <w:r>
              <w:rPr>
                <w:rFonts w:hint="eastAsia" w:ascii="仿宋_GB2312" w:hAnsi="仿宋_GB2312" w:eastAsia="仿宋_GB2312" w:cs="仿宋_GB2312"/>
                <w:b/>
                <w:bCs/>
                <w:i w:val="0"/>
                <w:iCs w:val="0"/>
                <w:caps w:val="0"/>
                <w:color w:val="333333"/>
                <w:spacing w:val="0"/>
                <w:sz w:val="18"/>
                <w:szCs w:val="18"/>
                <w:shd w:val="clear" w:fill="FCFCFC"/>
              </w:rPr>
              <w:t xml:space="preserve">《中华人民共和国药品管理法》 </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i w:val="0"/>
                <w:iCs w:val="0"/>
                <w:caps w:val="0"/>
                <w:color w:val="333333"/>
                <w:spacing w:val="0"/>
                <w:sz w:val="18"/>
                <w:szCs w:val="18"/>
                <w:shd w:val="clear" w:fill="FCFCFC"/>
              </w:rPr>
              <w:t>第九十九条</w:t>
            </w:r>
            <w:r>
              <w:rPr>
                <w:rFonts w:hint="eastAsia" w:ascii="仿宋_GB2312" w:hAnsi="仿宋_GB2312" w:eastAsia="仿宋_GB2312" w:cs="仿宋_GB2312"/>
                <w:i w:val="0"/>
                <w:iCs w:val="0"/>
                <w:caps w:val="0"/>
                <w:color w:val="333333"/>
                <w:spacing w:val="0"/>
                <w:sz w:val="18"/>
                <w:szCs w:val="18"/>
                <w:shd w:val="clear" w:fill="FCFCFC"/>
              </w:rPr>
              <w:t xml:space="preserve"> </w:t>
            </w:r>
            <w:r>
              <w:rPr>
                <w:rFonts w:hint="eastAsia" w:ascii="仿宋_GB2312" w:hAnsi="仿宋_GB2312" w:eastAsia="仿宋_GB2312" w:cs="仿宋_GB2312"/>
                <w:i w:val="0"/>
                <w:iCs w:val="0"/>
                <w:caps w:val="0"/>
                <w:color w:val="333333"/>
                <w:spacing w:val="0"/>
                <w:sz w:val="18"/>
                <w:szCs w:val="18"/>
                <w:shd w:val="clear" w:fill="FCFCFC"/>
                <w:lang w:val="en-US" w:eastAsia="zh-CN"/>
              </w:rPr>
              <w:t xml:space="preserve"> </w:t>
            </w:r>
            <w:r>
              <w:rPr>
                <w:rFonts w:hint="eastAsia" w:ascii="仿宋_GB2312" w:hAnsi="仿宋_GB2312" w:eastAsia="仿宋_GB2312" w:cs="仿宋_GB2312"/>
                <w:i w:val="0"/>
                <w:iCs w:val="0"/>
                <w:caps w:val="0"/>
                <w:color w:val="333333"/>
                <w:spacing w:val="0"/>
                <w:sz w:val="18"/>
                <w:szCs w:val="18"/>
                <w:shd w:val="clear" w:fill="FCFCFC"/>
              </w:rPr>
              <w:t>药品监督管理部门应当依照法律、法规的规定对药品研制、生产、经营和药品使用单位使用药品等活动进行监督检查，必要时可以对为药品研制、生产、经营、使用提供产品或者服务的单位和个人进行延伸检查，有关单位和个人应当予以配合，不得拒绝和隐瞒。 药品监督管理部门应当对高风险的药品实施重点监督检查。 对有证据证明可能存在安全隐患的，药品监督管理部门根据监督检查情况，应当采取告诫、约谈、限期整改以及暂停生产、销售、使用、进口等措施，并及时公布检查处理结果。 药品监督管理部门进行监督检查时，应当出示证明文件，对监督检查中知悉的商业秘密应当保密。</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widowControl/>
              <w:suppressLineNumbers w:val="0"/>
              <w:jc w:val="left"/>
              <w:textAlignment w:val="center"/>
              <w:rPr>
                <w:rFonts w:hint="eastAsia" w:ascii="Times New Roman" w:hAnsi="Times New Roman" w:eastAsia="仿宋_GB2312" w:cs="Times New Roman"/>
                <w:sz w:val="28"/>
                <w:szCs w:val="28"/>
                <w:vertAlign w:val="baseline"/>
                <w:lang w:val="en-US" w:eastAsia="zh-CN"/>
              </w:rPr>
            </w:pPr>
            <w:r>
              <w:rPr>
                <w:rFonts w:hint="default" w:ascii="仿宋_GB2312" w:hAnsi="仿宋_GB2312" w:eastAsia="仿宋_GB2312" w:cs="仿宋_GB2312"/>
                <w:i w:val="0"/>
                <w:iCs w:val="0"/>
                <w:color w:val="000000"/>
                <w:kern w:val="0"/>
                <w:sz w:val="18"/>
                <w:szCs w:val="18"/>
                <w:u w:val="none"/>
                <w:lang w:eastAsia="zh-CN" w:bidi="ar"/>
              </w:rPr>
              <w:t>33</w:t>
            </w:r>
            <w:r>
              <w:rPr>
                <w:rFonts w:hint="eastAsia" w:ascii="仿宋_GB2312" w:hAnsi="仿宋_GB2312" w:eastAsia="仿宋_GB2312" w:cs="仿宋_GB2312"/>
                <w:i w:val="0"/>
                <w:iCs w:val="0"/>
                <w:color w:val="000000"/>
                <w:kern w:val="0"/>
                <w:sz w:val="18"/>
                <w:szCs w:val="18"/>
                <w:u w:val="none"/>
                <w:lang w:val="en-US" w:eastAsia="zh-Hans" w:bidi="ar"/>
              </w:rPr>
              <w:t>.</w:t>
            </w:r>
            <w:r>
              <w:rPr>
                <w:rFonts w:hint="eastAsia" w:ascii="仿宋_GB2312" w:hAnsi="仿宋_GB2312" w:eastAsia="仿宋_GB2312" w:cs="仿宋_GB2312"/>
                <w:i w:val="0"/>
                <w:iCs w:val="0"/>
                <w:color w:val="000000"/>
                <w:kern w:val="0"/>
                <w:sz w:val="18"/>
                <w:szCs w:val="18"/>
                <w:u w:val="none"/>
                <w:lang w:val="en-US" w:eastAsia="zh-CN" w:bidi="ar"/>
              </w:rPr>
              <w:t>对医疗器械研制、注册、备案、生产、经营、使用活动的监督检查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spacing w:beforeLines="0" w:after="20" w:afterLines="0"/>
              <w:jc w:val="left"/>
              <w:rPr>
                <w:rFonts w:hint="eastAsia"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《医疗器械监督管理条例》</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color w:val="000000"/>
                <w:sz w:val="18"/>
                <w:szCs w:val="18"/>
                <w:lang w:val="zh-CN"/>
              </w:rPr>
              <w:t>第七十条</w:t>
            </w:r>
            <w:r>
              <w:rPr>
                <w:rFonts w:hint="eastAsia" w:ascii="仿宋_GB2312" w:hAnsi="仿宋_GB2312" w:eastAsia="仿宋_GB2312" w:cs="仿宋_GB2312"/>
                <w:b/>
                <w:bCs/>
                <w:color w:val="000000"/>
                <w:sz w:val="18"/>
                <w:szCs w:val="18"/>
                <w:lang w:val="en-US" w:eastAsia="zh-CN"/>
              </w:rPr>
              <w:t>第一项</w:t>
            </w:r>
            <w:r>
              <w:rPr>
                <w:rFonts w:hint="eastAsia" w:ascii="仿宋_GB2312" w:hAnsi="仿宋_GB2312" w:eastAsia="仿宋_GB2312" w:cs="仿宋_GB2312"/>
                <w:b/>
                <w:bCs/>
                <w:color w:val="000000"/>
                <w:sz w:val="18"/>
                <w:szCs w:val="18"/>
                <w:lang w:val="zh-CN"/>
              </w:rPr>
              <w:t xml:space="preserve"> </w:t>
            </w:r>
            <w:r>
              <w:rPr>
                <w:rFonts w:hint="eastAsia" w:ascii="仿宋_GB2312" w:hAnsi="仿宋_GB2312" w:eastAsia="仿宋_GB2312" w:cs="仿宋_GB2312"/>
                <w:color w:val="000000"/>
                <w:sz w:val="18"/>
                <w:szCs w:val="18"/>
                <w:lang w:val="zh-CN"/>
              </w:rPr>
              <w:t>负责药品监督管理的部门在监督检查中有下列职权：（一）进入现场实施检查、抽取样品；</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trPr>
        <w:tc>
          <w:tcPr>
            <w:tcW w:w="119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2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329" w:type="dxa"/>
            <w:noWrap w:val="0"/>
            <w:vAlign w:val="center"/>
          </w:tcPr>
          <w:p>
            <w:pPr>
              <w:keepNext w:val="0"/>
              <w:keepLines w:val="0"/>
              <w:widowControl/>
              <w:suppressLineNumbers w:val="0"/>
              <w:jc w:val="left"/>
              <w:textAlignment w:val="center"/>
              <w:rPr>
                <w:rFonts w:hint="eastAsia" w:ascii="Times New Roman" w:hAnsi="Times New Roman" w:eastAsia="仿宋_GB2312" w:cs="Times New Roman"/>
                <w:sz w:val="28"/>
                <w:szCs w:val="28"/>
                <w:vertAlign w:val="baseline"/>
                <w:lang w:val="en-US" w:eastAsia="zh-CN"/>
              </w:rPr>
            </w:pPr>
            <w:r>
              <w:rPr>
                <w:rFonts w:hint="default" w:ascii="仿宋_GB2312" w:hAnsi="仿宋_GB2312" w:eastAsia="仿宋_GB2312" w:cs="仿宋_GB2312"/>
                <w:i w:val="0"/>
                <w:iCs w:val="0"/>
                <w:color w:val="000000"/>
                <w:kern w:val="0"/>
                <w:sz w:val="18"/>
                <w:szCs w:val="18"/>
                <w:u w:val="none"/>
                <w:lang w:eastAsia="zh-CN" w:bidi="ar"/>
              </w:rPr>
              <w:t>34</w:t>
            </w:r>
            <w:r>
              <w:rPr>
                <w:rFonts w:hint="eastAsia" w:ascii="仿宋_GB2312" w:hAnsi="仿宋_GB2312" w:eastAsia="仿宋_GB2312" w:cs="仿宋_GB2312"/>
                <w:i w:val="0"/>
                <w:iCs w:val="0"/>
                <w:color w:val="000000"/>
                <w:kern w:val="0"/>
                <w:sz w:val="18"/>
                <w:szCs w:val="18"/>
                <w:u w:val="none"/>
                <w:lang w:val="en-US" w:eastAsia="zh-Hans" w:bidi="ar"/>
              </w:rPr>
              <w:t>.</w:t>
            </w:r>
            <w:bookmarkStart w:id="0" w:name="_GoBack"/>
            <w:bookmarkEnd w:id="0"/>
            <w:r>
              <w:rPr>
                <w:rFonts w:hint="eastAsia" w:ascii="仿宋_GB2312" w:hAnsi="仿宋_GB2312" w:eastAsia="仿宋_GB2312" w:cs="仿宋_GB2312"/>
                <w:i w:val="0"/>
                <w:iCs w:val="0"/>
                <w:color w:val="000000"/>
                <w:kern w:val="0"/>
                <w:sz w:val="18"/>
                <w:szCs w:val="18"/>
                <w:u w:val="none"/>
                <w:lang w:val="en-US" w:eastAsia="zh-CN" w:bidi="ar"/>
              </w:rPr>
              <w:t>对化妆品注册、备案、生产、经营等活动的监督检查</w:t>
            </w:r>
          </w:p>
        </w:tc>
        <w:tc>
          <w:tcPr>
            <w:tcW w:w="279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val="0"/>
                <w:bCs w:val="0"/>
                <w:sz w:val="18"/>
                <w:szCs w:val="18"/>
                <w:lang w:val="en-US" w:eastAsia="zh-CN"/>
              </w:rPr>
              <w:t>重点检查</w:t>
            </w:r>
          </w:p>
        </w:tc>
        <w:tc>
          <w:tcPr>
            <w:tcW w:w="2267" w:type="dxa"/>
            <w:noWrap w:val="0"/>
            <w:vAlign w:val="center"/>
          </w:tcPr>
          <w:p>
            <w:pPr>
              <w:spacing w:beforeLines="0" w:after="20" w:afterLines="0"/>
              <w:jc w:val="left"/>
              <w:rPr>
                <w:rFonts w:hint="eastAsia" w:ascii="仿宋_GB2312" w:hAnsi="仿宋_GB2312" w:eastAsia="仿宋_GB2312" w:cs="仿宋_GB2312"/>
                <w:b/>
                <w:bCs/>
                <w:color w:val="000000"/>
                <w:sz w:val="18"/>
                <w:szCs w:val="18"/>
                <w:lang w:val="zh-CN"/>
              </w:rPr>
            </w:pPr>
            <w:r>
              <w:rPr>
                <w:rFonts w:hint="eastAsia" w:ascii="仿宋_GB2312" w:hAnsi="仿宋_GB2312" w:eastAsia="仿宋_GB2312" w:cs="仿宋_GB2312"/>
                <w:b/>
                <w:bCs/>
                <w:color w:val="000000"/>
                <w:sz w:val="18"/>
                <w:szCs w:val="18"/>
                <w:lang w:val="zh-CN"/>
              </w:rPr>
              <w:t>《化妆品监督管理条例》</w:t>
            </w:r>
          </w:p>
          <w:p>
            <w:pPr>
              <w:spacing w:beforeLines="0" w:after="20" w:afterLines="0"/>
              <w:jc w:val="left"/>
              <w:rPr>
                <w:rFonts w:hint="default" w:ascii="Times New Roman" w:hAnsi="Times New Roman" w:eastAsia="仿宋_GB2312" w:cs="Times New Roman"/>
                <w:sz w:val="28"/>
                <w:szCs w:val="28"/>
                <w:vertAlign w:val="baseline"/>
                <w:lang w:val="en-US" w:eastAsia="zh-CN"/>
              </w:rPr>
            </w:pPr>
            <w:r>
              <w:rPr>
                <w:rFonts w:hint="eastAsia" w:ascii="仿宋_GB2312" w:hAnsi="仿宋_GB2312" w:eastAsia="仿宋_GB2312" w:cs="仿宋_GB2312"/>
                <w:b/>
                <w:bCs/>
                <w:color w:val="000000"/>
                <w:sz w:val="18"/>
                <w:szCs w:val="18"/>
                <w:lang w:val="zh-CN"/>
              </w:rPr>
              <w:t>第四十六条</w:t>
            </w:r>
            <w:r>
              <w:rPr>
                <w:rFonts w:hint="eastAsia" w:ascii="仿宋_GB2312" w:hAnsi="仿宋_GB2312" w:eastAsia="仿宋_GB2312" w:cs="仿宋_GB2312"/>
                <w:color w:val="000000"/>
                <w:sz w:val="18"/>
                <w:szCs w:val="18"/>
                <w:lang w:val="zh-CN"/>
              </w:rPr>
              <w:t>　负责药品监督管理的部门对化妆品生产经营进行监督检查时，有权采取下列措施：（一）进入生产经营场所实施现场检查；</w:t>
            </w:r>
          </w:p>
        </w:tc>
        <w:tc>
          <w:tcPr>
            <w:tcW w:w="280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bl>
    <w:p>
      <w:pPr>
        <w:ind w:firstLine="320" w:firstLineChars="1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填表说明：检查事项等级分为：一般检查、重点检查；</w:t>
      </w:r>
    </w:p>
    <w:p>
      <w:pPr>
        <w:jc w:val="center"/>
        <w:rPr>
          <w:rFonts w:hint="eastAsia" w:ascii="Times New Roman" w:hAnsi="Times New Roman" w:eastAsia="方正小标宋_GBK" w:cs="Times New Roman"/>
          <w:sz w:val="44"/>
          <w:szCs w:val="44"/>
          <w:lang w:val="en-US" w:eastAsia="zh-CN"/>
        </w:rPr>
      </w:pPr>
    </w:p>
    <w:p>
      <w:pPr>
        <w:jc w:val="center"/>
        <w:rPr>
          <w:rFonts w:hint="eastAsia" w:ascii="Times New Roman" w:hAnsi="Times New Roman" w:eastAsia="方正小标宋_GBK" w:cs="Times New Roman"/>
          <w:sz w:val="44"/>
          <w:szCs w:val="44"/>
          <w:lang w:val="en-US" w:eastAsia="zh-CN"/>
        </w:rPr>
      </w:pPr>
    </w:p>
    <w:p>
      <w:pPr>
        <w:jc w:val="center"/>
        <w:rPr>
          <w:rFonts w:hint="eastAsia" w:ascii="Times New Roman" w:hAnsi="Times New Roman" w:eastAsia="方正小标宋_GBK" w:cs="Times New Roman"/>
          <w:sz w:val="44"/>
          <w:szCs w:val="44"/>
          <w:lang w:val="en-US" w:eastAsia="zh-CN"/>
        </w:rPr>
      </w:pPr>
    </w:p>
    <w:p>
      <w:pPr>
        <w:jc w:val="center"/>
        <w:rPr>
          <w:rFonts w:hint="eastAsia" w:ascii="Times New Roman" w:hAnsi="Times New Roman" w:eastAsia="方正小标宋_GBK" w:cs="Times New Roman"/>
          <w:sz w:val="44"/>
          <w:szCs w:val="44"/>
          <w:lang w:val="en-US" w:eastAsia="zh-CN"/>
        </w:rPr>
      </w:pPr>
    </w:p>
    <w:p>
      <w:pPr>
        <w:jc w:val="center"/>
        <w:rPr>
          <w:rFonts w:hint="eastAsia" w:ascii="Times New Roman" w:hAnsi="Times New Roman" w:eastAsia="方正小标宋_GBK" w:cs="Times New Roman"/>
          <w:sz w:val="44"/>
          <w:szCs w:val="44"/>
          <w:lang w:val="en-US" w:eastAsia="zh-CN"/>
        </w:rPr>
      </w:pPr>
    </w:p>
    <w:p>
      <w:pPr>
        <w:jc w:val="center"/>
        <w:rPr>
          <w:rFonts w:hint="eastAsia" w:ascii="Times New Roman" w:hAnsi="Times New Roman" w:eastAsia="方正小标宋_GBK" w:cs="Times New Roman"/>
          <w:sz w:val="44"/>
          <w:szCs w:val="44"/>
          <w:lang w:val="en-US" w:eastAsia="zh-CN"/>
        </w:rPr>
      </w:pPr>
    </w:p>
    <w:p>
      <w:pPr>
        <w:jc w:val="center"/>
        <w:rPr>
          <w:rFonts w:hint="eastAsia" w:ascii="Times New Roman" w:hAnsi="Times New Roman" w:eastAsia="方正小标宋_GBK" w:cs="Times New Roman"/>
          <w:sz w:val="44"/>
          <w:szCs w:val="44"/>
          <w:lang w:val="en-US" w:eastAsia="zh-CN"/>
        </w:rPr>
      </w:pPr>
    </w:p>
    <w:p>
      <w:pPr>
        <w:jc w:val="center"/>
        <w:rPr>
          <w:rFonts w:hint="eastAsia" w:ascii="Times New Roman" w:hAnsi="Times New Roman" w:eastAsia="方正小标宋_GBK" w:cs="Times New Roman"/>
          <w:sz w:val="44"/>
          <w:szCs w:val="44"/>
          <w:lang w:val="en-US" w:eastAsia="zh-CN"/>
        </w:rPr>
      </w:pPr>
    </w:p>
    <w:p>
      <w:pPr>
        <w:jc w:val="center"/>
        <w:rPr>
          <w:rFonts w:hint="default" w:ascii="Times New Roman" w:hAnsi="Times New Roman" w:eastAsia="方正小标宋_GBK" w:cs="Times New Roman"/>
          <w:sz w:val="44"/>
          <w:szCs w:val="44"/>
          <w:lang w:eastAsia="zh-CN"/>
        </w:rPr>
      </w:pPr>
    </w:p>
    <w:p>
      <w:pPr>
        <w:jc w:val="center"/>
        <w:rPr>
          <w:rFonts w:hint="default" w:ascii="Times New Roman" w:hAnsi="Times New Roman" w:eastAsia="方正小标宋_GBK" w:cs="Times New Roman"/>
          <w:sz w:val="44"/>
          <w:szCs w:val="44"/>
          <w:lang w:eastAsia="zh-CN"/>
        </w:rPr>
      </w:pPr>
    </w:p>
    <w:p>
      <w:pPr>
        <w:jc w:val="center"/>
        <w:rPr>
          <w:rFonts w:hint="eastAsia" w:ascii="Times New Roman" w:hAnsi="Times New Roman" w:eastAsia="方正小标宋_GBK" w:cs="Times New Roman"/>
          <w:sz w:val="44"/>
          <w:szCs w:val="44"/>
          <w:lang w:val="en-US" w:eastAsia="zh-CN"/>
        </w:rPr>
      </w:pPr>
    </w:p>
    <w:p>
      <w:pPr>
        <w:jc w:val="center"/>
        <w:rPr>
          <w:rFonts w:hint="default" w:ascii="Times New Roman" w:hAnsi="Times New Roman" w:eastAsia="方正小标宋_GBK" w:cs="Times New Roman"/>
          <w:sz w:val="44"/>
          <w:szCs w:val="44"/>
          <w:lang w:val="en-US" w:eastAsia="zh-Hans"/>
        </w:rPr>
      </w:pPr>
      <w:r>
        <w:rPr>
          <w:rFonts w:hint="eastAsia" w:ascii="Times New Roman" w:hAnsi="Times New Roman" w:eastAsia="方正小标宋_GBK" w:cs="Times New Roman"/>
          <w:sz w:val="44"/>
          <w:szCs w:val="44"/>
          <w:lang w:val="en-US" w:eastAsia="zh-CN"/>
        </w:rPr>
        <w:t>理县</w:t>
      </w:r>
      <w:r>
        <w:rPr>
          <w:rFonts w:hint="eastAsia" w:ascii="Times New Roman" w:hAnsi="Times New Roman" w:eastAsia="方正小标宋_GBK" w:cs="Times New Roman"/>
          <w:sz w:val="44"/>
          <w:szCs w:val="44"/>
          <w:lang w:val="en-US" w:eastAsia="zh-Hans"/>
        </w:rPr>
        <w:t>市场监督管理局</w:t>
      </w:r>
    </w:p>
    <w:p>
      <w:pPr>
        <w:jc w:val="center"/>
        <w:rPr>
          <w:rFonts w:hint="eastAsia" w:ascii="宋体" w:hAnsi="宋体" w:eastAsia="宋体" w:cs="宋体"/>
          <w:b/>
          <w:bCs/>
          <w:sz w:val="44"/>
          <w:szCs w:val="52"/>
          <w:lang w:val="en-US" w:eastAsia="zh-CN"/>
        </w:rPr>
      </w:pPr>
      <w:r>
        <w:rPr>
          <w:rFonts w:hint="eastAsia" w:ascii="宋体" w:hAnsi="宋体" w:eastAsia="宋体" w:cs="宋体"/>
          <w:b/>
          <w:bCs/>
          <w:sz w:val="44"/>
          <w:szCs w:val="52"/>
          <w:lang w:val="en-US" w:eastAsia="zh-CN"/>
        </w:rPr>
        <w:t>不予行政处罚、免于行政处罚、减轻行政处罚、从轻行政处罚、</w:t>
      </w:r>
    </w:p>
    <w:p>
      <w:pPr>
        <w:jc w:val="center"/>
        <w:rPr>
          <w:rFonts w:hint="eastAsia" w:ascii="宋体" w:hAnsi="宋体" w:eastAsia="宋体" w:cs="宋体"/>
          <w:b/>
          <w:bCs/>
          <w:sz w:val="44"/>
          <w:szCs w:val="52"/>
          <w:lang w:val="en-US" w:eastAsia="zh-CN"/>
        </w:rPr>
      </w:pPr>
      <w:r>
        <w:rPr>
          <w:rFonts w:hint="eastAsia" w:ascii="宋体" w:hAnsi="宋体" w:eastAsia="宋体" w:cs="宋体"/>
          <w:b/>
          <w:bCs/>
          <w:sz w:val="44"/>
          <w:szCs w:val="52"/>
          <w:lang w:val="en-US" w:eastAsia="zh-CN"/>
        </w:rPr>
        <w:t>从重行政处罚事项清单</w:t>
      </w:r>
    </w:p>
    <w:p>
      <w:pPr>
        <w:jc w:val="center"/>
        <w:rPr>
          <w:rFonts w:hint="eastAsia" w:ascii="宋体" w:hAnsi="宋体" w:eastAsia="宋体" w:cs="宋体"/>
          <w:b/>
          <w:bCs/>
          <w:sz w:val="44"/>
          <w:szCs w:val="52"/>
          <w:lang w:val="en-US" w:eastAsia="zh-CN"/>
        </w:rPr>
      </w:pPr>
      <w:r>
        <w:rPr>
          <w:rFonts w:hint="eastAsia" w:ascii="楷体" w:hAnsi="楷体" w:eastAsia="楷体" w:cs="楷体"/>
          <w:b/>
          <w:bCs/>
          <w:sz w:val="40"/>
          <w:szCs w:val="48"/>
          <w:lang w:val="en-US" w:eastAsia="zh-CN"/>
        </w:rPr>
        <w:t>一、不予行政处罚事项清单</w:t>
      </w:r>
    </w:p>
    <w:tbl>
      <w:tblPr>
        <w:tblStyle w:val="4"/>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2903"/>
        <w:gridCol w:w="2872"/>
        <w:gridCol w:w="1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trPr>
        <w:tc>
          <w:tcPr>
            <w:tcW w:w="14240" w:type="dxa"/>
            <w:gridSpan w:val="6"/>
          </w:tcPr>
          <w:p>
            <w:pPr>
              <w:jc w:val="both"/>
              <w:rPr>
                <w:rFonts w:hint="default" w:ascii="宋体" w:hAnsi="宋体" w:eastAsia="宋体" w:cs="宋体"/>
                <w:b/>
                <w:bCs/>
                <w:sz w:val="52"/>
                <w:szCs w:val="72"/>
                <w:vertAlign w:val="baseline"/>
                <w:lang w:val="en-US" w:eastAsia="zh-Hans"/>
              </w:rPr>
            </w:pPr>
            <w:r>
              <w:rPr>
                <w:rFonts w:hint="eastAsia" w:ascii="宋体" w:hAnsi="宋体" w:eastAsia="宋体" w:cs="宋体"/>
                <w:b/>
                <w:bCs/>
                <w:sz w:val="36"/>
                <w:szCs w:val="44"/>
                <w:vertAlign w:val="baseline"/>
                <w:lang w:val="en-US" w:eastAsia="zh-CN"/>
              </w:rPr>
              <w:t>单位：</w:t>
            </w:r>
            <w:r>
              <w:rPr>
                <w:rFonts w:hint="eastAsia" w:ascii="宋体" w:hAnsi="宋体" w:eastAsia="宋体" w:cs="宋体"/>
                <w:b/>
                <w:bCs/>
                <w:sz w:val="36"/>
                <w:szCs w:val="44"/>
                <w:vertAlign w:val="baseline"/>
                <w:lang w:val="en-US" w:eastAsia="zh-Hans"/>
              </w:rPr>
              <w:t>理县市场监督管理局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4" w:hRule="atLeast"/>
        </w:trPr>
        <w:tc>
          <w:tcPr>
            <w:tcW w:w="102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序号</w:t>
            </w:r>
          </w:p>
        </w:tc>
        <w:tc>
          <w:tcPr>
            <w:tcW w:w="3015"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行政处罚事项</w:t>
            </w:r>
          </w:p>
        </w:tc>
        <w:tc>
          <w:tcPr>
            <w:tcW w:w="255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实施机关</w:t>
            </w:r>
          </w:p>
        </w:tc>
        <w:tc>
          <w:tcPr>
            <w:tcW w:w="2903" w:type="dxa"/>
          </w:tcPr>
          <w:p>
            <w:pPr>
              <w:jc w:val="center"/>
              <w:rPr>
                <w:rFonts w:hint="default"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不予处罚使用条件</w:t>
            </w:r>
          </w:p>
        </w:tc>
        <w:tc>
          <w:tcPr>
            <w:tcW w:w="2872"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法律依据</w:t>
            </w:r>
          </w:p>
        </w:tc>
        <w:tc>
          <w:tcPr>
            <w:tcW w:w="188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承担资产评估、验资或者验证的机构因过失提供有重大遗漏的报告</w:t>
            </w:r>
          </w:p>
        </w:tc>
        <w:tc>
          <w:tcPr>
            <w:tcW w:w="2550" w:type="dxa"/>
            <w:vAlign w:val="center"/>
          </w:tcPr>
          <w:p>
            <w:pPr>
              <w:widowControl/>
              <w:snapToGrid w:val="0"/>
              <w:jc w:val="left"/>
              <w:textAlignment w:val="center"/>
              <w:rPr>
                <w:rFonts w:hint="default" w:ascii="仿宋_GB2312" w:hAnsi="仿宋_GB2312" w:eastAsia="仿宋_GB2312" w:cs="仿宋_GB2312"/>
                <w:color w:val="000000"/>
                <w:kern w:val="0"/>
                <w:sz w:val="24"/>
                <w:szCs w:val="24"/>
                <w:lang w:val="en-US" w:eastAsia="zh-Hans"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公司法》第二百零七条第二款：承担资产评估、验资或者验证的机构因过失提供有重大遗漏的报告的，由公司登记机关责令改正，情节较重的，处以所得收入一倍以上五倍以下的罚款，并可以由有关主管部门依法责令该机构停业、吊销直接责任人员的资格证书，吊销营业执照。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个人独资企业存续期间登记事项发生变更，未依法办理变更登记</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同时具备以下条件：1.初次违法；2.立即自行改正或在行政机关责令改正的期限内改正；3.未造成实际危害后果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《中华人民共和国个人独资企业法》第十五条：个人独资企业存续期间登记事项发生变更的，应当在作出变更决定之日起的十五日内依法向登记机关申请办理变更登记。 第三十七条第二款：个人独资企业登记事项发生变更时，未按本法规定办理有关变更登记的，责令限期办理变更登记；逾期不办理的，处以二千元以下的罚款。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2"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1430" cy="172085"/>
                  <wp:effectExtent l="0" t="0" r="0" b="0"/>
                  <wp:wrapNone/>
                  <wp:docPr id="17" name="Host_Control__1"/>
                  <wp:cNvGraphicFramePr/>
                  <a:graphic xmlns:a="http://schemas.openxmlformats.org/drawingml/2006/main">
                    <a:graphicData uri="http://schemas.openxmlformats.org/drawingml/2006/picture">
                      <pic:pic xmlns:pic="http://schemas.openxmlformats.org/drawingml/2006/picture">
                        <pic:nvPicPr>
                          <pic:cNvPr id="17" name="Host_Control__1"/>
                          <pic:cNvPicPr/>
                        </pic:nvPicPr>
                        <pic:blipFill>
                          <a:blip r:embed="rId4"/>
                          <a:stretch>
                            <a:fillRect/>
                          </a:stretch>
                        </pic:blipFill>
                        <pic:spPr>
                          <a:xfrm>
                            <a:off x="0" y="0"/>
                            <a:ext cx="1143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1430" cy="172085"/>
                  <wp:effectExtent l="0" t="0" r="0" b="0"/>
                  <wp:wrapNone/>
                  <wp:docPr id="18" name="Host_Control__2"/>
                  <wp:cNvGraphicFramePr/>
                  <a:graphic xmlns:a="http://schemas.openxmlformats.org/drawingml/2006/main">
                    <a:graphicData uri="http://schemas.openxmlformats.org/drawingml/2006/picture">
                      <pic:pic xmlns:pic="http://schemas.openxmlformats.org/drawingml/2006/picture">
                        <pic:nvPicPr>
                          <pic:cNvPr id="18" name="Host_Control__2"/>
                          <pic:cNvPicPr/>
                        </pic:nvPicPr>
                        <pic:blipFill>
                          <a:blip r:embed="rId4"/>
                          <a:stretch>
                            <a:fillRect/>
                          </a:stretch>
                        </pic:blipFill>
                        <pic:spPr>
                          <a:xfrm>
                            <a:off x="0" y="0"/>
                            <a:ext cx="1143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1430" cy="172085"/>
                  <wp:effectExtent l="0" t="0" r="0" b="0"/>
                  <wp:wrapNone/>
                  <wp:docPr id="19" name="Host_Control__4"/>
                  <wp:cNvGraphicFramePr/>
                  <a:graphic xmlns:a="http://schemas.openxmlformats.org/drawingml/2006/main">
                    <a:graphicData uri="http://schemas.openxmlformats.org/drawingml/2006/picture">
                      <pic:pic xmlns:pic="http://schemas.openxmlformats.org/drawingml/2006/picture">
                        <pic:nvPicPr>
                          <pic:cNvPr id="19" name="Host_Control__4"/>
                          <pic:cNvPicPr/>
                        </pic:nvPicPr>
                        <pic:blipFill>
                          <a:blip r:embed="rId4"/>
                          <a:stretch>
                            <a:fillRect/>
                          </a:stretch>
                        </pic:blipFill>
                        <pic:spPr>
                          <a:xfrm>
                            <a:off x="0" y="0"/>
                            <a:ext cx="1143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1430" cy="172085"/>
                  <wp:effectExtent l="0" t="0" r="0" b="0"/>
                  <wp:wrapNone/>
                  <wp:docPr id="20" name="Host_Control__8"/>
                  <wp:cNvGraphicFramePr/>
                  <a:graphic xmlns:a="http://schemas.openxmlformats.org/drawingml/2006/main">
                    <a:graphicData uri="http://schemas.openxmlformats.org/drawingml/2006/picture">
                      <pic:pic xmlns:pic="http://schemas.openxmlformats.org/drawingml/2006/picture">
                        <pic:nvPicPr>
                          <pic:cNvPr id="20" name="Host_Control__8"/>
                          <pic:cNvPicPr/>
                        </pic:nvPicPr>
                        <pic:blipFill>
                          <a:blip r:embed="rId4"/>
                          <a:stretch>
                            <a:fillRect/>
                          </a:stretch>
                        </pic:blipFill>
                        <pic:spPr>
                          <a:xfrm>
                            <a:off x="0" y="0"/>
                            <a:ext cx="1143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72085"/>
                  <wp:effectExtent l="0" t="0" r="0" b="0"/>
                  <wp:wrapNone/>
                  <wp:docPr id="21" name="Host_Control__8_SpCnt_1"/>
                  <wp:cNvGraphicFramePr/>
                  <a:graphic xmlns:a="http://schemas.openxmlformats.org/drawingml/2006/main">
                    <a:graphicData uri="http://schemas.openxmlformats.org/drawingml/2006/picture">
                      <pic:pic xmlns:pic="http://schemas.openxmlformats.org/drawingml/2006/picture">
                        <pic:nvPicPr>
                          <pic:cNvPr id="21" name="Host_Control__8_SpCnt_1"/>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72085"/>
                  <wp:effectExtent l="0" t="0" r="0" b="0"/>
                  <wp:wrapNone/>
                  <wp:docPr id="22" name="Host_Control__7"/>
                  <wp:cNvGraphicFramePr/>
                  <a:graphic xmlns:a="http://schemas.openxmlformats.org/drawingml/2006/main">
                    <a:graphicData uri="http://schemas.openxmlformats.org/drawingml/2006/picture">
                      <pic:pic xmlns:pic="http://schemas.openxmlformats.org/drawingml/2006/picture">
                        <pic:nvPicPr>
                          <pic:cNvPr id="22" name="Host_Control__7"/>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72085"/>
                  <wp:effectExtent l="0" t="0" r="0" b="0"/>
                  <wp:wrapNone/>
                  <wp:docPr id="23" name="Host_Control__6"/>
                  <wp:cNvGraphicFramePr/>
                  <a:graphic xmlns:a="http://schemas.openxmlformats.org/drawingml/2006/main">
                    <a:graphicData uri="http://schemas.openxmlformats.org/drawingml/2006/picture">
                      <pic:pic xmlns:pic="http://schemas.openxmlformats.org/drawingml/2006/picture">
                        <pic:nvPicPr>
                          <pic:cNvPr id="23" name="Host_Control__6"/>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72085"/>
                  <wp:effectExtent l="0" t="0" r="0" b="0"/>
                  <wp:wrapNone/>
                  <wp:docPr id="24" name="Host_Control__5"/>
                  <wp:cNvGraphicFramePr/>
                  <a:graphic xmlns:a="http://schemas.openxmlformats.org/drawingml/2006/main">
                    <a:graphicData uri="http://schemas.openxmlformats.org/drawingml/2006/picture">
                      <pic:pic xmlns:pic="http://schemas.openxmlformats.org/drawingml/2006/picture">
                        <pic:nvPicPr>
                          <pic:cNvPr id="24" name="Host_Control__5"/>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72085"/>
                  <wp:effectExtent l="0" t="0" r="0" b="0"/>
                  <wp:wrapNone/>
                  <wp:docPr id="25" name="Host_Control__4_SpCnt_1"/>
                  <wp:cNvGraphicFramePr/>
                  <a:graphic xmlns:a="http://schemas.openxmlformats.org/drawingml/2006/main">
                    <a:graphicData uri="http://schemas.openxmlformats.org/drawingml/2006/picture">
                      <pic:pic xmlns:pic="http://schemas.openxmlformats.org/drawingml/2006/picture">
                        <pic:nvPicPr>
                          <pic:cNvPr id="25" name="Host_Control__4_SpCnt_1"/>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72085"/>
                  <wp:effectExtent l="0" t="0" r="0" b="0"/>
                  <wp:wrapNone/>
                  <wp:docPr id="26" name="Host_Control__3"/>
                  <wp:cNvGraphicFramePr/>
                  <a:graphic xmlns:a="http://schemas.openxmlformats.org/drawingml/2006/main">
                    <a:graphicData uri="http://schemas.openxmlformats.org/drawingml/2006/picture">
                      <pic:pic xmlns:pic="http://schemas.openxmlformats.org/drawingml/2006/picture">
                        <pic:nvPicPr>
                          <pic:cNvPr id="26" name="Host_Control__3"/>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72085"/>
                  <wp:effectExtent l="0" t="0" r="0" b="0"/>
                  <wp:wrapNone/>
                  <wp:docPr id="27" name="Host_Control__2_SpCnt_1"/>
                  <wp:cNvGraphicFramePr/>
                  <a:graphic xmlns:a="http://schemas.openxmlformats.org/drawingml/2006/main">
                    <a:graphicData uri="http://schemas.openxmlformats.org/drawingml/2006/picture">
                      <pic:pic xmlns:pic="http://schemas.openxmlformats.org/drawingml/2006/picture">
                        <pic:nvPicPr>
                          <pic:cNvPr id="27" name="Host_Control__2_SpCnt_1"/>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72085"/>
                  <wp:effectExtent l="0" t="0" r="0" b="0"/>
                  <wp:wrapNone/>
                  <wp:docPr id="28" name="Host_Control__1_SpCnt_1"/>
                  <wp:cNvGraphicFramePr/>
                  <a:graphic xmlns:a="http://schemas.openxmlformats.org/drawingml/2006/main">
                    <a:graphicData uri="http://schemas.openxmlformats.org/drawingml/2006/picture">
                      <pic:pic xmlns:pic="http://schemas.openxmlformats.org/drawingml/2006/picture">
                        <pic:nvPicPr>
                          <pic:cNvPr id="28" name="Host_Control__1_SpCnt_1"/>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1430" cy="172085"/>
                  <wp:effectExtent l="0" t="0" r="0" b="0"/>
                  <wp:wrapNone/>
                  <wp:docPr id="29" name="Host_Control__7_SpCnt_1"/>
                  <wp:cNvGraphicFramePr/>
                  <a:graphic xmlns:a="http://schemas.openxmlformats.org/drawingml/2006/main">
                    <a:graphicData uri="http://schemas.openxmlformats.org/drawingml/2006/picture">
                      <pic:pic xmlns:pic="http://schemas.openxmlformats.org/drawingml/2006/picture">
                        <pic:nvPicPr>
                          <pic:cNvPr id="29" name="Host_Control__7_SpCnt_1"/>
                          <pic:cNvPicPr/>
                        </pic:nvPicPr>
                        <pic:blipFill>
                          <a:blip r:embed="rId4"/>
                          <a:stretch>
                            <a:fillRect/>
                          </a:stretch>
                        </pic:blipFill>
                        <pic:spPr>
                          <a:xfrm>
                            <a:off x="0" y="0"/>
                            <a:ext cx="1143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1430" cy="172085"/>
                  <wp:effectExtent l="0" t="0" r="0" b="0"/>
                  <wp:wrapNone/>
                  <wp:docPr id="30" name="Host_Control__6_SpCnt_1"/>
                  <wp:cNvGraphicFramePr/>
                  <a:graphic xmlns:a="http://schemas.openxmlformats.org/drawingml/2006/main">
                    <a:graphicData uri="http://schemas.openxmlformats.org/drawingml/2006/picture">
                      <pic:pic xmlns:pic="http://schemas.openxmlformats.org/drawingml/2006/picture">
                        <pic:nvPicPr>
                          <pic:cNvPr id="30" name="Host_Control__6_SpCnt_1"/>
                          <pic:cNvPicPr/>
                        </pic:nvPicPr>
                        <pic:blipFill>
                          <a:blip r:embed="rId4"/>
                          <a:stretch>
                            <a:fillRect/>
                          </a:stretch>
                        </pic:blipFill>
                        <pic:spPr>
                          <a:xfrm>
                            <a:off x="0" y="0"/>
                            <a:ext cx="1143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1430" cy="172085"/>
                  <wp:effectExtent l="0" t="0" r="0" b="0"/>
                  <wp:wrapNone/>
                  <wp:docPr id="31" name="Host_Control__5_SpCnt_1"/>
                  <wp:cNvGraphicFramePr/>
                  <a:graphic xmlns:a="http://schemas.openxmlformats.org/drawingml/2006/main">
                    <a:graphicData uri="http://schemas.openxmlformats.org/drawingml/2006/picture">
                      <pic:pic xmlns:pic="http://schemas.openxmlformats.org/drawingml/2006/picture">
                        <pic:nvPicPr>
                          <pic:cNvPr id="31" name="Host_Control__5_SpCnt_1"/>
                          <pic:cNvPicPr/>
                        </pic:nvPicPr>
                        <pic:blipFill>
                          <a:blip r:embed="rId4"/>
                          <a:stretch>
                            <a:fillRect/>
                          </a:stretch>
                        </pic:blipFill>
                        <pic:spPr>
                          <a:xfrm>
                            <a:off x="0" y="0"/>
                            <a:ext cx="1143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1430" cy="172085"/>
                  <wp:effectExtent l="0" t="0" r="0" b="0"/>
                  <wp:wrapNone/>
                  <wp:docPr id="32" name="Host_Control__3_SpCnt_1"/>
                  <wp:cNvGraphicFramePr/>
                  <a:graphic xmlns:a="http://schemas.openxmlformats.org/drawingml/2006/main">
                    <a:graphicData uri="http://schemas.openxmlformats.org/drawingml/2006/picture">
                      <pic:pic xmlns:pic="http://schemas.openxmlformats.org/drawingml/2006/picture">
                        <pic:nvPicPr>
                          <pic:cNvPr id="32" name="Host_Control__3_SpCnt_1"/>
                          <pic:cNvPicPr/>
                        </pic:nvPicPr>
                        <pic:blipFill>
                          <a:blip r:embed="rId4"/>
                          <a:stretch>
                            <a:fillRect/>
                          </a:stretch>
                        </pic:blipFill>
                        <pic:spPr>
                          <a:xfrm>
                            <a:off x="0" y="0"/>
                            <a:ext cx="1143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lang w:val="en-US" w:eastAsia="zh-CN" w:bidi="ar"/>
              </w:rPr>
              <w:t>广告经营者、广告发布者未按照国家有关规定建立、健全广告业务管理制度</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同时具备以下条件：1初次违法；2.未建立健全业务管理制度但已实施登记、审核、建档；3.立即自行改正或在行政机关责令改正的期限内改正；4.未造成实际危害后果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《广告法》 第三十四条：广告经营者、广告发布者应当按照国家有关规定，建立、健全广告业务的承接登记、审核、档案管理制度。 第六十条：违反本法第三十四条规定，广告经营者、广告发布者未按照国家有关规定建立、健全广告业务管理制度的，或者未对广告内容进行核对的，由市场监督管理部门责令改正，可以处五万元以下的罚款。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发布医疗广告的内容超出《医疗广告管理办法》第六条限定的项目</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同时具备以下条件：1.初次违法；2.超出项目不属于《医疗广告管理办法》第七条所禁止情形之一；3.立即自行改正或在行政机关责令改正的期限内改正；4.未造成实际危害后果。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广告管理办法》第六条：医疗广告内容仅限于以下项目：（一）医疗机构第一名称；（二）医疗机构地址；（三）所有制形式；（四）医疗机构类别；（五）诊疗科目；（六）床位数；（七）接诊时间；（八）联系电话。</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（一）至（六）项发布的内容必须与卫生行政部门、中医药管理部门核发的《医疗机构执业许可证》或其副本载明的内容一致。  第七条：医疗广告的表现形式不得含有以下情形：（一）涉及医疗技术、诊疗方法、疾病名称、药物的；（二）保证治愈或者隐含保证治愈的； （三）宣传治愈率、有效率等诊疗效果的；（四）淫秽、迷信、荒诞的；（五）贬低他人的；（六）利用患者、卫生技术人员、医学教育科研机构及人员以及其他社会社团、组织的名义、形象作证明的；（七）使用解放军和武警部队名义的；（八）法律、行政法规规定禁止的其他情形。  第二十二条：工商行政管理机关对违反本办法规定的广告主、广告经营者、广告发布者依据《广告法》、《反不正当竞争法》予以处罚，对情节严重，造成严重后果的，可以并处一至六个月暂停发布医疗广告、直至取消广告经营者、广告发布者的医疗广告经营和发布资格的处罚。法律法规没有规定的，工商行政管理机关应当对负有责任的广告主、广告经营者、广告发布者给予警告或者处以一万元以上三万元以下的罚款；医疗广告内容涉嫌虚假的，工商行政管理机关可根据需要会同卫生行政部门、中医药管理部门作出认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虚构合同主体资格或者盗用、冒用他人名义订立合同；经营者采用格式条款与消费者订立合同未依法告知消费者有重大利害关系的内容，并按照消费者的要求予以说明；利用格式条款等方式作出减轻或者免除自身责任的规定；利用格式条款等方式作出加重消费者责任、排除或者限制消费者权利的规定；利用格式条款并借助技术手段强制交易；未包括《中华人民共和国民法典》第四百七十条第一款规定的主要内容，并明确双方的主要权利和义务。</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同时具备以下条件：1.合同违法行为轻微；2.未造成实际危害后果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《合同行政监督管理办法》第十八条 经营者违反本办法第五条、第六条第一款、第七条、第八条、第九条、第十二条规定，法律、行政法规有规定的，依照其规定；没有规定的，由县级以上市场监督管理部门责令限期改正，给予警告，并可以处十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第十九条 合同违法行为轻微并及时改正，没有造成危害后果的，不予行政处罚；主动消除或者减轻危害后果的，从轻或者减轻行政处罚。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商标印制档案及商标标识出入库台帐建档不规范，存查期不足两年</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同时具备以下条件：1.初次违法；2.立即自行改正或在行政机关责令改正的期限内改正；3.已履行法定收集义务及登记；4.未造成实际危害后果。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商标印制管理办法》第八条第二款：商标标识印制完毕，商标印制单位应当在15天内提取标识样品，连同《商标印制业务登记表》、《商标注册证》复印件、商标使用许可合同复印件、商标印制授权书复印件等一并造册存档。　第十条：商标印制档案及商标标识出入库台帐应当存档备查，存查期为两年。  第十一条：商标印制单位违反本办法第七条至第十条规定的，由所在地工商行政管理局责令其限期改正，并视其情节予以警告，处以非法所得额三倍以下的罚款，但最高不超过三万元，没有违法所得的，可以处以一万元以下的罚款。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电子商务平台经营者未要求申请进入平台销售商品或者提供服务的经营者提交其身份、地址、联系方式、行政许可等真实信息，进行核验、登记，建立登记档案，并定期核验更新</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电子商务法》第二十七条：电子商务平台经营者应当要求申请进入平台销售商品或者提供服务的经营者提交其身份、地址、联系方式、行政许可等真实信息，进行核验、登记，建立登记档案，并定期核验更新。　　电子商务平台经营者为进入平台销售商品或者提供服务的非经营用户提供服务，应当遵守本节有关规定。  第八十条：电子商务平台经营者有下列行为之一的，由有关主管部门责令限期改正；逾期不改正的，处二万元以上十万元以下的罚款；情节严重的，责令停业整顿，并处十万元以上五十万元以下的罚款：（一）不履行本法第二十七条规定的核验、登记义务的；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电子商务平台经营者未按规定向市场监督管理部门报送平台内经营者的身份信息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spacing w:after="160" w:afterAutospacing="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《中华人民共和国电子商务法》第二十八条　电子商务平台经营者应当按照规定向市场监督管理部门报送平台内经营者的身份信息，提示未办理市场主体登记的经营者依法办理登记，并配合市场监督管理部门，针对电子商务的特点，为应当办理市场主体登记的经营者办理登记提供便利。  第八十条　电子商务平台经营者有下列行为之一的，由有关主管部门责令限期改正；逾期不改正的，处二万元以上十万元以下的罚款；情节严重的，责令停业整顿，并处十万元以上五十万元以下的罚款：（二）不按照本法第二十八条规定向市场监督管理部门、税务部门报送有关信息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法律、行政法规对前款规定的违法行为的处罚另有规定的，依照其规定。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电子商务平台经营者未记录、保存平台上发布的商品和服务信息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同时具备以下条件：1.首次被发现实施此类违法行为；2.立即自行改正或在行政机关责令改正的期限内改正。3. 未造成实际危害后果。4.法律、行政法规对该违法行为的处罚没有其他规定</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电子商务法》第三十一条：电子商务平台经营者应当记录、保存平台上发布的商品和服务信息、交易信息，并确保信息的完整性、保密性、可用性。商品和服务信息、交易信息保存时间自交易完成之日起不少于三年；法律、行政法规另有规定的，依照其规定。  第八十条：电子商务平台经营者有下列行为之一的，由有关主管部门责令限期改正；逾期不改正的，处二万元以上十万元以下的罚款；情节严重的，责令停业整顿，并处十万元以上五十万元以下的罚款：（四）不履行本法第三十一条规定的商品和服务信息、交易信息保存义务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法律、行政法规对前款规定的违法行为的处罚另有规定的，依照其规定。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对平台内经营者实施侵犯知识产权行为未依法采取必要措施的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spacing w:after="160" w:afterAutospacing="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同时具备以下条件：1.初次违法；2.立即自行改正或在行政机关责令改正的期限内改正；3.情节显著轻微，未造成实际危害后果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《中华人民共和国电子商务法》第四十二条：知识产权权利人认为其知识产权受到侵害的，有权通知电子商务平台经营者采取删除、屏蔽、断开链接、终止交易和服务等必要措施。... 电子商务平台经营者接到通知后，应当及时采取必要措施，并将该通知转送平台内经营者；...第四十五条：电子商务平台经营者知道或者应当知道平台内经营者侵犯知识产权的，应当采取删除、屏蔽、断开链接、终止交易和服务等必要措施；...第八十四条：电子商务平台经营者违反本法第四十二条、第四十五条规定，对平台内经营者实施侵犯知识产权行为未依法采取必要措施的，由有关知识产权行政部门责令限期改正；逾期不改正的，处五万元以上五十万元以下的罚款；情节严重的，处五十万元以上二百万元以下的罚款。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网络食品交易第三方平台提供者和通过自建网站交易的食品生产经营者不具备数据备份、故障恢复等技术条件，不能保障网络食品交易数据和资料的可靠性与安全性</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《网络食品安全违法行为查处办法》第九条：网络食品交易第三方平台提供者和通过自建网站交易的食品生产经营者应当具备数据备份、故障恢复等技术条件，保障网络食品交易数据和资料的可靠性与安全性。 第三十条：违反本办法第九条规定，网络食品交易第三方平台提供者和通过自建网站交易的食品生产经营者不具备数据备份、故障恢复等技术条件，不能保障网络食品交易数据和资料的可靠性与安全性的，由县级以上地方食品药品监督管理部门责令改正，给予警告；拒不改正的，处3万元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网络食品交易第三方平台提供者未按要求建立并公开相关制度</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安全违法行为查处办法》第十条：网络食品交易第三方平台提供者应当建立入网食品生产经营者审查登记、食品安全自查、食品安全违法行为制止及报告、严重违法行为平台服务停止、食品安全投诉举报处理等制度，并在网络平台上公开。  第三十一条：违反本办法第十条规定，网络食品交易第三方平台提供者未按要求建立入网食品生产经营者审查登记、食品安全自查、食品安全违法行为制止及报告、严重违法行为平台服务停止、食品安全投诉举报处理等制度的或者未公开以上制度的，由县级以上地方食品药品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网络食品交易第三方平台提供者未建立入网食品生产经营者档案、记录入网食品生产经营者相关信息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《网络食品安全违法行为查处办法》第十二条：网络食品交易第三方平台提供者应当建立入网食品生产经营者档案，记录入网食品生产经营者的基本情况、食品安全管理人员等信息。  第三十三条：违反本办法第十二条规定，网络食品交易第三方平台提供者未建立入网食品生产经营者档案、记录入网食品生产经营者相关信息的，由县级以上地方食品药品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网络食品交易第三方平台提供者未按要求记录、保存食品交易信息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安全违法行为查处办法》第十三条：网络食品交易第三方平台提供者和通过自建网站交易食品的生产经营者应当记录、保存食品交易信息，保存时间不得少于产品保质期满后6个月；没有明确保质期的，保存时间不得少于2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四条：违反本办法第十三条规定，网络食品交易第三方平台提供者未按要求记录、保存食品交易信息的，由县级以上地方食品药品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网络食品交易第三方平台提供者未设置网络食品安全管理机构或专职食品安全管理人员对平台上食品经营行为及信息进行检查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安全违法行为查处办法》第十四条：网络食品交易第三方平台提供者应当设置专门的网络食品安全管理机构或者指定专职食品安全管理人员，对平台上的食品经营行为及信息进行检查。网络食品交易第三方平台提供者发现存在食品安全违法行为的，应当及时制止，并向所在地县级食品药品监督管理部门报告。 第三十五条：违反本办法第十四条规定，网络食品交易第三方平台提供者未设置专门的网络食品安全管理机构或者指定专职食品安全管理人员对平台上的食品安全经营行为及信息进行检查的，由县级以上地方食品药品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入网食品生产经营者网上刊载的食品名称、成分或配料表、产地、保质期等信息与食品标签或者标识不一致</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安全违法行为查处办法》第十七条：入网食品生产经营者不得从事下列行为：（一）网上刊载的食品名称、成分或者配料表、产地、保质期、贮存条件，生产者名称、地址等信息与食品标签或者标识不一致；　第三十九条：入网食品生产经营者违反本办法第十七条禁止性规定的，由县级以上地方食品药品监督管理部门责令改正，给予警告；拒不改正的，处5000元以上3万元以下罚款。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入网食品生产经营者网上刊载的非保健食品信息明示或暗示具有保健功能或网上刊载的保健食品注册证书备案等信息与注册备案信息不一致</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安全违法行为查处办法》第十七条：入网食品生产经营者不得从事下列行为：...（二）网上刊载的非保健食品信息明示或者暗示具有保健功能；网上刊载的保健食品的注册证书或者备案凭证等信息与注册或者备案信息不一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第三十九条：入网食品生产经营者违反本办法第十七条禁止性规定的，由县级以上地方食品药品监督管理部门责令改正，给予警告；拒不改正的，处5000元以上3万元以下罚款。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入网食品生产经营者未按要求公示特殊食品相关信息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食品安全违法行为查处办法》第十九条第一款：入网销售保健食品、特殊医学用途配方食品、婴幼儿配方乳粉的食品生产经营者，除依照本办法第十八条的规定公示相关信息外，还应当依法公示产品注册证书或者备案凭证，持有广告审查批准文号的还应当公示广告审查批准文号，并链接至食品药品监督管理部门网站对应的数据查询页面。保健食品还应当显著标明“本品不能代替药物”。  第四十一条第一款：违反本办法第十九条第一款规定，食品生产经营者未按要求公示特殊食品相关信息的，由县级以上地方食品药品监督管理部门责令改正，给予警告；拒不改正的，处5000元以上3万元以下罚款。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认证机构自行制定的认证标志的式样、文字和名称，与国家推行的认证标志相同或者近似，或者妨碍社会管理，或者有损社会道德风尚的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同时具备以下条件：1.初次违法；2.立即自行停止使用或行政机关责令改正的期限内停止使用；3.未造成实际危害后果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《中华人民共和国认证认可条例》第二十五条 认证机构自行制定的认证标志的式样、文字和名称，不得违反法律、行政法规的规定，不得与国家推行的认证标志相同或者近似，不得妨碍社会管理，不得有损社会道德风尚。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第六十条　认证机构有下列情形之一的，责令限期改正；逾期未改正的，处2万元以上10万元以下的罚款：...(二)自行制定的认证标志的式样、文字和名称，与国家推行的认证标志相同或者近似，或者妨碍社会管理，或者有损社会道德风尚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认证机构未公开认证基本规范、认证规则、收费标准等信息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《中华人民共和国认证认可条例》第二十一条　认证机构应当公开认证基本规范、认证规则、收费标准等信息。 第六十一条：认证机构有下列情形之一的，责令限期改正；逾期未改正的，处2万元以上10万元以下的罚款：...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(三)未公开认证基本规范、认证规则、收费标准等信息的；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认证机构未向社会公布认证标志的式样（包括使用的符号）、文字、名称、应用范围、识别方法、使用方法等信息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《认证证书和认证标志管理办法》第十六条：认证机构应当向社会公布认证标志的式样（包括使用的符号）、文字、名称、应用范围、识别方法、使用方法等信息。  第三十条：认证机构违反本办法第十六条、第二十三条规定，未向社会公布相关信息的，责令限期改正；逾期不改的，予以警告。</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认证机构未向社会公布本机构认证证书和认证标志使用等相关信息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《认证证书和认证标志管理办法》第二十三条　认证机构应当公布本机构认证证书和认证标志使用等相关信息，以便于公众进行查询和社会监督。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第三十条　认证机构违反本办法第十六条、第二十三条规定，未向社会公布相关信息的，责令限期改正；逾期不改的，予以警告。</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认证机构、获证产品的认证委托人拒绝接受国家认监委或者地方认证监管部门监督检查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同时具备以下条件：1.初次违法；2.行政机关责令改正期限内改正；3.情节轻微未对检查结果产生实质影响</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有机产品认证管理办法》第三十八条：地方认证监管部门应当按照各自职责,依法对所辖区域的有机产品认证活动进行监督检查,查处获证有机产品生产、加工、销售活动中的违法行为。...地方各级质量技术监督部门负责对中资认证机构、在境内生产加工且在境内销售的有机产品认证、生产、加工、销售活动进行监督检查。第五十六条 认证机构、获证产品的认证委托人拒绝接受国家认监委或者地方认证监管部门监督检查的，责令限期改正；逾期未改正的，处3万元以下罚款。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认证机构、获证产品的认证委托人拒绝接受国家认监委或者地方认证监管部门监督检查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同时具备以下条件：1.初次违法；2.行政机关责令改正期限内改正；3.情节轻微未对检查结果产生实质影响</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有机产品认证管理办法》第三十八条：地方认证监管部门应当按照各自职责,依法对所辖区域的有机产品认证活动进行监督检查,查处获证有机产品生产、加工、销售活动中的违法行为。...地方各级质量技术监督部门负责对中资认证机构、在境内生产加工且在境内销售的有机产品认证、生产、加工、销售活动进行监督检查。第五十六条 认证机构、获证产品的认证委托人拒绝接受国家认监委或者地方认证监管部门监督检查的，责令限期改正；逾期未改正的，处3万元以下罚款。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生产者、销售者拒绝接受依法进行的产品质量监督检查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《中华人民共和国产品质量法》第十六条：对依法进行的产品质量监督检查，生产者、销售者不得拒绝。 第五十六条：拒绝接受依法进行的产品质量监督检查的，给予警告，责令改正；拒不改正的，责令停业整顿；情节特别严重的，吊销营业执照。</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产品标识不符合《中华人民共和国产品质量法》第二十七条规定</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产品质量法》第二十七条：产品或者其包装上的标识必须真实，并符合下列要求:...(四)限期使用的产品，应当在显著位置清晰地标明生产日期和安全使用期或者失效日期;(五)使用不当，容易造成产品本身损坏或者可能危及人身、财产安全的产品，应当有警示标志或者中文警示说明。  第五十四条：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对在拆解或者处置过程中可能造成环境污染的电器电子等产品，设计使用列入国家禁止使用名录的有毒有害物质</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《中华人民共和国循环经济促进法》第十九条第二款 对在拆解和处置过程中可能造成环境污染的电器电子等产品，不得设计使用国家禁止使用的有毒有害物质。禁止在电器电子等产品中使用的有毒有害物质名录，由国务院循环经济发展综合管理部门会同国务院生态环境等有关主管部门制定。  第五十一条  违反本法规定，对在拆解或者处置过程中可能造成环境污染的电器电子等产品，设计使用列入国家禁止使用名录的有毒有害物质的，由县级以上地方人民政府市场监督管理部门责令限期改正；逾期不改正的，处二万元以上二十万元以下的罚款；情节严重的，依法吊销营业执照。</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汽车产品生产者未按规定更新备案信息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《缺陷汽车产品召回管理条例实施办法》第十一条第二款：生产者依法备案的信息发生变化的，应当在20个工作日内向质检总局更新。第三十五条 生产者违反本办法规定，有下列行为之一的，责令限期改正；逾期未改正的，处以1万元以上3万元以下罚款（一）未按规定更新备案信息的；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汽车产品生产者未按规定提交调查分析结果</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《缺陷汽车产品召回管理条例实施办法》第十四条第一款 生产者获知汽车产品可能存在缺陷的，应当立即组织调查分析，并将调查分析结果报告质检总局。 第三十五条 生产者违反本办法规定，有下列行为之一的，责令限期改正；逾期未改正的，处以1万元以上3万元以下罚款...（二）未按规定提交调查分析结果的；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汽车产品生产者未按规定保存汽车产品召回记录</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《缺陷汽车产品召回管理条例实施办法》 第二十九条 生产者应当保存已实施召回的汽车产品召回记录，保存期不得少于10年。第三十五条 生产者违反本办法规定，有下列行为之一的，责令限期改正；逾期未改正的，处以1万元以上3万元以下罚款...（三）未按规定保存汽车产品召回记录的；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汽车产品生产者未按规定发布缺陷汽车产品信息和召回信息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《缺陷汽车产品召回管理条例实施办法》第二十六条 生产者应当自召回计划备案之日起5个工作日内，通过报刊、网站、广播、电视等便于公众知晓的方式发布缺陷汽车产品信息和实施召回的相关信息，30个工作日内以挂号信等有效方式，告知车主汽车产品存在的缺陷、避免损害发生的应急处置方法和生产者消除缺陷的措施等事项。第三十五条 生产者违反本办法规定，有下列行为之一的，责令限期改正；逾期未改正的，处以1万元以上3万元以下罚款...（四）未按规定发布缺陷汽车产品信息和召回信息的。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与汽车产品缺陷有关的零部件生产者违反《缺陷汽车产品召回管理条例实施办法》，不配合缺陷调查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《缺陷汽车产品召回管理条例实施办法》 第十九条：与汽车产品缺陷有关的零部件生产者应当配合缺陷调查，提供调查需要的有关资料。  第三十六条：零部件生产者违反本办法规定不配合缺陷调查的，责令限期改正；逾期未改正的，处以1万元以上3万元以下罚款。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纤维制品未按照有关规定对产品质量检验合格证明、生产者名称和地址、产品名称、规格、等级、产品标准编号、国家规定的其他内容进行标注标识</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《纤维制品质量监督管理办法》第十四条 纤维制品应当按照有关规定标注标识，包括：（一）产品质量检验合格证明；（二）生产者名称和地址；（三）产品名称、规格、等级、产品标准编号；（四）国家规定的其他内容。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第三十三条 违反本办法第十四条、第十五条、第十六条，未按有关规定标注标识的，依据《中华人民共和国产品质量法》第五十四条进行处罚。     《中华人民共和国产品质量法》                                                                                                       第五十四条 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生活用絮用纤维制品未标注有符合国家标准规定要求的标识</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纤维制品质量监督管理办法》第十五条：生活用絮用纤维制品应当标注有符合国家标准规定要求的标识；其中以纤维制品下脚或其再加工纤维作为铺垫物或填充物原料的，应当按照规定在标识中对所用原料予以明示说明。非生活用絮用纤维制品除依法标注标识外，应当按照国家规定在显著位置加注“非生活用品”警示。  第三十三条：违反本办法第十四条、第十五条、第十六条，未按有关规定标注标识的，依据《中华人民共和国产品质量法》第五十四条进行处罚。                         《中华人民共和国产品质量法》第五十四条：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毛绒纤维经营者对所收购的毛绒纤维不按净毛绒计算公量</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同时具备以下条件：1.初次违法；2.立即自行改正或在行政机关责令改正期限内改正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《毛绒纤维质量监督管理办法》第十四条：毛绒纤维经营者收购毛绒纤维，应当符合下列要求：(五)对所收购的毛绒纤维按净毛绒计算公量。 第二十条：违反本办法第十四条第(五)项规定的，由纤维质量监督机构责令改正，拒不改正的，处以3万元以下罚款。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毛绒纤维经营者加工毛绒纤维不具备符合规定的质量标准、检验设备和环境、检验人员、加工机械和加工场所、质量保证制度以及国家规定的其他条件</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毛绒纤维质量监督管理办法》第十五条第一款：毛绒纤维经营者从事毛绒纤维加工活动，应当符合下列要求：(一)具备符合规定的质量标准、检验设备和环境、检验人员、加工机械和加工场所、质量保证制度以及国家规定的其他条件。 第二十一条第一款：毛绒纤维经营者在加工毛绒纤维活动中，违反本办法第十五条第一款第(一)项规定的，由纤维质量监督机构责令改正，拒不改正的，处以1万元以下的罚款。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毛绒纤维经营者批量销售未经过加工的毛绒纤维时不按净毛绒计算公量</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同时具备以下条件：1.初次违法；2.立即自行改正或在行政机关责令改正期限内改正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《毛绒纤维质量监督管理办法》第十六条第一款：毛绒纤维经营者批量销售未经过加工的毛绒纤维(以下统称原毛绒)应当符合以下要求：(四)对所销售的毛绒纤维按净毛绒计算公量。 第二十二条：违反本办法第十六条第一款第(四)项规定的，由纤维质量监督机构责令改正，拒不改正的,处以3万元以下的罚款。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山羊绒纤维经营者批量销售山羊绒未向专业纤维检验机构申请检验</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同时具备以下条件：1.初次违法；2.立即补办检验</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毛绒纤维质量监督管理办法》第九条：毛绒纤维经营者销售未实施公证检验的批量山羊绒，须向省、自治区、直辖市专业纤维检验机构(以下简称省级专业纤维检验机构)或者其指定的地(市)级以上专业纤维检验机构申请检验。 第十六条第三款：山羊绒纤维经营者批量销售山羊绒的，应当符合本办法第九条的规定。 第二十二条：违反本办法第十六条第三款规定的，由纤维质量监督机构责令补办检验，对拒不补办的，处以3万元以下的罚款。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商品条码编码、设计及印刷不符合国家标准的规定</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 2.立即自行改正或在行政机关责令改正的期限内改正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《四川省商品条码管理办法》第十五条第一款：商品条码的编码、设计及印刷应当符合有关国家标准的规定。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第三十三条　有下列行为之一的，由县级以上质量技术监督行政部门责令限期改正；逾期不改的，处以500元以上3000元以下罚款。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（一）违反第十五条第一款规定商品条码编码、设计不符合国家标准。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经销企业销售印有未经核准注册（含备案）的商品条码或者伪造、冒用商品条码以及将其他形式条码冒充商品条码的商品。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同时具备以下条件：1.针对同品类商品条码为初次违法行为；2.有证据证明不知道其销售的商品印有不符合要求的商品条码； 3.已履行法律法规规定的相关查验义务； 4.商品合法来源并能够如实说明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《四川省商品条码管理办法》第二十五条：经销企业不得销售印有未经核准注册（含备案）的商品条码或者伪造、冒用商品条码以及将其他形式条码冒充商品条码的商品。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第三十五条：违反本办法....第二十五条规定的，由县级以上质量技术监督行政部门依照国家《商品条码管理办法》第三十四条至第三十六条规定予以处罚。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第三十六条：经销的商品印有未经核准注册、备案或者伪造的商品条码的，责令其改正，处以10000元以下罚款。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特种设备产品、部件或试制的特种设备新产品、新部件以及特种设备采用的新材料，按照安全技术规范要求需要通过型式试验进行安全性验证而未进行型式试验的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《中华人民共和国特种设备安全法》第二十条第二款 特种设备产品、部件或者试制的特种设备新产品、新部件以及特种设备采用的新材料，按照安全技术规范的要求需要通过型式试验进行安全性验证的，应当经负责特种设备安全监督管理的部门核准的检验机构进行型式试验。 第七十六条 违反本法规定，未进行型式试验的，责令限期改正；逾期未改正的，处三万元以上三十万元以下罚款。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特种设备的制造、安装、改造、重大修理以及锅炉清洗过程，未经监督检验</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同时具备以下条件：1.初次违法；2.立即自行改正或在行政机关责令改正的期限内改正的；3.未造成实际危害后果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特种设备安全法》第二十五条：锅炉、压力容器、压力管道元件等特种设备的制造过程和锅炉、压力容器、压力管道、电梯、起重机械、客运索道、大型游乐设施的安装、改造、重大修理过程，应当经特种设备检验机构按照安全技术规范的要求进行监督检验；未经监督检验或者监督检验不合格的，不得出厂或者交付使用。 第四十四条第二款：从事锅炉清洗，应当按照安全技术规范的要求进行，并接受特种设备检验机构的监督检验。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七十九条：违反本法规定，特种设备的制造、安装、改造、重大修理以及锅炉清洗过程，未经监督检验的，责令限期改正；逾期未改正的，处五万元以上二十万元以下罚款；有违法所得的，没收违法所得；情节严重的，吊销生产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《特种设备安全监察条例》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第七十九条 锅炉、压力容器、压力管道元件、起重机械、大型游乐设施的制造过程和锅炉、压力容器、电梯、起重机械、客运索道、大型游乐设施的安装、改造、重大维修过程，以及锅炉清洗过程，未经国务院特种设备安全监督管理部门核准的检验检测机构按照安全技术规范的要求进行监督检验的，由特种设备安全监督管理部门责令改正，已经出厂的，没收违法生产、销售的产品，已经实施安装、改造、重大维修或者清洗的，责令限期进行监督检验，处5万元以上20万元以下罚款；有违法所得的，没收违法所得；情节严重的，撤销制造、安装、改造或者维修单位已经取得的许可，并由工商行政管理部门吊销其营业执照；触犯刑律的，对负有责任的主管人员和其他直接责任人员依照刑法关于生产、销售伪劣产品罪或者其他罪的规定，依法追究刑事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特种设备生产、经营、使用单位或者检验、检测机构拒不接受负责特种设备安全监督管理的部门依法实施的监督检查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《中华人民共和国特种设备安全法》第五十七条：负责特种设备安全监督管理的部门依照本法规定，对特种设备生产、经营、使用单位和检验、检测机构实施监督检查。  第九十五条：违反本法规定，特种设备生产、经营、使用单位或者检验、检测机构拒不接受负责特种设备安全监督管理的部门依法实施的监督检查的，责令限期改正；逾期未改正的，责令停产停业整顿，处二万元以上二十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未按照规定对电梯进行清洁、润滑、调整和检查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同时具备以下条件：1.初次违法；2.违法行为超过合理期限较短；3.立即自行改正或在行政机关责令改正后及时改正；4.未造成实际危害后果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《特种设备安全监察条例》第三十一条第二款:电梯应当至少每15日进行一次清洁、润滑、调整和检查。 第八十三条第一款第（八）项:特种设备使用单位有下列情形之一的，由特种设备安全监督管理部门责令限期改正；逾期未改正的，处2000元以上2万元以下罚款；情节严重的，责令停止使用或者停产停业整顿：...（八）未依照本条例第三十一条第二款的规定，对电梯进行清洁、润滑、调整和检查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 特种设备检验检测机构和检验检测人员利用检验检测工作故意刁难特种设备生产、使用单位</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种设备安全监察条例》第四十九条：特种设备检验检测机构和检验检测人员利用检验检测工作故意刁难特种设备生产、使用单位，特种设备生产、使用单位有权向特种设备安全监督管理部门投诉，接到投诉的特种设备安全监督管理部门应当及时进行调查处理。   第九十五条：特种设备检验检测机构和检验检测人员利用检验检测工作故意刁难特种设备生产、使用单位，由特种设备安全监督管理部门责令改正；拒不改正的，撤销其检验检测资格。</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电梯销售单位不提供相关技术资料</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同时具备以下条件：1.初次违法；2.立即自行改正或在行政机关责令改正的期限内改正；3.情节轻微，未造成实际危害后果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电梯安全监督管理办法》十一条：电梯销售单位应当建立并执行电梯检查验收和销售记录制度，销售的电梯应当符合安全技术规范及相关标准要求，随附其产品质量合格证明、安装及使用维护保养说明等相关技术资料，不得销售未取得制造许可资格的单位制造的电梯以及国家明令淘汰的电梯。 第三十四条：违反本办法第十一条规定，电梯销售单位不提供相关技术资料的，由负责电梯安全监督管理的部门责令限期改正;逾期未改正的,处以5000元以上10000元以下罚款。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电梯使用单位在电梯停用1年以上或者停用期超过1次定期检验周期时，未按规定封存电梯、设置警示标志和办理相关手续</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电梯安全监督管理办法》第十四条第二款:电梯停用1年以上或者停用期超过1次定期检验周期的，电梯使用单位应当封存电梯并设置警示标志，在30日内到原使用登记机关办理停用手续;重新启用的，应当办理启用手续。 第三十六条第一款:违反本办法规定，电梯使用单位有下列行为之一的,由负责电梯安全监督管理的部门责令限期改正;逾期未改正的,处以1000元以上5000元以下罚款：（一）电梯停用1年以上或者停用期超过1次定期检验周期，未按规定封存电梯、设置警示标志和办理相关手续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电梯使用单位未建立电梯使用安全管理制度</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《四川省电梯安全监督管理办法》第十五条第一款：电梯使用单位应当按照有关规定建立电梯使用安全管理制度和电梯安全技术档案，设置安全管理机构或者配备专兼职安全管理人员。  第三十六条第一款：违反本办法规定，电梯使用单位有下列行为之一的,由负责电梯安全监督管理的部门责令限期改正;逾期未改正的,处以1000元以上5000元以下罚款：...（二）未建立电梯使用安全管理制度的；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电梯使用单位变更时,原使用单位未按规定移交电梯安全技术档案</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电梯安全监督管理办法》第三十六条第一款：违反本办法规定，电梯使用单位有下列行为之一的,由负责电梯安全监督管理的部门责令限期改正;逾期未改正的,处以1000元以上5000元以下罚款：...（三）电梯使用单位变更时,未按规定移交电梯安全技术档案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电梯紧急报警装置不能正常使用</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同时具备以下条件：1.初次违法；2.立即自行改正或在行政机关责令改正的期限内改正；3.未对电梯使用人造成实际危害后果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电梯安全监督管理办法》第十九条第一款：电梯使用单位应当确保电梯紧急报警装置有效运行，即时响应乘客被困报警，做好安全指导工作，并在乘客被困报警后5分钟内通知维护保养单位采取措施实施救援。 第三十六条第一款：违反本办法规定，电梯使用单位有下列行为之一的,由负责电梯安全监督管理的部门责令限期改正;逾期未改正的,处以1000元以上5000元以下罚款；...（四）电梯紧急报警装置不能正常使用的。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发生乘客被困电梯轿厢未及时组织救援,导致乘客被困电梯轿厢内1小时以上</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同时具备以下条件：1.初次违法；2.立即自行改正或在行政机关责令改正的期限内改正；3.超过合理救援期限时间不长，未对电梯使用人造成实际危害后果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电梯安全监督管理办法》第十九条第一款：电梯使用单位应当确保电梯紧急报警装置有效运行，即时响应乘客被困报警，做好安全指导工作，并在乘客被困报警后5分钟内通知维护保养单位采取措施实施救援。 第三十六条第一款：违反本办法规定，电梯使用单位有下列行为之一的,由负责电梯安全监督管理的部门责令限期改正;逾期未改正的,处以1000元以上5000元以下罚款；...（五）发生乘客被困电梯轿厢未及时组织救援,导致乘客被困电梯轿厢内1小时以上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电梯检验、检测机构及其检验、检测人员未按照规定时限开展相应工作</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《四川省电梯安全监督管理办法》二十九条 电梯检验、检测机构应当自受理电梯检验、检测申请之日起10个工作日内安排检验、检测；检验、检测工作完成后，应当在10个工作日内出具检验、检测报告，并对检验、检测结果和鉴定结论负责。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第三十七条　违反本办法第二十九条规定，电梯检验、检测机构及其检验、检测人员未按照规定时限开展相应工作的，由负责电梯安全监督管理的部门责令限期改正；逾期未改正的，处以5000元以上10000元以下罚款；情节严重的，处以10000元以上20000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客运索道使用单位未按照规定开展应急救援演练</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《客运索道安全监督管理规定》第二十九条第二款：客运索道使用单位应当加强营救设备、急救物品的存放和管理，对救援人员定期进行专业培训，每年至少组织一次应急救援演练。  第三十六条：客运索道使用单位未按照本规定开展应急救援演练的，责令限期改正；逾期未改正的，处三万元罚款。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未在显著位置公示车用气瓶充装和使用的安全注意事项</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《四川省压缩天然气汽车安全管理办法》第十条：加气站生产经营活动应当符合以下规定：（四）在显著位置公示车用气瓶充装和使用的安全注意事项； 第三十八条：违反本办法第十条第四项或者第十一条第四项规定的，由县级以上质量监督管理部门责令改正，逾期不改的，处以1000元以上5000元以下罚款。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加气站充装驾驶和乘坐人员未离开车辆的车用气瓶</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《四川省压缩天然气汽车安全管理办法》第十一条：加气站应当执行车用气瓶充装安全技术规范，对有下列情形之一的车用气瓶禁止充装：（四）驾驶和乘坐人员未离开车辆的。 第三十八条：违反本办法第十条第四项或者第十一条第四项规定的，由县级以上质量监督管理部门责令改正，逾期不改的，处以1000元以上5000元以下罚款。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违反《中华人民共和国食品安全法》规定，未按要求进行食品贮存、运输和装卸</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同时具备以下条件：1.初次违法；2.立即自行改正或在行政机关责令改正期限内改正；3.未造成实际危害后果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三十三条：食品生产经营应当符合食品安全标准，并符合下列要求：（六）贮存、运输和装卸食品的容器、工具和设备应当安全、无害，保持清洁，防止食品污染，并符合保证食品安全所需的温度、湿度等特殊要求，不得将食品与有毒、有害物品一同贮存、运输；非食品生产经营者从事食品贮存、运输和装卸的，应当符合前款第六项的规定。 第一百三十二条：违反本法规定，未按要求进行食品贮存、运输和装卸的，由县级以上人民政府食品安全监督管理等部门按照各自职责分工责令改正，给予警告；拒不改正的，责令停产停业，并处一万元以上五万元以下罚款；情节严重的，吊销许可证。</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食品生产者名称、现有设备布局和工艺流程、主要生产设备设施等事项发生变化，需要变更食品生产许可证载明的许可事项，未按规定申请变更</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同时具备以下条件：1.初次违法； 2.立即自行改正或在行政机关责令改正后及时改正；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食品生产许可管理办法》第三十二条第一款：食品生产许可证有效期内，食品生产者名称、现有设备布局和工艺流程、主要生产设备设施、食品类别等事项发生变化，需要变更食品生产许可证载明的许可事项的，食品生产者应当在变化后10个工作日内向原发证的市场监督管理部门提出变更申请。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五十三条：违反本办法第三十二条第一款规定，食品生产许可证有效期内，食品生产者名称、现有设备布局和工艺流程、主要生产设备设施等事项发生变化，需要变更食品生产许可证载明的许可事项，未按规定申请变更的，由原发证的市场监督管理部门责令改正，给予警告；拒不改正的，处1万元以上3万元以下罚款。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食品生产许可证副本载明的同一食品类别内的事项发生变化，未按规定报告，或者终止食品生产，食品生产许可被撤回、撤销或者食品生产许可证被吊销，未按规定申请办理注销手续的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  2.立即自行改正或在行政机关责令改正后及时改正；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《食品生产许可管理办法》第三十二条第三款：食品生产许可证副本载明的同一食品类别内的事项发生变化的，食品生产者应当在变化后10个工作日内向原发证的市场监督管理部门报告。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第四十条第一款：食品生产者终止食品生产，食品生产许可被撤回、撤销，应当在20个工作日内向原发证的市场监督管理部门申请办理注销手续。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五十三条第三款：.....违反本办法第三十二条第三款、第四十条第一款规定，食品生产许可证副本载明的同一食品类别内的事项发生变化，食品生产者未按规定报告的，食品生产者终止食品生产，食品生产许可被撤回、撤销或者食品生产许可证被吊销，未按规定申请办理注销手续的，由原发证的市场监督管理部门责令改正；拒不改正的，给予警告，并处5000元以下罚款。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送餐人员未履行使用安全、无害的配送容器等义务</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同时具备以下条件：1.初次违法；2.立即自行改正或在行政机关责令改正期限内改正；3.未对消费者人体健康造成损害</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《网络餐饮服务食品安全监督管理办法》第十四条：送餐人员应当保持个人卫生，使用安全、无害的配送容器，保持容器清洁，并定期进行清洗消毒。送餐人员应当核对配送食品，保证配送过程食品不受污染。 第三十五条：违反本办法第十四条规定，送餐人员未履行使用安全、无害的配送容器等义务的，由县级以上地方食品药品监督管理部门对送餐人员所在单位按照食品安全法第一百三十二条的规定处罚。                                                                                             《中华人民共和国食品安全法》第一百三十二条：违反本法规定，未按要求进行食品贮存、运输和装卸的，由县级以上人民政府食品安全监督管理等部门按照各自职责分工责令改正，给予警告；拒不改正的，责令停产停业，并处一万元以上五万元以下罚款；情节严重的，吊销许可证。</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违反食品召回规定，未按规定履行相关报告义务</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同时具备以下条件：1.初次违法；2.立即自行改正或在行政机关责令改正期限内改正；3.未造成实际危害后果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食品召回管理办法》第十三条：根据食品安全风险的严重和紧急程度，食品召回分为三级：（一）一级召回：食用后已经或者可能导致严重健康损害甚至死亡的，食品生产者应当在知悉食品安全风险后24小时内启动召回，并向县级以上地方市场监督管理部门报告召回计划。（二）二级召回：食用后已经或者可能导致一般健康损害，食品生产者应当在知悉食品安全风险后48小时内启动召回，并向县级以上地方市场监督管理部门报告召回计划。（三）三级召回：标签、标识存在虚假标注的食品，食品生产者应当在知悉食品安全风险后72小时内启动召回，并向县级以上地方市场监督管理部门报告召回计划。标签、标识存在瑕疵，食用后不会造成健康损害的食品，食品生产者应当改正，可以自愿召回。 第四十条：食品生产经营者违反本办法第十三条、第二十四条第二款、第三十二条的规定，未按规定履行相关报告义务的，由市场监督管理部门责令改正，给予警告；拒不改正的，处二千元以上二万元以下罚款。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食品生产经营者未依法处置不安全食品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同时具备以下条件：1.初次违法；2.立即自行改正或在行政机关责令改正期限内改正；3.未造成实际危害后果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《食品召回管理办法》第二十三条第二款：食品生产经营者未依法处置不安全食品的，县级以上地方市场监督管理部门可以责令其依法处置不安全食品。 第四十一条：食品生产经营者违反本办法第二十三条第二款的规定，市场监督管理部门责令食品生产经营者依法处置不安全食品，食品生产经营者拒绝或者拖延履行的，由市场监督管理部门给予警告，并处二万元以上三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未按规定记录保存不安全食品停止生产经营、召回和处置情况</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同时具备以下条件：1.初次违法；2.立即自行改正或在行政机关责令改正期限内改正；3.未造成实际危害后果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《食品召回管理办法》第二十八条：食品生产经营者应当如实记录停止生产经营、召回和处置不安全食品的名称、商标、规格、生产日期、批次、数量等内容。记录保存期限不得少于2年。  第四十二条：食品生产经营者违反本办法第二十八条的规定，未按规定记录保存不安全食品停止生产经营、召回和处置情况的，由市场监督管理部门责令改正，给予警告；拒不改正的，处二千元以上二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乳制品生产企业、销售者在发生乳品质量安全事故后未报告、未处置</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 同时具备以下条件：1.初次违法；2.立即自行改正或在行政机关责令改正后及时改正；3.无隐匿、伪造、毁灭相关证据等违法行为；4.未造成严重后果。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乳品质量安全监督管理条例》第五条：发生乳品质量安全事故，应当依照有关法律、行政法规的规定及时报告、处理；造成严重后果或者恶劣影响的，对有关人民政府、有关部门负有领导责任的负责人依法追究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九条：奶畜养殖者、生鲜乳收购者、乳制品生产企业和销售者在发生乳品质量安全事故后未报告、处置的，由畜牧兽医、质量监督、工商行政管理、食品药品监督等部门依据各自职责，责令改正，给予警告；毁灭有关证据的，责令停产停业，并处10万元以上20万元以下罚款；造成严重后果的，由发证机关吊销许可证照；构成犯罪的，依法追究刑事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个人及家庭酿造的酒类进行销售</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《四川省酒类管理条例》第九条第三款：个人及家庭酿造的酒类，不得销售。 第三十七条：违反本条例第九条第三款规定，个人及家庭酿造的酒类进行销售的，由县级以上地方人民政府食品安全监督管理部门责令限期改正，给予警告；逾期不改正的，没收违法所得和违法生产经营的酒类，并处一千元以上一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散装白酒和泡酒的盛装容器和标识不符合规定</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《四川省酒类管理条例》第十六条第二款：散装白酒应当使用具备密闭性的盛装容器，并在盛装容器上标注固态法白酒、液态法白酒、固液法白酒的执行标准及生产者、生产日期等。 第十六条第三款：餐饮服务提供者销售自制的泡酒，应当在盛装容器上标注酒类生产者和泡制材料的名称、数量、泡制日期。  第四十条：违反本条例第十六条第二款、第三款规定，散装白酒和泡酒的盛装容器和标识不符合规定的，由县级以上地方人民政府食品安全监督管理部门责令限期改正，给予警告；拒不改正的，违法生产经营的货值金额不足一万元的，处二千元以上三万元以下罚款；货值金额一万元以上的，处货值金额三倍以上十倍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未按要求进行酒类储运</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《四川省酒类管理条例》第十八条：储运酒类应当符合食品安全管理、防火和有关安全要求。酒类存放应当远离高污染、高辐射物品，不得与有毒、有害、腐蚀性等物品混放。  第四十一条：违反本条例第十八条规定，未按要求进行酒类储运的，由县级以上地方人民政府食品安全监督管理等部门按照各自职责分工责令改正，给予警告；拒不改正的，责令停产停业，并处一万元以上五万元以下罚款；情节严重的，吊销许可证。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酒类经营者未在显著位置设置不向未成年人销售酒类的标志</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《四川省酒类管理条例》第二十条第二款：酒类经营者应当在显著位置设置不向未成年人销售酒类的标志。  第四十三条第二款：违反本条例第二十条第二款规定，未在显著位置设置不向未成年人销售酒类的标志的，由县级以上地方人民政府食品安全监督管理部门责令限期改正；逾期不改正的，处以五百元以上一千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食用农产品销售者未按要求公布食用农产品相关信息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同时具备以下条件：1.初次违法；2.违法行为时间较短；3.立即自行改正或在行政机关责令改正后及时改正；4.未造成实际危害后果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《食用农产品市场销售质量安全监督管理办法》第三十四条：销售未包装的食用农产品，应当在摊位（柜台）明显位置如实公布食用农产品名称、产地、生产者或者销售者名称或者姓名等信息。  第五十三条：销售者违反本办法第三十四条第一款规定，未按要求公布食用农产品相关信息的，由县级以上食品药品监督管理部门责令改正，给予警告；拒不改正的，处5000元以上1万元以下罚款。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特殊医学用途配方食品注册人变更不影响产品安全性、营养充足性以及特殊医学用途临床效果的事项，未依法申请变更</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同时具备以下条件：1.初次违法；2.违法行为时间较短；3.立即自行改正或在行政机关责令改正后及时改正；4.未造成实际危害后果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殊医学用途配方食品注册管理办法》第二十二条第二款：申请人变更企业名称、生产地址名称等不影响产品安全性、营养充足性以及特殊医学用途临床效果的事项，国家食品药品监督管理总局应当进行核实，并自受理之日起10个工作日内作出是否准予变更注册的决定。 第四十六条第一款：注册人变更不影响产品安全性、营养充足性以及特殊医学用途临床效果的事项，未依法申请变更的，由县级以上食品药品监督管理部门责令改正，给予警告；拒不改正的，处1万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婴幼儿配方乳粉产品配方注册申请人变更不影响产品配方科学性、安全性的事项，未依法申请变更</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同时具备以下条件：1.初次违法；2.违法行为时间较短；3.立即自行改正或在行政机关责令改正后及时改正；4.未造成实际危害后果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婴幼儿配方乳粉产品配方注册管理办法》第二十六条第二款：申请人申请企业名称变更、生产地址名称变更等不影响产品配方科学性、安全性的，审评机构应当进行核实，并自受理机构受理之日起10个工作日内作出结论。申请人名称变更的，应当由变更后的申请人申请变更。  第四十四条第一款：申请人变更不影响产品配方科学性、安全性的事项，未依法申请变更的，由县级以上食品药品监督管理部门责令改正，给予警告；拒不改正的，处1万元以上3万元以下罚款。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特殊食品生产企业未按规定建立运行生产质量管理体系或未定期提交自查报告</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《中华人民共和国食品安全法》第八十三条 生产保健食品，特殊医学用途配方食品、婴幼儿配方食品和其他专供特定人群的主辅食品的企业，应当按照良好生产规范的要求建立与所生产食品相适应的生产质量管理体系，定期对该体系的运行情况进行自查，保证其有效运行，并向所在地县级人民政府食品药品监督管理部门提交自查报告。  第一百二十六条　违反本法规定，有下列情形之一的，由县级以上人民政府食品安全监督管理部门责令改正，给予警告；拒不改正的，处五千元以上五万元以下罚款；情节严重的，责令停产停业，直至吊销许可证：...（十）特殊食品生产企业未按规定建立生产质量管理体系并有效运行，或者未定期提交自查报告；</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食品生产企业、餐饮服务提供者未按规定制定实施生产经营过程控制要求</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同时具备以下条件：1.初次违法；2.立即自行改正或在行政机关责令改正后及时改正；3.未造成实际危害后果；4.不涉及食品质量安全问题</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《中华人民共和国食品安全法》第四十六条 食品生产企业应当就下列事项制定并实施控制要求，保证所生产的食品符合食品安全标准：（一）原料采购、原料验收、投料等原料控制；（二）生产工序、设备、贮存、包装等生产关键环节控制；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（三）原料检验、半成品检验、成品出厂检验等检验控制；（四）运输和交付控制。  第五十五条第一款  餐饮服务提供者应当制定并实施原料控制要求，不得采购不符合食品安全标准的食品原料。倡导餐饮服务提供者公开加工过程，公示食品原料及其来源等信息。  第一百二十六条　违反本法规定，有下列情形之一的，由县级以上人民政府食品安全监督管理部门责令改正，给予警告；拒不改正的，处五千元以上五万元以下罚款；情节严重的，责令停产停业，直至吊销许可证：...（十三）食品生产企业、餐饮服务提供者未按规定制定、实施生产经营过程控制要求。</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从事对温度、湿度等有特殊要求的食品贮存业务的非食品生产经营者，食品集中交易市场的开办者、食品展销会的举办者，未按照规定备案或者报告</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实施条例》第二十五条第三款：非食品生产经营者从事对温度、湿度等有特殊要求的食品贮存业务的，应当自取得营业执照之日起30个工作日内向所在地县级人民政府食品安全监督管理部门备案。  第七十二条：从事对温度、湿度等有特殊要求的食品贮存业务的非食品生产经营者，食品集中交易市场的开办者、食品展销会的举办者，未按照规定备案或者报告的，由县级以上人民政府食品安全监督管理部门责令改正，给予警告；拒不改正的，处1万元以上5万元以下罚款；情节严重的，责令停产停业，并处5万元以上20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网络餐饮服务第三方平台提供者和入网餐饮服务提供者未按要求进行信息公示和更新</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餐饮服务食品安全监督管理办法》第九条：网络餐饮服务第三方平台提供者和入网餐饮服务提供者应当在餐饮服务经营活动主页面公示餐饮服务提供者的食品经营许可证。食品经营许可等信息发生变更的，应当及时更新。  第十条：网络餐饮服务第三方平台提供者和入网餐饮服务提供者应当在网上公示餐饮服务提供者的名称、地址、量化分级信息，公示的信息应当真实。 第十一条：入网餐饮服务提供者应当在网上公示菜品名称和主要原料名称，公示的信息应当真实。</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第三十二条　违反本办法第九条、第十条、第十一条规定，网络餐饮服务第三方平台提供者和入网餐饮服务提供者未按要求进行信息公示和更新的，由县级以上地方市场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网络餐饮服务第三方平台提供者和入网餐饮服务提供者未对送餐人员进行食品安全培训和管理，或者送餐单位未对送餐人员进行食品安全培训和管理，或者未按要求保存培训记录</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餐饮服务食品安全监督管理办法》第十三条：网络餐饮服务第三方平台提供者和入网餐饮服务提供者应当加强对送餐人员的食品安全培训和管理。委托送餐单位送餐的，送餐单位应当加强对送餐人员的食品安全培训和管理。培训记录保存期限不得少于两年。 第三十四条：违反本办法第十三条规定，网络餐饮服务第三方平台提供者和入网餐饮服务提供者未对送餐人员进行食品安全培训和管理，或者送餐单位未对送餐人员进行食品安全培训和管理，或者未按要求保存培训记录的，由县级以上地方市场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对网络餐饮服务第三方平台提供者和自建网站餐饮服务提供者未按要求记录保存网络订餐信息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餐饮服务食品安全监督管理办法》第十五条：网络餐饮服务第三方平台提供者和自建网站餐饮服务提供者应当履行记录义务，如实记录网络订餐的订单信息，包括食品的名称、下单时间、送餐人员、送达时间以及收货地址，信息保存时间不得少于6个月。 第三十六条：违反本办法第十五条规定，网络餐饮服务第三方平台提供者和自建网站餐饮服务提供者未按要求记录、保存网络订餐信息的，由县级以上地方市场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网络餐饮服务第三方平台提供者未按要求建立消费者投诉举报处理制度，公开投诉举报方式</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1.初次违法；2.立即自行改正或在行政机关责令改正后及时改正；3.未造成实际危害后果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《网络餐饮服务食品安全监督管理办法》第十七条：网络餐饮服务第三方平台提供者应当建立投诉举报处理制度，公开投诉举报方式，对涉及消费者食品安全的投诉举报及时进行处理。  第三十八条：违反本办法第十七条规定，网络餐饮服务第三方平台提供者未按要求建立消费者投诉举报处理制度，公开投诉举报方式，或者未对涉及消费者食品安全的投诉举报及时进行处理的，由县级以上地方市场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入网餐饮服务提供者将订单委托其他食品经营者加工制作</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同时具备以下条件：1.初次违法；2.立即自行改正或在行政机关责令改正后及时改正；3.未造成实际危害后果；4.销售金额较少</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《网络餐饮服务食品安全监督管理办法》第十八条第（四）、（五）项： 入网餐饮服务提供者加工制作餐饮食品应当符合下列要求：（四）在自己的加工操作区内加工食品，不得将订单委托其他食品经营者加工制作；（五）网络销售的餐饮食品应当与实体店销售的餐饮食品质量安全保持一致。 第三十九条第四款：违反本办法第十八条第（四）项、第（五）项规定，入网餐饮服务提供者将订单委托其他食品经营者加工制作，或者网络销售的餐饮食品未与实体店销售的餐饮食品质量安全保持一致的，由县级以上地方市场监督管理部门责令改正，给予警告；拒不改正的，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食盐零售单位销售散装食盐，或者餐饮服务提供者采购、贮存、使用散装食盐</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同时具备以下条件：1.初次违法；2.立即自行改正或在行政机关责令改正的期限内改正；3.未造成实际危害后果；4.涉案散装食盐较少</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《食盐质量安全监督管理办法》第八条第二款：禁止食盐零售单位销售散装食盐，禁止餐饮服务提供者采购、贮存、使用散装食盐。       第二十四条：违反本办法第八条第二款，食盐零售单位销售散装食盐，或者餐饮服务提供者采购、贮存、使用散装食盐的，由县级以上市场监督管理部门责令改正；拒不改正的，给予警告，并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未加碘食盐的标签未在显著位置标注“未加碘”字样</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同时具备以下条件：1.初次违法；2.立即自行改正或在行政机关责令改正的期限内改正；3.未造成实际危害后果；4.涉案未加碘食盐数量较少</w:t>
            </w:r>
          </w:p>
        </w:tc>
        <w:tc>
          <w:tcPr>
            <w:tcW w:w="2872"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《食盐质量安全监督管理办法》第九条：未加碘食盐的标签应当在显著位置标注“未加碘”字样。  第二十五条第二款：违反本办法第九条第三款，未加碘食盐的标签未在显著位置标注“未加碘”字样的，由县级以上市场监督管理部门责令改正；拒不改正的，给予警告，并处5000元以上3万元以下罚款。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药品经营企业零售药品未正确说明用法、用量等事项</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同时具备以下条件：1.初次违法； 2.情节轻微，未造成实际危害后果； 3.立即自行改正或在行政机关责令改正的期限内改正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药品管理法》第五十八条第一款：药品经营企业零售药品应当准确无误，并正确说明用法、用量和注意事项；调配处方应当经过核对，对处方所列药品不得擅自更改或者代用。对有配伍禁忌或者超剂量的处方，应当拒绝调配；必要时，经处方医师更正或者重新签字，方可调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第一百三十条：违反本法规定，药品经营企业购销药品未按照规定进行记录，零售药品未正确说明用法、用量等事项，或者未按照规定调配处方的，责令改正，给予警告；情节严重的，吊销药品经营许可证。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药品经营企业未建立对其购销人员的药品相关培训档案</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同时具备以下条件：1.初次违法；2.有证据证明已进行过药品相关培训</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《药品流通监督管理办法》第六条:“药品生产、经营企业应当对其购销人员进行药品相关的法律、法规和专业知识培训，建立培训档案，培训档案中应当记录培训时间、地点、内容及接受培训的人员。”                                                                                                                                                                                                                               第三十条：“有下列情形之一的，责令限期改正，给予警告；逾期不改正的，处以五千元以上二万元以下的罚款： （一）药品生产、经营企业违反本办法第六条规定的；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药品经营企业未按规定留存销售凭证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《药品流通监督管理办法》第十二条:“药品生产、经营企业采购药品时，应按本办法第十条规定索取、查验、留存供货企业有关证件、资料，按本办法第十一条规定索取、留存销售凭证。 药品生产、经营企业按照本条前款规定留存的资料和销售凭证，应当保存至超过药品有效期1年，但不得少于3年。”     第三十条：“有下列情形之一的，责令限期改正，给予警告；逾期不改正的，处以五千元以上二万元以下的罚款：...（三）药品生产、经营企业违反本办法第十二条，未按照规定留存有关资料、销售凭证的。”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药品经营企业未对其药品销售人员的销售行为作出具体规定</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《药品流通监督管理办法》第七条“药品生产、经营企业应当加强对药品销售人员的管理，并对其销售行为作出具体规定。”   第三十一条“药品生产、经营企业违反本办法第七条规定的，给予警告，责令限期改正。”</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药品零售企业销售药品时，未开具标明药品名称、生产厂商、数量、价格、批号等内容的销售凭证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同时具备以下条件：1.初次违法；2.立即自行改正或在行政机关责令改正的期限内改正；3.涉案销售凭证金额较少；4.所售药品为非处方药；5.未造成实际危害后果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《药品流通监督管理办法》第十一条第二款：药品零售企业销售药品时，应当开具标明药品名称、生产厂商、数量、价格、批号等内容的销售凭证。   第三十四条：药品零售企业违反本办法第十一条第二款规定的，责令改正，给予警告；逾期不改正的，处以五百元以下的罚款。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医疗器械使用单位未按规定由指定的部门或者人员统一采购医疗器械</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同时具备以下条件：1.初次违法；2.立即自行改正或行政机关责令改正期限内改正；3.未造成实际危害后果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《医疗器械使用质量监督管理办法》第七条：医疗器械使用单位应当对医疗器械采购实行统一管理，由其指定的部门或者人员统一采购医疗器械，其他部门或者人员不得自行采购。                                                                         第三十条：“医疗器械使用单位有下列情形之一的，由县级以上食品药品监督管理部门责令限期改正，给予警告；拒不改正的，处1万元以下罚款：...（二）未按规定由指定的部门或者人员统一采购医疗器械的；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医疗器械使用单位未按规定索取、保存医疗器械维护维修相关记录</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同时具备以下条件：1.初次违法；2.立即自行改正或行政机关责令改正期限内改正；3.未造成实际危害后果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医疗器械使用质量监督管理办法》第十五条：医疗器械使用单位应当建立医疗器械维护维修管理制度。对需要定期检查、检验、校准、保养、维护的医疗器械，应当按照产品说明书的要求进行检查、检验、校准、保养、维护并记录，及时进行分析、评估，确保医疗器械处于良好状态。 对使用期限长的大型医疗器械，应当逐台建立使用档案，记录其使用、维护等情况。记录保存期限不得少于医疗器械规定使用期限届满后5年或者使用终止后5年                                                                                                                        第三十条：“医疗器械使用单位有下列情形之一的，由县级以上食品药品监督管理部门责令限期改正，给予警告；拒不改正的，处1万元以下罚款：...（六）未按规定索取、保存医疗器械维护维修相关记录的；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医疗器械使用单位未按规定建立对本单位相关维护维修技术人员的培训档案</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同时具备以下条件：1.初次违法；2.立即自行改正或行政机关责令改正期限内改正；3.有证据证明对技术人员开展过培训；未造成实际危害后果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使用质量监督管理办法》第十八条：由医疗器械生产经营企业或者维修服务机构对医疗器械进行维护维修的，应当在合同中约定明确的质量要求、维修要求等相关事项，医疗器械使用单位应当在每次维护维修后索取并保存相关记录；医疗器械使用单位自行对医疗器械进行维护维修的，应当加强对从事医疗器械维护维修的技术人员的培训考核，并建立培训档案。        第三十条：“医疗器械使用单位有下列情形之一的，由县级以上食品药品监督管理部门责令限期改正，给予警告；拒不改正的，处1万元以下罚款：...（七）未按规定对本单位从事医疗器械维护维修的相关技术人员进行培训考核、建立培训档案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医疗器械使用单位未按规定对其医疗器械质量管理工作进行自查、形成自查报告</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同时具备以下条件：1.初次违法；2.立即自行改正或行政机关责令改正期限内改正；3.未造成实际危害后果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使用质量监督管理办法》第二十四条：医疗器械使用单位应当按照本办法和本单位建立的医疗器械使用质量管理制度，每年对医疗器械质量管理工作进行全面自查，并形成自查报告。食品药品监督管理部门在监督检查中对医疗器械使用单位的自查报告进行抽查。  第三十条：“医疗器械使用单位有下列情形之一的，由县级以上食品药品监督管理部门责令限期改正，给予警告；拒不改正的，处1万元以下罚款：...（八）未按规定对其医疗器械质量管理工作进行自查、形成自查报告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90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经营的化妆品的标签存在瑕疵</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同时具备以下条件：1.初次违法；2.立即自行改正或行政机关责令改正期限内改正；3.不影响质量安全且不会对消费者造成误导；4.未造成实际危害后果</w:t>
            </w:r>
          </w:p>
        </w:tc>
        <w:tc>
          <w:tcPr>
            <w:tcW w:w="2872"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化妆品监督管理条例》第三十六条：化妆品标签应当标注下列内容：（一）产品名称、特殊化妆品注册证编号；（二）注册人、备案人、受托生产企业的名称、地址；（三）化妆品生产许可证编号；（四）产品执行的标准编号；（五）全成分；（六）净含量；（七）使用期限、使用方法以及必要的安全警示；（八）法律、行政法规和强制性国家标准规定应当标注的其他内容。  第六十一条第二款：生产经营的化妆品的标签存在瑕疵但不影响质量安全且不会对消费者造成误导的，由负责药品监督管理的部门责令改正；拒不改正的，处2000元以下罚款。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bl>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宋体" w:hAnsi="宋体" w:eastAsia="宋体" w:cs="宋体"/>
          <w:b/>
          <w:bCs/>
          <w:sz w:val="44"/>
          <w:szCs w:val="52"/>
          <w:lang w:val="en-US" w:eastAsia="zh-CN"/>
        </w:rPr>
      </w:pPr>
      <w:r>
        <w:rPr>
          <w:rFonts w:hint="eastAsia" w:ascii="楷体" w:hAnsi="楷体" w:eastAsia="楷体" w:cs="楷体"/>
          <w:b/>
          <w:bCs/>
          <w:sz w:val="40"/>
          <w:szCs w:val="48"/>
          <w:lang w:val="en-US" w:eastAsia="zh-CN"/>
        </w:rPr>
        <w:t>二、免于行政处罚事项清单</w:t>
      </w:r>
    </w:p>
    <w:tbl>
      <w:tblPr>
        <w:tblStyle w:val="4"/>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2903"/>
        <w:gridCol w:w="2872"/>
        <w:gridCol w:w="1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trPr>
        <w:tc>
          <w:tcPr>
            <w:tcW w:w="14240" w:type="dxa"/>
            <w:gridSpan w:val="6"/>
          </w:tcPr>
          <w:p>
            <w:pPr>
              <w:jc w:val="both"/>
              <w:rPr>
                <w:rFonts w:hint="default" w:ascii="宋体" w:hAnsi="宋体" w:eastAsia="宋体" w:cs="宋体"/>
                <w:b/>
                <w:bCs/>
                <w:sz w:val="52"/>
                <w:szCs w:val="72"/>
                <w:vertAlign w:val="baseline"/>
                <w:lang w:val="en-US" w:eastAsia="zh-Hans"/>
              </w:rPr>
            </w:pPr>
            <w:r>
              <w:rPr>
                <w:rFonts w:hint="eastAsia" w:ascii="宋体" w:hAnsi="宋体" w:eastAsia="宋体" w:cs="宋体"/>
                <w:b/>
                <w:bCs/>
                <w:sz w:val="36"/>
                <w:szCs w:val="44"/>
                <w:vertAlign w:val="baseline"/>
                <w:lang w:val="en-US" w:eastAsia="zh-CN"/>
              </w:rPr>
              <w:t>单位：</w:t>
            </w:r>
            <w:r>
              <w:rPr>
                <w:rFonts w:hint="eastAsia" w:ascii="宋体" w:hAnsi="宋体" w:eastAsia="宋体" w:cs="宋体"/>
                <w:b/>
                <w:bCs/>
                <w:sz w:val="36"/>
                <w:szCs w:val="44"/>
                <w:vertAlign w:val="baseline"/>
                <w:lang w:val="en-US" w:eastAsia="zh-Hans"/>
              </w:rPr>
              <w:t>理县市场监督管理局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4" w:hRule="atLeast"/>
        </w:trPr>
        <w:tc>
          <w:tcPr>
            <w:tcW w:w="102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序号</w:t>
            </w:r>
          </w:p>
        </w:tc>
        <w:tc>
          <w:tcPr>
            <w:tcW w:w="3015"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行政处罚事项</w:t>
            </w:r>
          </w:p>
        </w:tc>
        <w:tc>
          <w:tcPr>
            <w:tcW w:w="255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实施机关</w:t>
            </w:r>
          </w:p>
        </w:tc>
        <w:tc>
          <w:tcPr>
            <w:tcW w:w="2903" w:type="dxa"/>
          </w:tcPr>
          <w:p>
            <w:pPr>
              <w:jc w:val="center"/>
              <w:rPr>
                <w:rFonts w:hint="default"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免于处罚使用条件</w:t>
            </w:r>
          </w:p>
        </w:tc>
        <w:tc>
          <w:tcPr>
            <w:tcW w:w="2872"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法律依据</w:t>
            </w:r>
          </w:p>
        </w:tc>
        <w:tc>
          <w:tcPr>
            <w:tcW w:w="188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widowControl/>
              <w:snapToGrid w:val="0"/>
              <w:jc w:val="center"/>
              <w:textAlignment w:val="center"/>
              <w:rPr>
                <w:rFonts w:hint="default" w:ascii="仿宋_GB2312" w:hAnsi="仿宋_GB2312" w:eastAsia="仿宋_GB2312" w:cs="仿宋_GB2312"/>
                <w:color w:val="000000"/>
                <w:kern w:val="0"/>
                <w:sz w:val="24"/>
                <w:szCs w:val="24"/>
                <w:lang w:eastAsia="zh-CN" w:bidi="ar"/>
              </w:rPr>
            </w:pPr>
            <w:r>
              <w:rPr>
                <w:rFonts w:hint="default" w:ascii="仿宋_GB2312" w:hAnsi="仿宋_GB2312" w:eastAsia="仿宋_GB2312" w:cs="仿宋_GB2312"/>
                <w:color w:val="000000"/>
                <w:kern w:val="0"/>
                <w:sz w:val="24"/>
                <w:szCs w:val="24"/>
                <w:lang w:eastAsia="zh-CN" w:bidi="ar"/>
              </w:rPr>
              <w:t>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经营者违反《反垄断法》规定，达成并实施垄断协议</w:t>
            </w:r>
          </w:p>
        </w:tc>
        <w:tc>
          <w:tcPr>
            <w:tcW w:w="2550" w:type="dxa"/>
            <w:vAlign w:val="center"/>
          </w:tcPr>
          <w:p>
            <w:pPr>
              <w:widowControl/>
              <w:snapToGrid w:val="0"/>
              <w:jc w:val="center"/>
              <w:textAlignment w:val="center"/>
              <w:rPr>
                <w:rFonts w:hint="default" w:ascii="仿宋_GB2312" w:hAnsi="仿宋_GB2312" w:eastAsia="仿宋_GB2312" w:cs="仿宋_GB2312"/>
                <w:color w:val="000000"/>
                <w:kern w:val="0"/>
                <w:sz w:val="24"/>
                <w:szCs w:val="24"/>
                <w:lang w:val="en-US" w:eastAsia="zh-Hans"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主动向反垄断执法机构报告达成垄断协议的有关情况并提供重要证据</w:t>
            </w:r>
          </w:p>
        </w:tc>
        <w:tc>
          <w:tcPr>
            <w:tcW w:w="2872"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《反垄断法》第四十六条 经营者违反本法规定，达成并实施垄断协议的，由反垄断执法机构责令停止违法行为, 没收违法所得，并处上一年度销售额百分之一以上百分之十以下的罚款；尚未实施所达成的垄断协议的, 可以处五十万元以下的罚款。经营者主动向反垄断执法机构报告达成垄断协议的有关情况并提供重要证据的，反垄断执法机构可以酌情减轻或者免除对该经营者的处罚。</w:t>
            </w:r>
          </w:p>
        </w:tc>
        <w:tc>
          <w:tcPr>
            <w:tcW w:w="1880" w:type="dxa"/>
            <w:vAlign w:val="center"/>
          </w:tcPr>
          <w:p>
            <w:pPr>
              <w:jc w:val="center"/>
              <w:rPr>
                <w:rFonts w:hint="eastAsia" w:ascii="仿宋" w:hAnsi="仿宋" w:eastAsia="仿宋" w:cs="仿宋"/>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widowControl/>
              <w:snapToGrid w:val="0"/>
              <w:jc w:val="center"/>
              <w:textAlignment w:val="center"/>
              <w:rPr>
                <w:rFonts w:hint="default" w:ascii="仿宋_GB2312" w:hAnsi="仿宋_GB2312" w:eastAsia="仿宋_GB2312" w:cs="仿宋_GB2312"/>
                <w:color w:val="000000"/>
                <w:kern w:val="0"/>
                <w:sz w:val="24"/>
                <w:szCs w:val="24"/>
                <w:lang w:eastAsia="zh-CN" w:bidi="ar"/>
              </w:rPr>
            </w:pPr>
            <w:r>
              <w:rPr>
                <w:rFonts w:hint="default" w:ascii="仿宋_GB2312" w:hAnsi="仿宋_GB2312" w:eastAsia="仿宋_GB2312" w:cs="仿宋_GB2312"/>
                <w:color w:val="000000"/>
                <w:kern w:val="0"/>
                <w:sz w:val="24"/>
                <w:szCs w:val="24"/>
                <w:lang w:eastAsia="zh-CN" w:bidi="ar"/>
              </w:rPr>
              <w:t>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销售不知道是侵犯注册商标专用权的商品</w:t>
            </w:r>
          </w:p>
        </w:tc>
        <w:tc>
          <w:tcPr>
            <w:tcW w:w="2550" w:type="dxa"/>
            <w:vAlign w:val="center"/>
          </w:tcPr>
          <w:p>
            <w:pPr>
              <w:widowControl/>
              <w:snapToGrid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能证明该商品是自己合法取得并说明提供者</w:t>
            </w:r>
          </w:p>
        </w:tc>
        <w:tc>
          <w:tcPr>
            <w:tcW w:w="2872"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《商标法》第六十条 有本法第五十七条所列侵犯注册商标专用权行为之一，引起纠纷的，由当事人协商解决;不愿协商或者协商不成的，商标注册人或者利害关系人可以向人民法院起诉，也可以请求工商行政管理部门处理, 销售不知道是侵犯注册商标专用权的商品，能证明该商品是自己合法取得并说明提供者的，由工商行政管理部门责令停止销售。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《商标法实施条例》第八十条 销售不知道是侵犯注册商标专用权的商品, 能证明该商品是自己合法取得并说明提供者的，由工商行政管理部门责令停止销售，并将案件情况通报侵权商品提供者所在地工商行政管理部门。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商标法实施条例》第七十九条下列情形属于商标法第六十条规定的能证明该商品是自己合法取得的情形:(一)有供货单位合法签章的供货清单和货款收据且经查证属实或者供货单位认可的；(二)有供销双方签订的进货合同且经查证已真实履行的；(三)有合法进货发票且发票记载事项与涉案商品对应的:(四）其他能够证明合法取得涉案商品的情形。</w:t>
            </w:r>
          </w:p>
        </w:tc>
        <w:tc>
          <w:tcPr>
            <w:tcW w:w="1880" w:type="dxa"/>
            <w:vAlign w:val="center"/>
          </w:tcPr>
          <w:p>
            <w:pPr>
              <w:jc w:val="center"/>
              <w:rPr>
                <w:rFonts w:hint="eastAsia" w:ascii="仿宋" w:hAnsi="仿宋" w:eastAsia="仿宋" w:cs="仿宋"/>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widowControl/>
              <w:snapToGrid w:val="0"/>
              <w:jc w:val="center"/>
              <w:textAlignment w:val="center"/>
              <w:rPr>
                <w:rFonts w:hint="default" w:ascii="仿宋_GB2312" w:hAnsi="仿宋_GB2312" w:eastAsia="仿宋_GB2312" w:cs="仿宋_GB2312"/>
                <w:color w:val="000000"/>
                <w:kern w:val="0"/>
                <w:sz w:val="24"/>
                <w:szCs w:val="24"/>
                <w:lang w:eastAsia="zh-CN" w:bidi="ar"/>
              </w:rPr>
            </w:pPr>
            <w:r>
              <w:rPr>
                <w:rFonts w:hint="default" w:ascii="仿宋_GB2312" w:hAnsi="仿宋_GB2312" w:eastAsia="仿宋_GB2312" w:cs="仿宋_GB2312"/>
                <w:color w:val="000000"/>
                <w:kern w:val="0"/>
                <w:sz w:val="24"/>
                <w:szCs w:val="24"/>
                <w:lang w:eastAsia="zh-CN" w:bidi="ar"/>
              </w:rPr>
              <w:t>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0160" cy="172085"/>
                  <wp:effectExtent l="0" t="0" r="0" b="0"/>
                  <wp:wrapNone/>
                  <wp:docPr id="49" name="Host_Control__1"/>
                  <wp:cNvGraphicFramePr/>
                  <a:graphic xmlns:a="http://schemas.openxmlformats.org/drawingml/2006/main">
                    <a:graphicData uri="http://schemas.openxmlformats.org/drawingml/2006/picture">
                      <pic:pic xmlns:pic="http://schemas.openxmlformats.org/drawingml/2006/picture">
                        <pic:nvPicPr>
                          <pic:cNvPr id="49" name="Host_Control__1"/>
                          <pic:cNvPicPr/>
                        </pic:nvPicPr>
                        <pic:blipFill>
                          <a:blip r:embed="rId4"/>
                          <a:stretch>
                            <a:fillRect/>
                          </a:stretch>
                        </pic:blipFill>
                        <pic:spPr>
                          <a:xfrm>
                            <a:off x="0" y="0"/>
                            <a:ext cx="1016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0160" cy="172085"/>
                  <wp:effectExtent l="0" t="0" r="0" b="0"/>
                  <wp:wrapNone/>
                  <wp:docPr id="50" name="Host_Control__2"/>
                  <wp:cNvGraphicFramePr/>
                  <a:graphic xmlns:a="http://schemas.openxmlformats.org/drawingml/2006/main">
                    <a:graphicData uri="http://schemas.openxmlformats.org/drawingml/2006/picture">
                      <pic:pic xmlns:pic="http://schemas.openxmlformats.org/drawingml/2006/picture">
                        <pic:nvPicPr>
                          <pic:cNvPr id="50" name="Host_Control__2"/>
                          <pic:cNvPicPr/>
                        </pic:nvPicPr>
                        <pic:blipFill>
                          <a:blip r:embed="rId4"/>
                          <a:stretch>
                            <a:fillRect/>
                          </a:stretch>
                        </pic:blipFill>
                        <pic:spPr>
                          <a:xfrm>
                            <a:off x="0" y="0"/>
                            <a:ext cx="1016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0160" cy="172085"/>
                  <wp:effectExtent l="0" t="0" r="0" b="0"/>
                  <wp:wrapNone/>
                  <wp:docPr id="51" name="Host_Control__4"/>
                  <wp:cNvGraphicFramePr/>
                  <a:graphic xmlns:a="http://schemas.openxmlformats.org/drawingml/2006/main">
                    <a:graphicData uri="http://schemas.openxmlformats.org/drawingml/2006/picture">
                      <pic:pic xmlns:pic="http://schemas.openxmlformats.org/drawingml/2006/picture">
                        <pic:nvPicPr>
                          <pic:cNvPr id="51" name="Host_Control__4"/>
                          <pic:cNvPicPr/>
                        </pic:nvPicPr>
                        <pic:blipFill>
                          <a:blip r:embed="rId4"/>
                          <a:stretch>
                            <a:fillRect/>
                          </a:stretch>
                        </pic:blipFill>
                        <pic:spPr>
                          <a:xfrm>
                            <a:off x="0" y="0"/>
                            <a:ext cx="1016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0160" cy="172085"/>
                  <wp:effectExtent l="0" t="0" r="0" b="0"/>
                  <wp:wrapNone/>
                  <wp:docPr id="52" name="Host_Control__8"/>
                  <wp:cNvGraphicFramePr/>
                  <a:graphic xmlns:a="http://schemas.openxmlformats.org/drawingml/2006/main">
                    <a:graphicData uri="http://schemas.openxmlformats.org/drawingml/2006/picture">
                      <pic:pic xmlns:pic="http://schemas.openxmlformats.org/drawingml/2006/picture">
                        <pic:nvPicPr>
                          <pic:cNvPr id="52" name="Host_Control__8"/>
                          <pic:cNvPicPr/>
                        </pic:nvPicPr>
                        <pic:blipFill>
                          <a:blip r:embed="rId4"/>
                          <a:stretch>
                            <a:fillRect/>
                          </a:stretch>
                        </pic:blipFill>
                        <pic:spPr>
                          <a:xfrm>
                            <a:off x="0" y="0"/>
                            <a:ext cx="1016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8890" cy="172085"/>
                  <wp:effectExtent l="0" t="0" r="0" b="0"/>
                  <wp:wrapNone/>
                  <wp:docPr id="53" name="Host_Control__8_SpCnt_1"/>
                  <wp:cNvGraphicFramePr/>
                  <a:graphic xmlns:a="http://schemas.openxmlformats.org/drawingml/2006/main">
                    <a:graphicData uri="http://schemas.openxmlformats.org/drawingml/2006/picture">
                      <pic:pic xmlns:pic="http://schemas.openxmlformats.org/drawingml/2006/picture">
                        <pic:nvPicPr>
                          <pic:cNvPr id="53" name="Host_Control__8_SpCnt_1"/>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8890" cy="172085"/>
                  <wp:effectExtent l="0" t="0" r="0" b="0"/>
                  <wp:wrapNone/>
                  <wp:docPr id="54" name="Host_Control__7"/>
                  <wp:cNvGraphicFramePr/>
                  <a:graphic xmlns:a="http://schemas.openxmlformats.org/drawingml/2006/main">
                    <a:graphicData uri="http://schemas.openxmlformats.org/drawingml/2006/picture">
                      <pic:pic xmlns:pic="http://schemas.openxmlformats.org/drawingml/2006/picture">
                        <pic:nvPicPr>
                          <pic:cNvPr id="54" name="Host_Control__7"/>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8890" cy="172085"/>
                  <wp:effectExtent l="0" t="0" r="0" b="0"/>
                  <wp:wrapNone/>
                  <wp:docPr id="55" name="Host_Control__6"/>
                  <wp:cNvGraphicFramePr/>
                  <a:graphic xmlns:a="http://schemas.openxmlformats.org/drawingml/2006/main">
                    <a:graphicData uri="http://schemas.openxmlformats.org/drawingml/2006/picture">
                      <pic:pic xmlns:pic="http://schemas.openxmlformats.org/drawingml/2006/picture">
                        <pic:nvPicPr>
                          <pic:cNvPr id="55" name="Host_Control__6"/>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8890" cy="172085"/>
                  <wp:effectExtent l="0" t="0" r="0" b="0"/>
                  <wp:wrapNone/>
                  <wp:docPr id="56" name="Host_Control__5"/>
                  <wp:cNvGraphicFramePr/>
                  <a:graphic xmlns:a="http://schemas.openxmlformats.org/drawingml/2006/main">
                    <a:graphicData uri="http://schemas.openxmlformats.org/drawingml/2006/picture">
                      <pic:pic xmlns:pic="http://schemas.openxmlformats.org/drawingml/2006/picture">
                        <pic:nvPicPr>
                          <pic:cNvPr id="56" name="Host_Control__5"/>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8890" cy="172085"/>
                  <wp:effectExtent l="0" t="0" r="0" b="0"/>
                  <wp:wrapNone/>
                  <wp:docPr id="57" name="Host_Control__4_SpCnt_1"/>
                  <wp:cNvGraphicFramePr/>
                  <a:graphic xmlns:a="http://schemas.openxmlformats.org/drawingml/2006/main">
                    <a:graphicData uri="http://schemas.openxmlformats.org/drawingml/2006/picture">
                      <pic:pic xmlns:pic="http://schemas.openxmlformats.org/drawingml/2006/picture">
                        <pic:nvPicPr>
                          <pic:cNvPr id="57" name="Host_Control__4_SpCnt_1"/>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8890" cy="172085"/>
                  <wp:effectExtent l="0" t="0" r="0" b="0"/>
                  <wp:wrapNone/>
                  <wp:docPr id="58" name="Host_Control__3"/>
                  <wp:cNvGraphicFramePr/>
                  <a:graphic xmlns:a="http://schemas.openxmlformats.org/drawingml/2006/main">
                    <a:graphicData uri="http://schemas.openxmlformats.org/drawingml/2006/picture">
                      <pic:pic xmlns:pic="http://schemas.openxmlformats.org/drawingml/2006/picture">
                        <pic:nvPicPr>
                          <pic:cNvPr id="58" name="Host_Control__3"/>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8890" cy="172085"/>
                  <wp:effectExtent l="0" t="0" r="0" b="0"/>
                  <wp:wrapNone/>
                  <wp:docPr id="59" name="Host_Control__2_SpCnt_1"/>
                  <wp:cNvGraphicFramePr/>
                  <a:graphic xmlns:a="http://schemas.openxmlformats.org/drawingml/2006/main">
                    <a:graphicData uri="http://schemas.openxmlformats.org/drawingml/2006/picture">
                      <pic:pic xmlns:pic="http://schemas.openxmlformats.org/drawingml/2006/picture">
                        <pic:nvPicPr>
                          <pic:cNvPr id="59" name="Host_Control__2_SpCnt_1"/>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8890" cy="172085"/>
                  <wp:effectExtent l="0" t="0" r="0" b="0"/>
                  <wp:wrapNone/>
                  <wp:docPr id="60" name="Host_Control__1_SpCnt_1"/>
                  <wp:cNvGraphicFramePr/>
                  <a:graphic xmlns:a="http://schemas.openxmlformats.org/drawingml/2006/main">
                    <a:graphicData uri="http://schemas.openxmlformats.org/drawingml/2006/picture">
                      <pic:pic xmlns:pic="http://schemas.openxmlformats.org/drawingml/2006/picture">
                        <pic:nvPicPr>
                          <pic:cNvPr id="60" name="Host_Control__1_SpCnt_1"/>
                          <pic:cNvPicPr/>
                        </pic:nvPicPr>
                        <pic:blipFill>
                          <a:blip r:embed="rId4"/>
                          <a:stretch>
                            <a:fillRect/>
                          </a:stretch>
                        </pic:blipFill>
                        <pic:spPr>
                          <a:xfrm>
                            <a:off x="0" y="0"/>
                            <a:ext cx="889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0160" cy="172085"/>
                  <wp:effectExtent l="0" t="0" r="0" b="0"/>
                  <wp:wrapNone/>
                  <wp:docPr id="61" name="Host_Control__7_SpCnt_1"/>
                  <wp:cNvGraphicFramePr/>
                  <a:graphic xmlns:a="http://schemas.openxmlformats.org/drawingml/2006/main">
                    <a:graphicData uri="http://schemas.openxmlformats.org/drawingml/2006/picture">
                      <pic:pic xmlns:pic="http://schemas.openxmlformats.org/drawingml/2006/picture">
                        <pic:nvPicPr>
                          <pic:cNvPr id="61" name="Host_Control__7_SpCnt_1"/>
                          <pic:cNvPicPr/>
                        </pic:nvPicPr>
                        <pic:blipFill>
                          <a:blip r:embed="rId4"/>
                          <a:stretch>
                            <a:fillRect/>
                          </a:stretch>
                        </pic:blipFill>
                        <pic:spPr>
                          <a:xfrm>
                            <a:off x="0" y="0"/>
                            <a:ext cx="1016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0160" cy="172085"/>
                  <wp:effectExtent l="0" t="0" r="0" b="0"/>
                  <wp:wrapNone/>
                  <wp:docPr id="62" name="Host_Control__6_SpCnt_1"/>
                  <wp:cNvGraphicFramePr/>
                  <a:graphic xmlns:a="http://schemas.openxmlformats.org/drawingml/2006/main">
                    <a:graphicData uri="http://schemas.openxmlformats.org/drawingml/2006/picture">
                      <pic:pic xmlns:pic="http://schemas.openxmlformats.org/drawingml/2006/picture">
                        <pic:nvPicPr>
                          <pic:cNvPr id="62" name="Host_Control__6_SpCnt_1"/>
                          <pic:cNvPicPr/>
                        </pic:nvPicPr>
                        <pic:blipFill>
                          <a:blip r:embed="rId4"/>
                          <a:stretch>
                            <a:fillRect/>
                          </a:stretch>
                        </pic:blipFill>
                        <pic:spPr>
                          <a:xfrm>
                            <a:off x="0" y="0"/>
                            <a:ext cx="1016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0160" cy="172085"/>
                  <wp:effectExtent l="0" t="0" r="0" b="0"/>
                  <wp:wrapNone/>
                  <wp:docPr id="63" name="Host_Control__5_SpCnt_1"/>
                  <wp:cNvGraphicFramePr/>
                  <a:graphic xmlns:a="http://schemas.openxmlformats.org/drawingml/2006/main">
                    <a:graphicData uri="http://schemas.openxmlformats.org/drawingml/2006/picture">
                      <pic:pic xmlns:pic="http://schemas.openxmlformats.org/drawingml/2006/picture">
                        <pic:nvPicPr>
                          <pic:cNvPr id="63" name="Host_Control__5_SpCnt_1"/>
                          <pic:cNvPicPr/>
                        </pic:nvPicPr>
                        <pic:blipFill>
                          <a:blip r:embed="rId4"/>
                          <a:stretch>
                            <a:fillRect/>
                          </a:stretch>
                        </pic:blipFill>
                        <pic:spPr>
                          <a:xfrm>
                            <a:off x="0" y="0"/>
                            <a:ext cx="1016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0160" cy="172085"/>
                  <wp:effectExtent l="0" t="0" r="0" b="0"/>
                  <wp:wrapNone/>
                  <wp:docPr id="64" name="Host_Control__3_SpCnt_1"/>
                  <wp:cNvGraphicFramePr/>
                  <a:graphic xmlns:a="http://schemas.openxmlformats.org/drawingml/2006/main">
                    <a:graphicData uri="http://schemas.openxmlformats.org/drawingml/2006/picture">
                      <pic:pic xmlns:pic="http://schemas.openxmlformats.org/drawingml/2006/picture">
                        <pic:nvPicPr>
                          <pic:cNvPr id="64" name="Host_Control__3_SpCnt_1"/>
                          <pic:cNvPicPr/>
                        </pic:nvPicPr>
                        <pic:blipFill>
                          <a:blip r:embed="rId4"/>
                          <a:stretch>
                            <a:fillRect/>
                          </a:stretch>
                        </pic:blipFill>
                        <pic:spPr>
                          <a:xfrm>
                            <a:off x="0" y="0"/>
                            <a:ext cx="10160" cy="172085"/>
                          </a:xfrm>
                          <a:prstGeom prst="rect">
                            <a:avLst/>
                          </a:prstGeom>
                          <a:noFill/>
                          <a:ln>
                            <a:noFill/>
                          </a:ln>
                        </pic:spPr>
                      </pic:pic>
                    </a:graphicData>
                  </a:graphic>
                </wp:anchor>
              </w:drawing>
            </w:r>
            <w:r>
              <w:rPr>
                <w:rFonts w:hint="eastAsia" w:ascii="宋体" w:hAnsi="宋体" w:eastAsia="宋体" w:cs="宋体"/>
                <w:i w:val="0"/>
                <w:iCs w:val="0"/>
                <w:color w:val="000000"/>
                <w:kern w:val="0"/>
                <w:sz w:val="16"/>
                <w:szCs w:val="16"/>
                <w:u w:val="none"/>
                <w:lang w:val="en-US" w:eastAsia="zh-CN" w:bidi="ar"/>
              </w:rPr>
              <w:t>食品经营者采购的食品不符合食品安全标准</w:t>
            </w:r>
          </w:p>
        </w:tc>
        <w:tc>
          <w:tcPr>
            <w:tcW w:w="2550" w:type="dxa"/>
            <w:vAlign w:val="center"/>
          </w:tcPr>
          <w:p>
            <w:pPr>
              <w:widowControl/>
              <w:snapToGrid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履行了《食品安全法》规定的进货查验等义务，有充分证据证明其不知道所采购的食品不符合食品安全标准，并能如实说明其进货来源</w:t>
            </w:r>
          </w:p>
        </w:tc>
        <w:tc>
          <w:tcPr>
            <w:tcW w:w="2872"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《食品安全法》第一百三十六条 食品经营者履行了本法规定的进货查验等义务，有充分证据证明其不知道所采购的食品不符合食品安全标准，并能如实说明其进货来源的, 可以免予处罚，但应当依法没收其不符合食品安全标准的食品；造成人身、财产或者其他损害的，依法承担赔偿责任。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《食用农产品市场销售质量安全监督管理办法》第五十四条 销售者履行了本办法规定的食用农产品进货查验等义务, 有充分证据证明其不知道所采购的食用农产品不符合食品安全标准，并能如实说明其进货来源的, 可以免予处罚，但应当依法没收其不符合食品安全标准的食用农产品；造成人身、 财产或者其他损害的, 依法承担赔偿责任。</w:t>
            </w:r>
          </w:p>
        </w:tc>
        <w:tc>
          <w:tcPr>
            <w:tcW w:w="1880" w:type="dxa"/>
            <w:vAlign w:val="center"/>
          </w:tcPr>
          <w:p>
            <w:pPr>
              <w:jc w:val="center"/>
              <w:rPr>
                <w:rFonts w:hint="eastAsia" w:ascii="仿宋" w:hAnsi="仿宋" w:eastAsia="仿宋" w:cs="仿宋"/>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widowControl/>
              <w:snapToGrid w:val="0"/>
              <w:jc w:val="center"/>
              <w:textAlignment w:val="center"/>
              <w:rPr>
                <w:rFonts w:hint="default" w:ascii="仿宋_GB2312" w:hAnsi="仿宋_GB2312" w:eastAsia="仿宋_GB2312" w:cs="仿宋_GB2312"/>
                <w:color w:val="000000"/>
                <w:kern w:val="0"/>
                <w:sz w:val="24"/>
                <w:szCs w:val="24"/>
                <w:lang w:eastAsia="zh-CN" w:bidi="ar"/>
              </w:rPr>
            </w:pPr>
            <w:r>
              <w:rPr>
                <w:rFonts w:hint="default" w:ascii="仿宋_GB2312" w:hAnsi="仿宋_GB2312" w:eastAsia="仿宋_GB2312" w:cs="仿宋_GB2312"/>
                <w:color w:val="000000"/>
                <w:kern w:val="0"/>
                <w:sz w:val="24"/>
                <w:szCs w:val="24"/>
                <w:lang w:eastAsia="zh-CN" w:bidi="ar"/>
              </w:rPr>
              <w:t>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未经批准进口少量境外已合法上市的药品</w:t>
            </w:r>
          </w:p>
        </w:tc>
        <w:tc>
          <w:tcPr>
            <w:tcW w:w="2550" w:type="dxa"/>
            <w:vAlign w:val="center"/>
          </w:tcPr>
          <w:p>
            <w:pPr>
              <w:widowControl/>
              <w:snapToGrid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情节较轻的</w:t>
            </w:r>
          </w:p>
        </w:tc>
        <w:tc>
          <w:tcPr>
            <w:tcW w:w="2872"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《药品管理法》第一百二十四条 违反本法规定，有下列行为之一的，没收违法生产、进口、销售的药品和违法所得以及专门用于违法生产的原料、 辅料、包装材料和生产设备，责令停产停业整顿，并处违法生产、进口、销售的药品货值金额十五倍以上三十信以下的罚款:货值金额不足十万元的，按十万元计算；情节严重的，吊销药品批准证明文件直至吊销药品生产许可证、药品经营许可证或者医疗机构制剂许可证，对法定代表人、主要负责人、直接负责的主管人员和其他责任人员，没收违法行为发生期间自本单位所获收入，并处所获收入百分之三十以上三倍以下的罚款，十年直至终身禁止从事药品生产经营活动, 并可以由公安机关处五日以上十五日以下的拘留；未经批准进口少量境外已合法上市的药品, 情节较轻的, 可以依法减轻或者免予处罚。</w:t>
            </w:r>
          </w:p>
        </w:tc>
        <w:tc>
          <w:tcPr>
            <w:tcW w:w="1880" w:type="dxa"/>
            <w:vAlign w:val="center"/>
          </w:tcPr>
          <w:p>
            <w:pPr>
              <w:jc w:val="center"/>
              <w:rPr>
                <w:rFonts w:hint="eastAsia" w:ascii="仿宋" w:hAnsi="仿宋" w:eastAsia="仿宋" w:cs="仿宋"/>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widowControl/>
              <w:snapToGrid w:val="0"/>
              <w:jc w:val="center"/>
              <w:textAlignment w:val="center"/>
              <w:rPr>
                <w:rFonts w:hint="default" w:ascii="仿宋_GB2312" w:hAnsi="仿宋_GB2312" w:eastAsia="仿宋_GB2312" w:cs="仿宋_GB2312"/>
                <w:color w:val="000000"/>
                <w:kern w:val="0"/>
                <w:sz w:val="24"/>
                <w:szCs w:val="24"/>
                <w:lang w:eastAsia="zh-CN" w:bidi="ar"/>
              </w:rPr>
            </w:pPr>
            <w:r>
              <w:rPr>
                <w:rFonts w:hint="default" w:ascii="仿宋_GB2312" w:hAnsi="仿宋_GB2312" w:eastAsia="仿宋_GB2312" w:cs="仿宋_GB2312"/>
                <w:color w:val="000000"/>
                <w:kern w:val="0"/>
                <w:sz w:val="24"/>
                <w:szCs w:val="24"/>
                <w:lang w:eastAsia="zh-CN" w:bidi="ar"/>
              </w:rPr>
              <w:t>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药品经营企业、 医疗机构不知道所销售或者使用的药品是假药、劣药</w:t>
            </w:r>
          </w:p>
        </w:tc>
        <w:tc>
          <w:tcPr>
            <w:tcW w:w="2550" w:type="dxa"/>
            <w:vAlign w:val="center"/>
          </w:tcPr>
          <w:p>
            <w:pPr>
              <w:widowControl/>
              <w:snapToGrid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未违反《药品管理法》和本条例的有关规定，并有充分证据证明其不知道所销售或者使用的药品是假药、劣药</w:t>
            </w:r>
          </w:p>
        </w:tc>
        <w:tc>
          <w:tcPr>
            <w:tcW w:w="2872"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《药品管理法实施条例》第七十五条 药品经营企业、 医疗机构未违反《药品管理法》和本条例的有关规定，并有充分证据证明其不知道所销售或者使用的药品是假药、劣药的，应当没收其销售或者使用的假药、劣药和违法所得:但是, 可以免除其他行政处罚。</w:t>
            </w:r>
          </w:p>
        </w:tc>
        <w:tc>
          <w:tcPr>
            <w:tcW w:w="1880" w:type="dxa"/>
            <w:vAlign w:val="center"/>
          </w:tcPr>
          <w:p>
            <w:pPr>
              <w:jc w:val="center"/>
              <w:rPr>
                <w:rFonts w:hint="eastAsia" w:ascii="仿宋" w:hAnsi="仿宋" w:eastAsia="仿宋" w:cs="仿宋"/>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widowControl/>
              <w:snapToGrid w:val="0"/>
              <w:jc w:val="center"/>
              <w:textAlignment w:val="center"/>
              <w:rPr>
                <w:rFonts w:hint="default" w:ascii="仿宋_GB2312" w:hAnsi="仿宋_GB2312" w:eastAsia="仿宋_GB2312" w:cs="仿宋_GB2312"/>
                <w:color w:val="000000"/>
                <w:kern w:val="0"/>
                <w:sz w:val="24"/>
                <w:szCs w:val="24"/>
                <w:lang w:eastAsia="zh-CN" w:bidi="ar"/>
              </w:rPr>
            </w:pPr>
            <w:r>
              <w:rPr>
                <w:rFonts w:hint="default" w:ascii="仿宋_GB2312" w:hAnsi="仿宋_GB2312" w:eastAsia="仿宋_GB2312" w:cs="仿宋_GB2312"/>
                <w:color w:val="000000"/>
                <w:kern w:val="0"/>
                <w:sz w:val="24"/>
                <w:szCs w:val="24"/>
                <w:lang w:eastAsia="zh-CN" w:bidi="ar"/>
              </w:rPr>
              <w:t>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医疗器械经营企业、使用单位不知道所经营、使用的医疗器械为本条例第八十一条第一款第一项、 第八十四条第一项、第八十六条第一项和第三项规定情形的医疗器械</w:t>
            </w:r>
          </w:p>
        </w:tc>
        <w:tc>
          <w:tcPr>
            <w:tcW w:w="2550" w:type="dxa"/>
            <w:vAlign w:val="center"/>
          </w:tcPr>
          <w:p>
            <w:pPr>
              <w:widowControl/>
              <w:snapToGrid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both"/>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履行了本条例规定的进货查验等义务, 有充分证据证明其不知道所经营、使用的医疗器械为本条例第八十一条第一款第一项、 第八十四条第一项、第八十六条第一项和第三项规定情形的医疗器械，并能如实说明其进货来源</w:t>
            </w:r>
          </w:p>
        </w:tc>
        <w:tc>
          <w:tcPr>
            <w:tcW w:w="2872"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《医疗器械监督管理办法》第八十七条 医疗器械经营企业、使用单位履行了本条例规定的进货查验等义务, 有充分证据证明其不知道所经营、使用的医疗器械为本条例第八十一条第一款第一项、 第八十四条第一项、第八十六条第一项和第三项规定情形的医疗器械，并能如实说明其进货来源的，收缴其经营、使用的不符合法定要求的医疗器械，可以免除行政处罚。</w:t>
            </w:r>
          </w:p>
        </w:tc>
        <w:tc>
          <w:tcPr>
            <w:tcW w:w="1880" w:type="dxa"/>
            <w:vAlign w:val="center"/>
          </w:tcPr>
          <w:p>
            <w:pPr>
              <w:jc w:val="center"/>
              <w:rPr>
                <w:rFonts w:hint="eastAsia" w:ascii="仿宋" w:hAnsi="仿宋" w:eastAsia="仿宋" w:cs="仿宋"/>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widowControl/>
              <w:snapToGrid w:val="0"/>
              <w:jc w:val="center"/>
              <w:textAlignment w:val="center"/>
              <w:rPr>
                <w:rFonts w:hint="default" w:ascii="仿宋_GB2312" w:hAnsi="仿宋_GB2312" w:eastAsia="仿宋_GB2312" w:cs="仿宋_GB2312"/>
                <w:color w:val="000000"/>
                <w:kern w:val="0"/>
                <w:sz w:val="24"/>
                <w:szCs w:val="24"/>
                <w:lang w:eastAsia="zh-CN" w:bidi="ar"/>
              </w:rPr>
            </w:pPr>
            <w:r>
              <w:rPr>
                <w:rFonts w:hint="default" w:ascii="仿宋_GB2312" w:hAnsi="仿宋_GB2312" w:eastAsia="仿宋_GB2312" w:cs="仿宋_GB2312"/>
                <w:color w:val="000000"/>
                <w:kern w:val="0"/>
                <w:sz w:val="24"/>
                <w:szCs w:val="24"/>
                <w:lang w:eastAsia="zh-CN" w:bidi="ar"/>
              </w:rPr>
              <w:t>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化妆品经营者不知道所采购的化妆品是不符合强制性国家标准、技术规范或者不符合化妆品注册、备案资料载明的技术要求</w:t>
            </w:r>
          </w:p>
        </w:tc>
        <w:tc>
          <w:tcPr>
            <w:tcW w:w="2550" w:type="dxa"/>
            <w:vAlign w:val="center"/>
          </w:tcPr>
          <w:p>
            <w:pPr>
              <w:widowControl/>
              <w:snapToGrid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履行了本条例规定的进货查验记录等义务，有证据证明其不知道所采购的化妆品是不符合强制性国家标准、技术规范或者不符合化妆品注册、备案资料载明的技术要求</w:t>
            </w:r>
          </w:p>
        </w:tc>
        <w:tc>
          <w:tcPr>
            <w:tcW w:w="2872"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《化妆品监督管理条例》第六十八条 化妆品经营者履行了本条例规定的进货查验记录等义务，有证据证明其不知道所采购的化妆品是不符合强制性国家标准、技术规范或者不符合化妆品注册、备案资料载明的技术要求的, 收缴其经营的不符合强制性国家标准、 技术规范或者不符合化妆品注册、备案资料载明的技术要求的化妆品, 可以免除行政处罚。</w:t>
            </w:r>
          </w:p>
        </w:tc>
        <w:tc>
          <w:tcPr>
            <w:tcW w:w="1880" w:type="dxa"/>
            <w:vAlign w:val="center"/>
          </w:tcPr>
          <w:p>
            <w:pPr>
              <w:jc w:val="center"/>
              <w:rPr>
                <w:rFonts w:hint="eastAsia" w:ascii="仿宋" w:hAnsi="仿宋" w:eastAsia="仿宋" w:cs="仿宋"/>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widowControl/>
              <w:snapToGrid w:val="0"/>
              <w:jc w:val="center"/>
              <w:textAlignment w:val="center"/>
              <w:rPr>
                <w:rFonts w:hint="default" w:ascii="仿宋_GB2312" w:hAnsi="仿宋_GB2312" w:eastAsia="仿宋_GB2312" w:cs="仿宋_GB2312"/>
                <w:color w:val="000000"/>
                <w:kern w:val="0"/>
                <w:sz w:val="24"/>
                <w:szCs w:val="24"/>
                <w:lang w:eastAsia="zh-CN" w:bidi="ar"/>
              </w:rPr>
            </w:pPr>
            <w:r>
              <w:rPr>
                <w:rFonts w:hint="default" w:ascii="仿宋_GB2312" w:hAnsi="仿宋_GB2312" w:eastAsia="仿宋_GB2312" w:cs="仿宋_GB2312"/>
                <w:color w:val="000000"/>
                <w:kern w:val="0"/>
                <w:sz w:val="24"/>
                <w:szCs w:val="24"/>
                <w:lang w:eastAsia="zh-CN" w:bidi="ar"/>
              </w:rPr>
              <w:t>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计量违法行为轻微情况</w:t>
            </w:r>
          </w:p>
        </w:tc>
        <w:tc>
          <w:tcPr>
            <w:tcW w:w="2550" w:type="dxa"/>
            <w:vAlign w:val="center"/>
          </w:tcPr>
          <w:p>
            <w:pPr>
              <w:widowControl/>
              <w:snapToGrid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(一)情节特别轻微的; (二)初次违法，情节较轻的；(三)认错态度好，能积极有效地配合查处工作的； (四)主动改正的。</w:t>
            </w:r>
          </w:p>
        </w:tc>
        <w:tc>
          <w:tcPr>
            <w:tcW w:w="2872" w:type="dxa"/>
            <w:vAlign w:val="center"/>
          </w:tcPr>
          <w:p>
            <w:pPr>
              <w:keepNext w:val="0"/>
              <w:keepLines w:val="0"/>
              <w:widowControl/>
              <w:suppressLineNumbers w:val="0"/>
              <w:jc w:val="left"/>
              <w:textAlignment w:val="center"/>
              <w:rPr>
                <w:rFonts w:hint="eastAsia" w:ascii="仿宋" w:hAnsi="仿宋" w:eastAsia="仿宋" w:cs="仿宋"/>
                <w:b/>
                <w:bCs/>
                <w:sz w:val="32"/>
                <w:szCs w:val="32"/>
                <w:vertAlign w:val="baseline"/>
                <w:lang w:val="en-US" w:eastAsia="zh-CN"/>
              </w:rPr>
            </w:pPr>
            <w:r>
              <w:rPr>
                <w:rFonts w:hint="eastAsia" w:ascii="宋体" w:hAnsi="宋体" w:eastAsia="宋体" w:cs="宋体"/>
                <w:i w:val="0"/>
                <w:iCs w:val="0"/>
                <w:color w:val="000000"/>
                <w:kern w:val="0"/>
                <w:sz w:val="16"/>
                <w:szCs w:val="16"/>
                <w:u w:val="none"/>
                <w:lang w:val="en-US" w:eastAsia="zh-CN" w:bidi="ar"/>
              </w:rPr>
              <w:t>《计量违法行为处罚细则》第二十六条 有下列情况之一的，可以从轻或免予处罚:(一)情节特别轻微的; (二)初次违法，情节较轻的；(三)认错态度好，能积极有效地配合查处工作的； (四)主动改正的。</w:t>
            </w:r>
          </w:p>
        </w:tc>
        <w:tc>
          <w:tcPr>
            <w:tcW w:w="1880" w:type="dxa"/>
            <w:vAlign w:val="center"/>
          </w:tcPr>
          <w:p>
            <w:pPr>
              <w:jc w:val="center"/>
              <w:rPr>
                <w:rFonts w:hint="eastAsia" w:ascii="仿宋" w:hAnsi="仿宋" w:eastAsia="仿宋" w:cs="仿宋"/>
                <w:b/>
                <w:bCs/>
                <w:sz w:val="32"/>
                <w:szCs w:val="32"/>
                <w:vertAlign w:val="baseline"/>
                <w:lang w:val="en-US" w:eastAsia="zh-CN"/>
              </w:rPr>
            </w:pPr>
          </w:p>
        </w:tc>
      </w:tr>
    </w:tbl>
    <w:p>
      <w:pPr>
        <w:jc w:val="both"/>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宋体" w:hAnsi="宋体" w:eastAsia="宋体" w:cs="宋体"/>
          <w:b/>
          <w:bCs/>
          <w:sz w:val="44"/>
          <w:szCs w:val="52"/>
          <w:lang w:val="en-US" w:eastAsia="zh-CN"/>
        </w:rPr>
      </w:pPr>
      <w:r>
        <w:rPr>
          <w:rFonts w:hint="eastAsia" w:ascii="楷体" w:hAnsi="楷体" w:eastAsia="楷体" w:cs="楷体"/>
          <w:b/>
          <w:bCs/>
          <w:sz w:val="40"/>
          <w:szCs w:val="48"/>
          <w:lang w:val="en-US" w:eastAsia="zh-CN"/>
        </w:rPr>
        <w:t>三、减轻行政处罚事项清单</w:t>
      </w:r>
    </w:p>
    <w:tbl>
      <w:tblPr>
        <w:tblStyle w:val="4"/>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2903"/>
        <w:gridCol w:w="2872"/>
        <w:gridCol w:w="1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trPr>
        <w:tc>
          <w:tcPr>
            <w:tcW w:w="14240" w:type="dxa"/>
            <w:gridSpan w:val="6"/>
          </w:tcPr>
          <w:p>
            <w:pPr>
              <w:jc w:val="both"/>
              <w:rPr>
                <w:rFonts w:hint="default" w:ascii="宋体" w:hAnsi="宋体" w:eastAsia="宋体" w:cs="宋体"/>
                <w:b/>
                <w:bCs/>
                <w:sz w:val="52"/>
                <w:szCs w:val="72"/>
                <w:vertAlign w:val="baseline"/>
                <w:lang w:val="en-US" w:eastAsia="zh-Hans"/>
              </w:rPr>
            </w:pPr>
            <w:r>
              <w:rPr>
                <w:rFonts w:hint="eastAsia" w:ascii="宋体" w:hAnsi="宋体" w:eastAsia="宋体" w:cs="宋体"/>
                <w:b/>
                <w:bCs/>
                <w:sz w:val="36"/>
                <w:szCs w:val="44"/>
                <w:vertAlign w:val="baseline"/>
                <w:lang w:val="en-US" w:eastAsia="zh-CN"/>
              </w:rPr>
              <w:t>单位：</w:t>
            </w:r>
            <w:r>
              <w:rPr>
                <w:rFonts w:hint="eastAsia" w:ascii="宋体" w:hAnsi="宋体" w:eastAsia="宋体" w:cs="宋体"/>
                <w:b/>
                <w:bCs/>
                <w:sz w:val="36"/>
                <w:szCs w:val="44"/>
                <w:vertAlign w:val="baseline"/>
                <w:lang w:val="en-US" w:eastAsia="zh-Hans"/>
              </w:rPr>
              <w:t>理县市场监督管理局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4" w:hRule="atLeast"/>
        </w:trPr>
        <w:tc>
          <w:tcPr>
            <w:tcW w:w="102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序号</w:t>
            </w:r>
          </w:p>
        </w:tc>
        <w:tc>
          <w:tcPr>
            <w:tcW w:w="3015"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行政处罚事项</w:t>
            </w:r>
          </w:p>
        </w:tc>
        <w:tc>
          <w:tcPr>
            <w:tcW w:w="255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实施机关</w:t>
            </w:r>
          </w:p>
        </w:tc>
        <w:tc>
          <w:tcPr>
            <w:tcW w:w="2903" w:type="dxa"/>
          </w:tcPr>
          <w:p>
            <w:pPr>
              <w:jc w:val="center"/>
              <w:rPr>
                <w:rFonts w:hint="default"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减轻处罚使用条件</w:t>
            </w:r>
          </w:p>
        </w:tc>
        <w:tc>
          <w:tcPr>
            <w:tcW w:w="2872"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法律依据</w:t>
            </w:r>
          </w:p>
        </w:tc>
        <w:tc>
          <w:tcPr>
            <w:tcW w:w="188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公司在进行清算时，隐匿财产，对资产负债表或者财产清单作虚假记载或者在未清偿债务前分配公司财产</w:t>
            </w:r>
          </w:p>
        </w:tc>
        <w:tc>
          <w:tcPr>
            <w:tcW w:w="2550" w:type="dxa"/>
            <w:vAlign w:val="center"/>
          </w:tcPr>
          <w:p>
            <w:pPr>
              <w:widowControl/>
              <w:snapToGrid w:val="0"/>
              <w:jc w:val="left"/>
              <w:textAlignment w:val="center"/>
              <w:rPr>
                <w:rFonts w:hint="default" w:ascii="仿宋_GB2312" w:hAnsi="仿宋_GB2312" w:eastAsia="仿宋_GB2312" w:cs="仿宋_GB2312"/>
                <w:color w:val="000000"/>
                <w:kern w:val="0"/>
                <w:sz w:val="24"/>
                <w:szCs w:val="24"/>
                <w:lang w:val="en-US" w:eastAsia="zh-Hans"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1.及时改正其违法行为，未成任何危害后果的；2.隐匿或者分配公司财产在50万元以下，未造成任何危害后果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《中华人民共和国公司法》第二百零四条第二款 公司在进行清算时，隐匿财产，对资产负债表或者财产清单作虚假记载或者在未清偿债务前分配公司财产的，由公司登记机关责令改正，对公司处以隐匿财产或者未清偿债务前分配公司财产金额百分之五以上百分之十以下的罚款；对直接负责的主管人员和其他直接责任人员处以一万元以上十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虚报注册资本取得公司登记，提交虚假材料或者采取其他欺诈手段隐瞒重要事实取得公司登记</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1.登记时间未满一个月；2.能主动纠正违法行为；3.未造成社会危害后果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《中华人民共和国公司法》第一百九十八条 违反本法规定，虚报注册资本、提交虚假材料或者采取其他欺诈手段隐瞒重要事实取得公司登记的，由公司登记机关责令改正，对虚报注册资本的公司，处以虚报注册资本金额百分之五以上百分之十五以下的罚款；对提交虚假材料或者采取其他欺诈手段隐瞒重要事实的公司，处以五万元以上五十万元以下的罚款；情节严重的，撤销公司登记或者吊销营业执照。</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公司在合并、分立、减少注册资本或者进行清算时，不依照规定通知或者公告债权人</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1.债权人损失较小；2.及时弥补损失</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《中华人民共和国公司法》 第二百零四条第一款 公司在合并、分立、减少注册资本或者进行清算时，不依照本法规定通知或者公告债权人的，由公司登记机关责令改正，对公司处以一万元以上十万元以下的罚款。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承担公司资产评估、验资或者验证的机构提供虚假材料，或者因过失提供有重大遗漏的报告</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1.违法情节轻微，未造成危害后果；2.能及时改正 ；3属于首次违法行为</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《中华人民共和国公司法》第二百零七条 承担资产评估、验资或者验证的机构提供虚假材料的，由公司登记机关没收违法所得，处以违法所得一倍以上五倍以下的罚款，并可以由有关主管部门依法责令该机构停业、吊销直接责任人员的资格证书，吊销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承担资产评估、验资或者验证的机构因过失提供有重大遗漏的报告的，由公司登记机关责令改正，情节较重的，处以所得收入一倍以上五倍以下的罚款，并可以由有关主管部门依法责令该机构停业、吊销直接责任人员的资格证书，吊销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承担资产评估、验资或者验证的机构因其出具的评估结果、验资或者验证证明不实，给公司债权人造成损失的，除能够证明自己没有过错的外，在其评估或者证明不实的金额范围内承担赔偿责任。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外国公司擅自在中国境内设立分支机构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1.违法所得较少；2.违法设立的分枝机构存在时间较短；3.能及时改正或关闭</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《中华人民共和国公司法》 第一百九十二条  外国公司在中国境内设立分支机构，必须向中国主管机关提出申请，并提交其公司章程、所属国的公司登记证书等有关文件，经批准后，向公司登记机关依法办理登记，领取营业执照。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第二百一十二条  外国公司违反本法规定，擅自在中国境内设立分支机构的，由公司登记机关责令改正或者关闭，可以并处五万元以上二十万元以下的罚款。 </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使用或者变相使用国家机关、国家机关工作人员的名义或者形象</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1.能够主动纠正违法行为；2.涉及影响力小；.3.经营体量规模较小；4..属于首次违法行为</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《中华人民共和国广告法》第五十七条 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（一）发布有本法第九条、第十条规定的禁止情形的广告的；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使用“国家级”、“最高级”、“最佳”等用语</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能够主动纠正违法行为使用“国家级”、“最高级”、“最佳”等用语；2.广告影响力和影响范围较小，招牌广告发布时间一般不超过30日，印刷品广告发布数量一般少于300份，互联网广告浏览量一般低于600次的；3.客观上对市场秩序的扰乱程度较轻微，对同行业商品或服务的贬低危害较小，广告发布前后相同时段内商品销售额或服务营业额未明显增加的；4.广告主经营影响力明显较小，或经营体量、规模较小</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《中华人民共和国广告法》第五十七条 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（一）发布有本法第九条、第十条规定的禁止情形的广告的；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未经审查发布广告</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1.原广告审查批准有效期限已过；2.内容合法且未逾期三个月；3.能够主动纠正违法行为</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《中华人民共和国广告法》第五十八条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十四）违反本法第四十六条规定，未经审查发布广告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医疗机构有前款规定违法行为，情节严重的，除由市场监督管理部门依照本法处罚外，卫生行政部门可以吊销诊疗科目或者吊销医疗机构执业许可证。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广告经营者、广告发布者明知或者应知有本条第一款规定违法行为仍设计、制作、代理、发布的，由市场监督管理部门没收广告费用，并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并可以由有关部门暂停广告发布业务、吊销营业执照。</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医疗机构未取得《医疗广告审查证明》擅自发布内容合法的医疗广告</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1.情节轻微；2.及时改正，未造成任何社会危害后果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《中华人民共和国广告法》第五十八条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十四）违反本法第四十六条规定，未经审查发布广告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医疗机构有前款规定违法行为，情节严重的，除由市场监督管理部门依照本法处罚外，卫生行政部门可以吊销诊疗科目或者吊销医疗机构执业许可证。</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未经商标注册人的许可，在同一种商品上使用与其注册商标近似的商标，或者在类似商品上使用与其注册商标相同或者近似的商标，容易导致混淆</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1.涉案财物或者违法所得较少;2.取得权利人谅解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《中华人民共和国商标法》第六十条 有本法第五十七条所列侵犯注册商标专用权行为之一，引起纠纷的，由当事人协商解决；不愿协商或者协商不成的，商标注册人或者利害关系人可以向人民法院起诉，也可以请求工商行政管理部门处理。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工商行政管理部门处理时，认定侵权行为成立的，责令立即停止侵权行为，没收、销毁侵权商品和主要用于制造侵权商品、伪造注册商标标识的工具，违法经营额五万元以上的，可以处违法经营额五倍以下的罚款，没有违法经营额或者违法经营额不足五万元的，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对侵犯商标专用权的赔偿数额的争议，当事人可以请求进行处理的工商行政管理部门调解，也可以依照《中华人民共和国民事诉讼法》向人民法院起诉。经工商行政管理部门调解，当事人未达成协议或者调解书生效后不履行的，当事人可以依照《中华人民共和国民事诉讼法》向人民法院起诉。</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未按要求填写《商标印制业务登记表》</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1,及时纠正的；2,危害后果轻微</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《商标印制管理办法》第八条 商标印制单位承印符合本办法规定的商标印制业务的，商标印制业务管理人员应当按照要求填写《商标印制业务登记表》，载明商标印制委托人所提供的证明文件的主要内容，《商标印制业务登记表》中的图样应当由商标印制单位业务主管人员加盖骑缝章。第十一条 商标印制单位违反本办法第七条至第十条规定的，由所在地市场监督管理部门责令其限期改正，并视其情节予以警告，处以非法所得额三倍以下的罚款，但最高不超过三万元，没有违法所得的，可以处以一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制造、销售未经考核合格、型式批准的计量器具新产品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1.违法所得较少；2.涉案计量器具新产品数量较少；3.造成消费者权益受损轻微；4. 能及时停止制造、销售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《中华人民共和国计量法》第二十三条 制造、销售未经考核合格的计量器具新产品的，责令停止制造、销售该种新产品，没收违法所得，可以并处罚款。                                         《中华人民共和国计量法实施细则》                                                                                                                          第十五条 凡制造在全国范围内从未生产过的计量器具新产品，必须经过定型鉴定。定型鉴定合格后，应当履行型式批准手续，颁发证书。在全国范围内已经定型，而本单位未生产过的计量器具新产品，应当进行样机试验。样机试验合格后，发给合格证书。凡未经型式批准或者未取得样机试验合格证书的计量器具，不准生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第四十四条 制造、销售未经型式批准或样机试验合格的计量器具新产品的，责令其停止制造、销售，封存该种新产品，没收全部违法所得，可并处 3000 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《计量违法行为处罚细则》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第十三条第二项 制造、修理计量器具，违反计量法律、法规的，按以下规定处罚：（二）制造、销售未经型式批准或样机试验合格的计量器具新产品的，责令其停止制造、销售，封存该种新产品，没收全部违法所得，可并处三千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制造、修理、销售的计量器具未经检定或者检定不合格而出厂</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1.违法所得较少；2.涉案计量器具新产品数量较少；3.造成消费者权益受损轻微；4. 能及时停止制造、销售     </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《中华人民共和国计量法》第二十四条 制造、修理、销售的计量器具不合格的，没收违法所得，可以并处罚款。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《中华人民共和国计量法实施细则》第四十五条 制造、修理的计量器具未经出厂检定或者经检定不合格而出厂的，责令其停止出厂，没收全部违法所得;情节严重的，可并处 3000 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《计量违法行为处罚细则》第十三条第三项 制造、修理计量器具，违反计量法律、法规的，按以下规定处罚：（三）企业、事业单位制造、修理的计量器具未经出厂检定或经检定不合格而出厂的，责令其停止出厂，没收全部违法所得；情节严重的，可并处三千元以下罚款。个体工商户制造、修理计量器具未经检定或经检定不合格而销售或交付用户使用的，责令其停止制造、修理或者重修、重检，没收全部违法所得；情节严重的，可并处五百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经营销售残次计量器具零配件</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1.涉案销售残次计量器具零配件数量较少；2.违法所得较少；3.能及时停止经营销售</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《中华人民共和国计量法实施细则》 第二十一条 任何单位和个人不得经营销售残次计量器具零配件，不得使用残次零配件组装和修理计量器具。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第四十七条 经营销售残次计量器具零配件的，责令其停止经营销售，没收残次计量器具零配件和全部违法所得，可并处 2000 元以下的罚款;情节严重的，由工商行政管理部门吊销其营业执照。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《计量违法行为处罚细则》第十六条 经营销售残次计量器具零配件的，使用残次计量器具零配件组装、修理计量器具的，责令其停止经营销售，没收残次计量器具零配件及组装的计量器具和全部违法所得，可并处二千元以下的罚款；情节严重的，吊销其营业执照。</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个体工商户制造、修理国家规定范围以外的计量器具或不按照规定场所从事经营活动</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1.涉案计量器具数量较少；2.违法所得较少；3.能及时停止制造、修理</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《中华人民共和国计量法实施细则》  第十四条 制造、修理计量器具的企业、事业单位和个体工商户须在固定的场所从事经营，具有符合国家规定的生产设施、检验条件、技术人员等，并满足安全要求。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第四十九条 个体工商户制造、修理国家规定范围以外的计量器具或者不按照规定场所从事经商活动的，责令其停止制造、修理，没收全部违法所得，可并处 500 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销售者销售国家对计量偏差没有规定的商品，其实际量与贸易结算量之差，超过国家规定使用的计量器具极限误差</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1.能够主动消除或者减轻违法行为危害后果；2.社会危害性较小或尚未产生危害后果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《商品量计量违法行为处罚规定》第六条 销售者销售国家对计量偏差没有规定的商品，其实际量与贸易结算量之差，超过国家规定使用的计量器具极限误差的，市场监督管理部门责令改正，并处20000元以下罚款。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现场计量交易时，未明示计量操作过程和计量器具显示的量值</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1.能够主动消除或者减轻违法行为危害后果；2.社会危害性较小或尚未产生危害后果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《四川省计量监督管理条例》第二十二条　以量值为结算单位的商品经营者或提供服务者，必须标明计量单位，配备和使用与其经营或服务项目相适应，并符合国家规定的计量器具。现场计量交易时，应当明示计量操作过程和计量器具显示的量值。</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第三十二条 有下列行为之一的，由县级以上地方人民政府计量行政部门予以处罚：（七）违反本条例第二十二、二十三、二十四、二十六条规定的，责令改正，没收违法所得，可并处五千元以下罚款，造成经济损失的，责令赔偿。</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销售者销售国家明令淘汰并停止销售的产品和失效、变质的产品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1.违法情节轻微；2.有充分证据证明其不知道该产品为禁止销售的产品并如实说明其进货来源</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《中华人民共和国产品质量法》第五十一条　生产国家明令淘汰的产品的，销售国家明令淘汰并停止销售的产品的，责令停止生产、销售，没收违法生产、销售的产品，并处违法生产、销售产品货值金额等值以下的罚款；有违法所得的，并处没收违法所得；情节严重的，吊销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第五十五条 销售者销售本法第四十九条至第五十三条规定禁止销售的产品，有充分证据证明其不知道该产品为禁止销售的产品并如实说明其进货来源的，可以从轻或者减轻处罚。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伪造产品产地，伪造或者冒用他人厂名、厂址</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1.违法情节轻微；2.有充分证据证明其不知道该产品为禁止销售的产品并如实说明其进货来源</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《中华人民共和国产品质量法》第五十三条　伪造产品产地的，伪造或者冒用他人厂名、厂址的，伪造或者冒用认证标志等质量标志的，责令改正，没收违法生产、销售的产品，并处违法生产、销售产品货值金额等值以下的罚款；有违法所得的，并处没收违法所得；情节严重的，吊销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第五十五条 销售者销售本法第四十九条至第五十三条规定禁止销售的产品，有充分证据证明其不知道该产品为禁止销售的产品并如实说明其进货来源的，可以从轻或者减轻处罚。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伪造或冒用认证标志等质量标志</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1.违法情节轻微；2.有充分证据证明其不知道该产品为禁止销售的产品并如实说明其进货来源</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《中华人民共和国产品质量法》第五十三条　伪造产品产地的，伪造或者冒用他人厂名、厂址的，伪造或者冒用认证标志等质量标志的，责令改正，没收违法生产、销售的产品，并处违法生产、销售产品货值金额等值以下的罚款；有违法所得的，并处没收违法所得；情节严重的，吊销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第五十五条 销售者销售本法第四十九条至第五十三条规定禁止销售的产品，有充分证据证明其不知道该产品为禁止销售的产品并如实说明其进货来源的，可以从轻或者减轻处罚。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销售者在产品中掺杂、掺假，以假充真，以次充好，或者以不合格产品冒充合格产品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1.情节轻微；2.有充分证据证明其不知道该产品为禁止销售的产品并如实说明其进货来源</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《中华人民共和国产品质量法》第五十条　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第五十五条 销售者销售本法第四十九条至第五十三条规定禁止销售的产品，有充分证据证明其不知道该产品为禁止销售的产品并如实说明其进货来源的，可以从轻或者减轻处罚。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取得生产许可的企业未能持续保持取得生产许可的规定条件</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1.主动改正的；2.情节轻微</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《中华人民共和国工业产品生产许可证管理条例实施办法》第四十九条　违反本办法第四十六条规定，取得生产许可的企业未能持续保持取得生产许可的规定条件的，责令改正，处1万元以上3万元以下罚款。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销售没有再利用产品标识的再利用电器电子产品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1.违法行为时间较短；2.未对消费者造成损失；3.能及时改正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《中华人民共和国循环经济促进法》第三十九条第一款 回收的电器电子产品，经过修复后销售的，必须符合再利用产品标准，并在显著位置标识为再利用产品。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第五十六条　违反本法规定，有下列行为之一的，由地方人民政府市场监督管理部门责令限期改正，可以处五千元以上五万元以下的罚款；逾期不改正的，依法吊销营业执照；造成损失的，依法承担赔偿责任：（一）销售没有再利用产品标识的再利用电器电子产品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销售没有再制造或者翻新产品标识的再制造或者翻新产品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1.违法行为时间较短；2.未对消费者造成损失；3.能及时改正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《中华人民共和国循环经济促进法》第四十条第二款  销售的再制造产品和翻新产品的质量必须符合国家规定的标准，并在显著位置标识为再制造产品或者翻新产品。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第五十六条　违反本法规定，有下列行为之一的，由地方人民政府市场监督管理部门责令限期改正，可以处五千元以上五万元以下的罚款；逾期不改正的，依法吊销营业执照；造成损失的，依法承担赔偿责任：...（二）销售没有再制造或者翻新产品标识的再制造或者翻新产品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冒用合同示范文本的名义或者编号、伪造合同示范文本行为</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1.被查处后主动采取改正措施</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《四川省合同监督条例》第四十四条 违反本条例第十三条规定，使用合同示范文本的名义或者编号、伪造合同示范文本的，由工商行政管理部门责令其改正，可处以5000元以上1万元以下的罚款。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用超过保质期的食品原料、食品添加剂生产食品、食品添加剂，或者经营上述食品、食品添加剂</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1.食品经营者销售非自制的用超过保质期的食品原料、食品添加剂生产的食品、食品添加剂，违法情节轻微，采取有效措施减轻或者消除食品安全风险，未造成危害后果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《中华人民共和国食品安全法》第一百二十四条第一款 第一百二十四条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依法应当取得许可证照而未取得许可证照从事餐饮活动</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1.首次被发现实现此类违法行为；2.无证经营时间在30天以内；3.当事人主动改正违法行为，案件调查终结前取得食品经营许可，或不再从事餐饮服务经营活动；</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《中华人民共和国食品安全法》第一百二十二条　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明知从事前款规定的违法行为，仍为其提供生产经营场所或者其他条件的，由县级以上人民政府食品安全监督管理部门责令停止违法行为，没收违法所得，并处五万元以上十万元以下罚款；使消费者的合法权益受到损害的，应当与食品、食品添加剂生产经营者承担连带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未取得许可证照从事食品经营活动</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网吧、文具店、书店、花店等未经许可兼营少量散装食品，且同时符合以下条件的：2首次被发现实施此类违法行为；3.经营的预包装食品来源合法，履行了进货查验义务；4.当事人主动改正违法行为，案件调查终结前取得食品经营许可，或不再从事散装食品经营活动；5.未造成食品安全事故等人身危害</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《中华人民共和国食品安全法》第一百二十二条　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明知从事前款规定的违法行为，仍为其提供生产经营场所或者其他条件的，由县级以上人民政府食品安全监督管理部门责令停止违法行为，没收违法所得，并处五万元以上十万元以下罚款；使消费者的合法权益受到损害的，应当与食品、食品添加剂生产经营者承担连带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生产经营无标签的预包装食品、食品添加剂或者标签、说明书不符合本法规定的食品、食品添加剂</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当事人在案件调查终结前主动改正违法行为，2.不属于标签、说明书存在瑕疵但不影响食品安全且不会对消费者造成误导的情形，3.不属于同一产品再次发生违法行为情形，4.履行了索证索票义务，5.未造成食品安全事故等人身危害</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《中华人民共和国食品安全法》第一百二十五条第一款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（二）生产经营无标签的预包装食品、食品添加剂或者标签、说明书不符合本法规定的食品、食品添加剂；</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食品经营许可证载明的许可事项发生变化，食品经营者未按规定申请变更经营许可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1.入网食品生产者超过许可的类别范围销售食品、入网食品经营者超过许可的经营项目范围从事食品经营，违法情节轻微；2采取有效措施减轻或者消除食品安全风险；3.未造成危害后果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《中华人民共和国食品安全法》第一百二十二条 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明知从事前款规定的违法行为，仍为其提供生产经营场所或者其他条件的，由县级以上人民政府食品安全监督管理部门责令停止违法行为，没收违法所得，并处五万元以上十万元以下罚款；使消费者的合法权益受到损害的，应当与食品、食品添加剂生产经营者承担连带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《网络食品安全违法行为查处办法》第三十八条 违反本办法第十六条规定，入网食品生产经营者未依法取得食品生产经营许可的，或者入网食品生产者超过许可的类别范围销售食品、入网食品经营者超过许可的经营项目范围从事食品经营的，依照食品安全法第一百二十二条的规定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生产经营致病性微生物，农药残留、兽药残留、生物毒素、重金属等污染物质以及其他危害人体健康的物质含量超过食品安全标准限量的食品、食品添加剂</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食品经营者销售非自制的污染物质以及其他危害人体健康的物质含量超过食品安全标准限量的食品、食品添加剂、食品相关产品；2.虽然没有完全履行法律法规规定的进货查验等义务，但有充分证据证明其不知道所采购的食品、食品添加剂、食品相关产品不符合食品安全标准，即不合格项属于需要通过检验检测才能判定是否符合食品安全标准的情形３.能如实说明其进货来源</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《中华人民共和国食品安全法》第一百二十四条第一款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一）生产经营致病性微生物，农药残留、兽药残留、生物毒素、重金属等污染物质以及其他危害人体健康的物质含量超过食品安全标准限量的食品、食品添加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《中华人民共和国食品安全法》第一百三十六条 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农产品销售企业销售的农产品或农产品批发市场中销售的农产品不符合农产品质量安全标准</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食用农产品销售者销售不符合食品安全标准的食用农产品；2.虽然没有完全履行法律法规规定的进货查验等义务，但有充分证据证明其不知道所采购的食用农产品不符合食品安全标准，即不合格项属于需要通过检验检测才能判定是否符合农产品质量安全标准的情形３.能如实说明其进货来源.</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《食用农产品市场销售质量安全监督管理办法》第五十四条 销售者履行了本办法规定的食用农产品进货查验等义务，有充分证据证明其不知道所采购的食用农产品不符合食品安全标准，并能如实说明其进货来源的，可以免予处罚，但应当依法没收其不符合食品安全标准的食用农产品；造成人身、财产或者其他损害的，依法承担赔偿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生产经营添加药品的食品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食品经营者销售非自制的添加药品的食品；2.虽然没有完全履行法律法规规定的进货查验等义务，但有充分证据证明其不知道所采购的食品不符合食品安全标准，即需要通过检验检测才能判定食品中是否添加药品情形；3.有充分证据证明其不知道所采购的食品不符合食品安全标准；4.如实说明其进货来源</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《中华人民共和国食品安全法》第一百二十三条第一款 违反本法规定，有下列情形之一，尚不构成犯罪的，由县级以上人民政府食品安全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六）生产经营添加药品的食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《中华人民共和国食品安全法》第一百三十六条 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食品经营者采购或者使用不符合食品安全标准的食品原料、食品添加剂、食品相关产品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食品经营者采购或者使用非自制的不符合食品安全标准的食品原料、食品添加剂、食品相关产品；2.虽然没有完全履行法律法规规定的进货查验等义务，但有充分证据证明其不知道所采购的食品、食品添加剂、食品相关产品不符合食品安全标准，即不合格项属于需要通过检验检测才能判定是否符合食品安全标准的情形；3.能如实说明其进货来源</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《中华人民共和国食品安全法》第一百二十五条第一款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四）食品生产经营者采购或者使用不符合食品安全标准的食品原料、食品添加剂、食品相关产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《中华人民共和国食品安全法》第一百三十六条 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生产经营超范围、超限量使用食品添加剂的食品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食品经营者销售非自制的超范围、超限量使用食品添加剂的食品；2.虽然没有完全履行法律法规规定的进货查验等义务，但有充分证据证明其不知道所采购的食品超范围、超限量使用了食品添加剂，即不合格项属于需要通过检验检测才能判定是否超范围、超限量使用食品添加剂的情形；３.能如实说明其进货来源</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《中华人民共和国食品安全法》第一百二十四条第一款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三）生产经营超范围、超限量使用食品添加剂的食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《中华人民共和国食品安全法》第一百三十六条 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生产经营被包装材料、容器、运输工具等污染的食品、食品添加剂</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食品经营者销售非自身原因导致的被包装材料、容器、运输工具等污染的食品、食品添加剂；2.履行了该法规定的进货查验等义务；3.有充分证据证明其不知道所采购的食品不符合食品安全标准；4.如实说明其进货来源，需要没收其不符合食品安全标准食品</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《中华人民共和国食品安全法》第一百二十五条第一款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一）生产经营被包装材料、容器、运输工具等污染的食品、食品添加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《中华人民共和国食品安全法》第一百三十六条 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生产经营标注虚假生产日期、保质期或者超过保质期的食品、食品添加剂</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食品经营者销售非自制的标签上标注虚假生产日期、保质期的食品、食品添加剂；2.虽然没有完全履行法律法规规定的进货查验等义务，但有充分证据证明不能通过查验直接发现所采购的食品、食品添加剂虚假标注生产日期保质期；4.如实说明其进货来源，需要没收其不符合食品安全标准食品</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《中华人民共和国食品安全法》第一百二十四条第一款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五）生产经营标注虚假生产日期、保质期或者超过保质期的食品、食品添加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《中华人民共和国食品安全法》第一百三十六条 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标签、标识存在虚假标注的食品，食品生产者在知悉食品安全风险后72小时内未启动召回，也未向县级以上地方市场监督管理部门报告召回计划</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1.违法行为超过规定时间较短；2.能及时改正消除隐患；3.超过规定时间未启动召回，但及时向管理部门报告了召回计划</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《食品召回管理办法》第十三条 根据食品安全风险的严重和紧急程度，食品召回分为三级:...(三)三级召回:标签、标识存在虚假标注的食品，食品生产者应当在知悉食品安全风险后72小时内启动召回，并向县级以上地方食品药品监督管理部门报告召回计划。标签、标识存在瑕疵，食用后不会造成健康损害的食品，食品生产者应当改正，可以自愿召回。</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第三十八条　食品生产经营者违反本办法第八条第一款、第十二条第一款、第十三条、第十四条、第二十条第一款、第二十一条、第二十三条第一款、第二十四条第一款的规定，不立即停止生产经营、不主动召回、不按规定时限启动召回、不按照召回计划召回不安全食品或者不按照规定处置不安全食品的，由食品药品监督管理部门给予警告，并处一万元以上三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食品经营者出租、出借食品经营许可证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1.违法出租、出借食品经营许可证时间较短；2.能及时改正；3.未造成实际危害后果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《食品经营许可管理办法》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第二十六条　食品经营者应当妥善保管食品经营许可证，不得伪造、涂改、倒卖、出租、出借、转让。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食品经营者应当在经营场所的显著位置悬挂或者摆放食品经营许可证正本。</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第四十八条　违反本办法第二十六条第一款规定，食品经营者伪造、涂改、倒卖、出租、出借、转让食品经营许可证的，由县级以上地方食品药品监督管理部门责令改正，给予警告，并处1万元以下罚款；情节严重的，处1万元以上3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违反本办法第二十六条第二款规定，食品经营者未按规定在经营场所的显著位置悬挂或者摆放食品经营许可证的，由县级以上地方食品药品监督管理部门责令改正；拒不改正的，给予警告。</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未取得《药品经营许可证》或《医疗机构制剂许可证》经营药品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Style w:val="7"/>
                <w:lang w:val="en-US" w:eastAsia="zh-CN" w:bidi="ar"/>
              </w:rPr>
              <w:t>1.涉案药品风险性低，质量符合标准</w:t>
            </w:r>
            <w:r>
              <w:rPr>
                <w:rStyle w:val="8"/>
                <w:lang w:val="en-US" w:eastAsia="zh-CN" w:bidi="ar"/>
              </w:rPr>
              <w:t>，</w:t>
            </w:r>
            <w:r>
              <w:rPr>
                <w:rStyle w:val="7"/>
                <w:lang w:val="en-US" w:eastAsia="zh-CN" w:bidi="ar"/>
              </w:rPr>
              <w:t>并积极配合调查的；2.符合裁量规则规定的减轻行政处罚情形之一</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《中华人民共和国药品管理法》第一百一十五条 未取得药品生产许可证、药品经营许可证或者医疗机构制剂许可证生产、销售药品的，责令关闭，没收违法生产、销售的药品和违法所得，并处违法生产、销售的药品（包括已售出和未售出的药品，下同）货值金额十五倍以上三十倍以下的罚款；货值金额不足十万元的，按十万元计算。</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销售假药、医疗机构使用假药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1.药品经营企业、医疗机构未违反《中华人民共和国药品管理法》和《中华人民共和国药品管理法实施条例》的有关进货查验的规定；2.有充分证据证明其不知道所销售或者使用的药品是假药</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《中华人民共和国药品管理法》第一百一十六条 生产、销售假药的，没收违法生产、销售的药品和违法所得，责令停产停业整顿，吊销药品批准证明文件，并处违法生产、销售的药品货值金额十五倍以上三十倍以下的罚款；货值金额不足十万元的，按十万元计算；情节严重的，吊销药品生产许可证、药品经营许可证或者医疗机构制剂许可证，十年内不受理其相应申请；药品上市许可持有人为境外企业的，十年内禁止其药品进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《药品管理法实施条例第》七十五条 药品经营企业、医疗机构未违反《药品管理法》和本条例的有关规定，并有充分证据证明其不知道所销售或者使用的药品是假药、劣药的，应当没收其销售或者使用的假药、劣药和违法所得；但是，可以免除其他行政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销售劣药；医疗机构使用劣药</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1.涉案药品风险性低，质量符合标准，并积极配合调查的；2.符合裁量规则规定的减轻行政处罚情形之一</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《中华人民共和国药品管理法》第一百一十九条 药品使用单位使用假药、劣药的，按照销售假药、零售劣药的规定处罚；情节严重的，法定代表人、主要负责人、直接负责的主管人员和其他责任人员有医疗卫生人员执业证书的，还应当吊销执业证书。</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未取得药品生产许可证、药品经营许可证或者医疗机构制剂许可证生产、销售药品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1.涉案药品风险性低，质量符合标准，并积极配合调查的；2.符合裁量规则规定的减轻行政处罚情形之一</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《中华人民共和国药品管理法》第一百一十五条 未取得药品生产许可证、药品经营许可证或者医疗机构制剂许可证生产、销售药品的，责令关闭，没收违法生产、销售的药品和违法所得，并处违法生产、销售的药品（包括已售出和未售出的药品，下同）货值金额十五倍以上三十倍以下的罚款；货值金额不足十万元的，按十万元计算。</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生产、销售劣药的；医疗机构使用劣药的；生产没有国家药品标准的中药饮片，不符合炮制规范</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1.涉案药品风险性低，质量符合标准，并积极配合调查的；2.符合裁量规则规定的减轻行政处罚情形之一</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《中华人民共和国药品管理法》第一百一十七条 生产、销售劣药的，没收违法生产、销售的药品和违法所得，并处违法生产、销售的药品货值金额十倍以上二十倍以下的罚款；违法生产、批发的药品货值金额不足十万元的，按十万元计算，违法零售的药品货值金额不足一万元的，按一万元计算；情节严重的，责令停产停业整顿直至吊销药品批准证明文件、药品生产许可证、药品经营许可证或者医疗机构制剂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生产、销售的中药饮片不符合药品标准，尚不影响安全性、有效性的，责令限期改正，给予警告；可以处十万元以上五十万元以下的罚款。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第二类精神药品零售企业违反规定储存、销售或者销毁第二类精神药品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1.涉案第二类精神药品数量较少；2.违法所得较少；3.未造成危害影响的或危害影响较小；4.能及时改正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《麻醉药品和精神药品管理条例》第三十二条 第二类精神药品零售企业应当凭执业医师出具的处方，按规定剂量销售第二类精神药品，并将处方保存2年备查;禁止超剂量或者无处方销售第二类精神药品;不得向未成年人销售第二类精神药品。                                                                                                                                 第四十九条 第二类精神药品经营企业应当在药品库房中设立独立的专库或者专柜储存第二类精神药品，并建立专用账册，实行专人管理。专用账册的保存期限应当自药品有效期期满之日起不少于5年。                                                                                                                                     第六十一条第一款 麻醉药品和精神药品的生产、经营企业和使用单位对过期、损坏的麻醉药品和精神药品应当登记造册，并向所在地县级药品监督管理部门申请销毁。药品监督管理部门应当自接到申请之日起5日内到场监督销毁。医疗机构对存放在本单位的过期、损坏麻醉药品和精神药品，应当按照本条规定的程序向卫生主管部门提出申请，由卫生主管部门负责监督销毁。                                                                                                                                 第七十条：“第二类精神药品零售企业违反本条例的规定储存、销售或者销毁第二类精神药品的，由药品监督管理部门责令限期改正，给予警告，并没收违法所得和违法销售的药品；逾期不改正的，责令停业，并处5000元以上2万元以下的罚款；情节严重的，取消其第二类精神药品零售资格。”                                               第八十三条：“本章规定由药品监督管理部门作出的行政处罚，由县级以上药品监督管理部门按照国务院药品监督管理部门规定的职责分工决定。”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易制毒化学品生产、经营、购买、运输或者进口、出口单位未按规定建立安全管理制度</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1.违法行为时间较短；2.能及时改正；3.未造成实际危害后果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《易制毒化学品管理条例》 第五条第四款  生产、经营、购买、运输和进口、出口易制毒化学品的单位,应当建立单位内部易制毒化学品管理制度。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条第一款第（一）项至第（七）项：“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 （一）易制毒化学品生产、经营、购买、运输或者进口、出口单位未按规定建立安全管理制度的；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药品类易制毒化学品生产企业、经营企业、使用药品类易制毒化学品的药品生产企业、教学科研单位，未按规定执行安全管理制度</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1.违法行为时间较短；2.能及时改正；3.未造成实际危害后果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《易制毒化学品管理条例》 第四十条第一款第（一）项至第（七）项：“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《药品类易制毒化学品管理办法》                                                                                                                          第四十一条:“药品类易制毒化学品生产企业、经营企业、使用药品类易制毒化学品的药品生产企业、教学科研单位，未按规定执行安全管理制度的，由县级以上食品药品监督管理部门按照《条例》第四十条第一款第一项的规定给予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药品生产、经营企业应当知道他人从事无证生产、经营药品行为而为其提供药品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1.有证据证明不知道他人从事无证生产、经营药品行为但未尽到合理的审查义务；2.能及时改正；3.涉案药品数量较少；4.未造成危害后果和重大社会影响</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《药品流通监督管理办法》第十三条“药品生产、经营企业知道或者应当知道他人从事无证生产、经营药品行为的，不得为其提供药品。”                                                      第三十五条“违反本办法第十三条规定，药品生产、经营企业知道或者应当知道他人从事无证生产、经营药品行为而为其提供药品的，给予警告，责令改正，并处一万元以下的罚款，情节严重的，处一万元以上三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无菌器械经营企业无购销记录</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1.违法次数较少；2.因未尽到合理保存义务而导致无购销记录</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《一次性使用无菌医疗器械监督管理办法（暂行)》  第五条 生产无菌器械应按《生产实施细则》的要求采购材料、部件。企业应保存完整的采购、销售票据和记录，票据和记录应保存至产品有效期满二年。购销记录应包括:销售或购进的单位名称，供应或采购数量、产品名称、型号规格、生产批号、灭菌批号、产品有效期等。</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第三十九条“无菌器械经营企业，无购销记录或伪造购销记录，伪造生产批号、灭菌批号、产品有效期的，由县级以上药品监督管理部门予以警告，责令停止经营，并处以5000元以上2万元以下罚款。”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医疗器械使用单位、生产经营企业和维修服务机构等不配合食品药品监督管理部门的监督检查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1.轻微影响行政监督检查，尚未造成实际危害后果；2.在行政机关责令改正期限内能及时改正积极配合监督检查</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《医疗器械使用质量监督管理办法》 第二十三条第三款  医疗器械使用单位、生产经营企业和维修服务机构等应当配合食品药品监督管理部门的监督检查，如实提供有关情况和资料，不得拒绝和隐瞒。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二条：“医疗器械使用单位、生产经营企业和维修服务机构等不配合食品药品监督管理部门的监督检查，或者拒绝、隐瞒、不如实提供有关情况和资料的，由县级以上食品药品监督管理部门责令改正，给予警告，可以并处2万元以下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经营者不执行政府指导价、政府定价以及法定的价格干预措施、紧急措施）</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1.违法所得数额较小；2.主动消除违法行为危害后果；3.属于首次违法行为</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《中华人民共和国价格法》第三十九条 经营者不执行政府指导价、政府定价以及法定的价格干预措施、紧急措施的，责令改正，没收违法所得，可以并处违法所得五倍以下的罚款；没有违法所得的，可以处以罚款；情节严重的，责令停业整顿。</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经营者实施混淆行为，引人误认为是他人商品或者与他人存在特定联系</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1.能提供商品来源和进货票据；2.能够积极采取改正措施</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《四川省反不正当竞争条例》第二十九条第一款 经营者违反本条例第十五条规定，实施商业混淆行为、销售明知或者应知是实施了混淆行为的商品的，由监督检查部门责令停止违法行为，没收实施混淆行为的产品、标签、包装、宣传材料、模具、印版、图纸资料等违法商品。违法经营额五万元以上的，可以并处违法经营额五倍以下的罚款；没有违法经营额或者违法经营额不足五万元的，可以并处二十五万元以下的罚款。情节严重的，吊销营业执照。</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擅自使用他人有一定影响的企业名称（包括简称、字号等）、社会组织名称（包括简称等）、姓名（包括笔名、艺名、译名等）</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1.违法行为时间较短；2.不存在主管故意，并能及时改正；4.擅用他人名称的企业本身社会影响度较小；3.未造成危害后果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《中华人民共和国反不正当竞争法》第六条 经营者不得实施下列混淆行为，引人误认为是他人商品或者与他人存在特定联系：...（二）擅自使用他人有一定影响的企业名称（包括简称、字号等）、社会组织名称（包括简称等）、姓名（包括笔名、艺名、译名等）；</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第十八条　经营者违反本法第六条规定实施混淆行为的，由监督检查部门责令停止违法行为，没收违法商品。违法经营额五万元以上的，可以并处违法经营额五倍以下的罚款；没有违法经营额或者违法经营额不足五万元的，可以并处二十五万元以下的罚款。情节严重的，吊销营业执照。经营者登记的企业名称违反本法第六条规定的，应当及时办理名称变更登记；名称变更前，由原企业登记机关以统一社会信用代码代替其名称。</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抽奖式的有奖销售最高奖的金额超过五万元</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1.最高奖金额超过五万但超过金额不多；2.能及时改正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《中华人民共和国反不正当竞争法》第十条　经营者进行有奖销售不得存在下列情形：...（三）抽奖式的有奖销售，最高奖的金额超过五万元。                                                             第二十二条　经营者违反本法第十条规定进行有奖销售的，由监督检查部门责令停止违法行为，处五万元以上五十万元以下的罚款。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直销员向消费者推销产品，未出示直销员证和推销合同</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1.未出示直销员证和推销合同的行为次数较少；2.违法收入较少</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《直销管理条例》 第二十二条 直销员向消费者推销产品，应当遵守下列规定:（一）出示直销员证和推销合同;                                                                       第四十七条　直销员违反本条例第二十二条规定的，由工商行政管理部门没收违法销售收入，可以处5万元以下的罚款；情节严重的，责令直销企业撤销其直销员资格，并对直销企业处1万元以上10万元以下的罚款。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直销员向消费者推销产品，成交前，未向消费者详细介绍本企业的退货制度</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1.未向消费者详细介绍本企业退货制度的行为次数较少；2.违法收入较少；3.未对消费者的合法权益造成损失</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《直销管理条例》 第二十二条 直销员向消费者推销产品，应当遵守下列规定:（三）成交前，向消费者详细介绍本企业的退货制度;                                                                      第四十七条　直销员违反本条例第二十二条规定的，由工商行政管理部门没收违法销售收入，可以处5万元以下的罚款；情节严重的，责令直销企业撤销其直销员资格，并对直销企业处1万元以上10万元以下的罚款。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直销员向消费者推销产品，成交后，未向消费者提供发票和由直销企业出具的含有退货制度、直销企业当地服务网点地址和电话号码等内容的售货凭证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1.未向消费者提供发票等违法行为次数较少；2.违法收入较少；3.未对消费者的合法权益造成损失</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《直销管理条例》  第二十二条 直销员向消费者推销产品，应当遵守下列规定:（四）成交后，向消费者提供发票和由直销企业出具的含有退货制度、直销企业当地服务网点地址和电话号码等内容的售货凭证。                                                                                                                                          第四十七条　直销员违反本条例第二十二条规定的，由工商行政管理部门没收违法销售收入，可以处5万元以下的罚款；情节严重的，责令直销企业撤销其直销员资格，并对直销企业处1万元以上10万元以下的罚款。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bl>
    <w:p>
      <w:pPr>
        <w:jc w:val="both"/>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宋体" w:hAnsi="宋体" w:eastAsia="宋体" w:cs="宋体"/>
          <w:b/>
          <w:bCs/>
          <w:sz w:val="44"/>
          <w:szCs w:val="52"/>
          <w:lang w:val="en-US" w:eastAsia="zh-CN"/>
        </w:rPr>
      </w:pPr>
      <w:r>
        <w:rPr>
          <w:rFonts w:hint="eastAsia" w:ascii="楷体" w:hAnsi="楷体" w:eastAsia="楷体" w:cs="楷体"/>
          <w:b/>
          <w:bCs/>
          <w:sz w:val="40"/>
          <w:szCs w:val="48"/>
          <w:lang w:val="en-US" w:eastAsia="zh-CN"/>
        </w:rPr>
        <w:t>四、从轻行政处罚事项清单</w:t>
      </w:r>
    </w:p>
    <w:tbl>
      <w:tblPr>
        <w:tblStyle w:val="4"/>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2903"/>
        <w:gridCol w:w="2872"/>
        <w:gridCol w:w="1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trPr>
        <w:tc>
          <w:tcPr>
            <w:tcW w:w="14240" w:type="dxa"/>
            <w:gridSpan w:val="6"/>
          </w:tcPr>
          <w:p>
            <w:pPr>
              <w:jc w:val="both"/>
              <w:rPr>
                <w:rFonts w:hint="default" w:ascii="宋体" w:hAnsi="宋体" w:eastAsia="宋体" w:cs="宋体"/>
                <w:b/>
                <w:bCs/>
                <w:sz w:val="52"/>
                <w:szCs w:val="72"/>
                <w:vertAlign w:val="baseline"/>
                <w:lang w:val="en-US" w:eastAsia="zh-Hans"/>
              </w:rPr>
            </w:pPr>
            <w:r>
              <w:rPr>
                <w:rFonts w:hint="eastAsia" w:ascii="宋体" w:hAnsi="宋体" w:eastAsia="宋体" w:cs="宋体"/>
                <w:b/>
                <w:bCs/>
                <w:sz w:val="36"/>
                <w:szCs w:val="44"/>
                <w:vertAlign w:val="baseline"/>
                <w:lang w:val="en-US" w:eastAsia="zh-CN"/>
              </w:rPr>
              <w:t>单位：</w:t>
            </w:r>
            <w:r>
              <w:rPr>
                <w:rFonts w:hint="eastAsia" w:ascii="宋体" w:hAnsi="宋体" w:eastAsia="宋体" w:cs="宋体"/>
                <w:b/>
                <w:bCs/>
                <w:sz w:val="36"/>
                <w:szCs w:val="44"/>
                <w:vertAlign w:val="baseline"/>
                <w:lang w:val="en-US" w:eastAsia="zh-Hans"/>
              </w:rPr>
              <w:t>理县市场监督管理局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4" w:hRule="atLeast"/>
        </w:trPr>
        <w:tc>
          <w:tcPr>
            <w:tcW w:w="102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序号</w:t>
            </w:r>
          </w:p>
        </w:tc>
        <w:tc>
          <w:tcPr>
            <w:tcW w:w="3015"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行政处罚事项</w:t>
            </w:r>
          </w:p>
        </w:tc>
        <w:tc>
          <w:tcPr>
            <w:tcW w:w="255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实施机关</w:t>
            </w:r>
          </w:p>
        </w:tc>
        <w:tc>
          <w:tcPr>
            <w:tcW w:w="2903" w:type="dxa"/>
          </w:tcPr>
          <w:p>
            <w:pPr>
              <w:jc w:val="center"/>
              <w:rPr>
                <w:rFonts w:hint="default"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从轻处罚使用条件</w:t>
            </w:r>
          </w:p>
        </w:tc>
        <w:tc>
          <w:tcPr>
            <w:tcW w:w="2872"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法律依据</w:t>
            </w:r>
          </w:p>
        </w:tc>
        <w:tc>
          <w:tcPr>
            <w:tcW w:w="188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公司在合并、分立、减少注册资本或者进行清算时，不依照规定通知或者公告债权人</w:t>
            </w:r>
          </w:p>
        </w:tc>
        <w:tc>
          <w:tcPr>
            <w:tcW w:w="2550" w:type="dxa"/>
            <w:vAlign w:val="center"/>
          </w:tcPr>
          <w:p>
            <w:pPr>
              <w:widowControl/>
              <w:snapToGrid w:val="0"/>
              <w:jc w:val="left"/>
              <w:textAlignment w:val="center"/>
              <w:rPr>
                <w:rFonts w:hint="default" w:ascii="仿宋_GB2312" w:hAnsi="仿宋_GB2312" w:eastAsia="仿宋_GB2312" w:cs="仿宋_GB2312"/>
                <w:color w:val="000000"/>
                <w:kern w:val="0"/>
                <w:sz w:val="24"/>
                <w:szCs w:val="24"/>
                <w:lang w:val="en-US" w:eastAsia="zh-Hans"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1.能立即改正或在期限内改正；2.未给债权人造成损失或造成较小损失</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《中华人民共和国公司法》                                                                                                                                 第一百七十三条 公司合并，应当由合并各方签订合并协议，并编制资产负债表及财产清单。公司应当自作出合并决议之日起十日内通知债权人，并于三十日内在报纸上公告。债权人自接到通知书之日起三十日内，未接到通知书的自公告之日起四十五日内，可以要求公司清偿债务或者提供相应的担保。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第一百七十五条第二款 公司分立，应当编制资产负债表及财产清单。公司应当自作出分立决议之日起十日内通知债权人，并于三十日内在报纸上公告。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第一百七十七条第二款 公司应当自作出减少注册资本决议之日起十日内通知债权人，并于三十日内在报纸上公告。债权人自接到通知书之日起三十日内，未接到通知书的自公告之日起四十五日内，有权要求公司清偿债务或者提供相应的担保。</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第一百八十五条第一款  清算组应当自成立之日起十日内通知债权人，并于六十日内在报纸上公告。债权人应当自接到通知书之日起三十日内，未接到通知书的自公告之日起四十五日内，向清算组申报其债权。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第二百零四条第一款　公司在合并、分立、减少注册资本或者进行清算时，不依照本法规定通知或者公告债权人的，由公司登记机关责令改正，对公司处以一万元以上十万元以下的罚款。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对违反《合同行政监督管理办法》第五条、第六条第一款、第七条、第八条、第九条、第十二条规定的行为 </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主动消除或者减轻危害后果的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《合同行政监督管理办法》                                                  第十八条  经营者违反本办法第五条、第六条第一款、第七条、第八条、第九条、第十二条规定，法律、行政法规有规定的，依照其规定；没有规定的，由县级以上市场监督管理部门责令限期改正，给予警告，并可以处十万元以下罚款。       第十九条  合同违法行为轻微并及时改正，没有造成危害后果的，不予行政处罚；主动消除或者减轻危害后果的，从轻或者减轻行政处罚。           </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1" w:hRule="atLeast"/>
        </w:trPr>
        <w:tc>
          <w:tcPr>
            <w:tcW w:w="1020"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冒用合同示范文本的名义或者编号</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1.违法行为时间较短（不足3个月？）；2.涉案合同金额较少；3.未对合同相对方造成严重危害后果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《四川省合同监督条例》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第十三条 当事人可以使用合同示范文本订立合同，也可以参照合同示范文本订立合同。使用合同示范文本订立合同的，当事人可以订立补充协议。补充协议的内容与合同示范文本不一致或者参照合同示范文本订立的合同，不得使用合同示范文本的名义或者编号。任何单位和个人不得伪造合同示范文本。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第四十四条 违反本条例第十三条规定，使用合同示范文本的名义或者编号、伪造合同示范文本的，由工商行政管理部门责令其改正，可处以5000元以上1万元以下的罚款。</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trPr>
        <w:tc>
          <w:tcPr>
            <w:tcW w:w="1020"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未经商标注册人的许可，在同一种商品上使用与其注册商标相同的商标</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1.违法行为时间不足6个月；2.危害后果轻微；3.能及时改正；4.经调解与权利人达成赔偿协议并及时履行</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《中华人民共和国商标法》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第五十七条有下列行为之一的，均属侵犯注册商标专用权：（一）未经商标注册人的许可，在同一种商品上使用与其注册商标相同的商标的；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伪造、擅自制造他人注册商标标识或者销售伪造、擅自制造的注册商标标识</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1.违法行为时间不足6个月；2.危害后果轻微；3.能及时改正；4.经调解与权利人达成赔偿协议并及时履行</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《中华人民共和国商标法》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第五十七条有下列行为之一的，均属侵犯注册商标专用权：（四）伪造、擅自制造他人注册商标标识或者销售伪造、擅自制造的注册商标标识的；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未经特殊标志所有人许可，擅自制造、销售其特殊标志或者将其特殊标志用于商业活动</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《特殊标志管理条例》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第十六条 有下列行为之一的，由县级以上人民政府工商行政管理部门责令侵权人立即停止侵权行为，没收侵权商品，没收违法所得，并处违法所得5倍以下的罚款，没有违法所得的，处1万元以下的罚款：(二)未经特殊标志所有人许可，擅自制造、销售其特殊标志或者将其特殊标志用于商业活动的；</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擅自使用与所有人的特殊标志相同或者近似的文字、图形或者其组合</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《特殊标志管理条例》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第十六条 有下列行为之一的，由县级以上人民政府工商行政管理部门责令侵权人立即停止侵权行为，没收侵权商品，没收违法所得，并处违法所得5倍以下的罚款，没有违法所得的，处1万元以下的罚款：(一)擅自使用与所有人的特殊标志相同或者近似的文字、图形或者其组合的；</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商标印制单位未建立商标标识出入库制度</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《商标印制管理办法》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第九条 商标印制单位应当建立商标标识出入库制度，商标标识出入库应当登记台帐。废次标识应当集中进行销毁，不得流入社会。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第十一条 商标印制单位违反本办法第七条至第十条规定的，由所在地市场监督管理部门责令其限期改正，并视其情节予以警告，处以非法所得额三倍以下的罚款，但最高不超过三万元，没有违法所得的，可以处以一万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商标印制单位未对商标印制委托人提供的证明文件和商标图样进行核查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《商标印制管理办法》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第七条　商标印制单位应当对商标印制委托人提供的证明文件和商标图样进行核查。商标印制委托人未提供本办法第三条、第四条所规定的证明文件，或者其要求印制的商标标识不符合本办法第五条、第六条规定的，商标印制单位不得承接印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第十一条 商标印制单位违反本办法第七条至第十条规定的，由所在地市场监督管理部门责令其限期改正，并视其情节予以警告，处以非法所得额三倍以下的罚款，但最高不超过三万元，没有违法所得的，可以处以一万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商标印制单位未将商标印制档案及商标标识出入库台帐存档备查</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《商标印制管理办法》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第十条 商标印制档案及商标标识出入库台帐应当存档备查，存查期为两年。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第十一条 商标印制单位违反本办法第七条至第十条规定的，由所在地市场监督管理部门责令其限期改正，并视其情节予以警告，处以非法所得额三倍以下的罚款，但最高不超过三万元，没有违法所得的，可以处以一万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在未被授予专利权的产品、产品包装或者宣传材料上标注专利标识，专利权被宣告无效后或者终止后，继续在制造或者销售的产品、产品包装或者宣传材料上标注专利标记</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1.涉案产品、产品包装或者宣传材料数量较少；2.能及时停止违法行为，公开更正，消除影响；3.管理专利工作的部门介入后，能与被侵权人达成和解协议并及时履行；4.对权利人造成的危害后果轻微</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《四川省专利保护条例》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第四十三条　管理专利工作的部门对下列专利违法行为进行查处：...（二）在未被授予专利权的产品、产品包装或者宣传材料上标注专利标识，专利权被宣告无效后或者终止后，继续在制造或者销售的产品、产品包装或者宣传材料上标注专利标记的；                                                                                    第四十九条　有本条例第四十三条规定的专利违法行为的，由管理专利工作的部门责令当事人停止违法行为，公开更正，消除影响。有违法所得的，没收违法所得，可以并处违法所得1倍以上2倍以下的罚款。情节较轻的，可以并处违法所得1倍以下的罚款；情节严重的，可以并处违法所得2倍以上4倍以下的罚款。没有违法所得的，可以处2万元以上10万元以下罚款。情节较轻的，可以处2万元以下罚款；情节严重的，可以处10万元以上20万元以下罚款。构成犯罪的，依法追究刑事责任。</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在广告等宣传材料或者合同中将非专利技术称为专利技术，非专利产品称为专利产品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1.在自营场所或自营网站上发布宣传广告影响较小或合同涉及金额较小；2.能及时停止违法行为，公开更正，消除影响</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《四川省专利保护条例》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第四十三条　管理专利工作的部门对下列专利违法行为进行查处：...（三）在广告等宣传材料或者合同中将非专利技术称为专利技术，非专利产品称为专利产品的；                                               第四十九条　有本条例第四十三条规定的专利违法行为的，由管理专利工作的部门责令当事人停止违法行为，公开更正，消除影响。有违法所得的，没收违法所得，可以并处违法所得1倍以上2倍以下的罚款。情节较轻的，可以并处违法所得1倍以下的罚款；情节严重的，可以并处违法所得2倍以上4倍以下的罚款。没有违法所得的，可以处2万元以上10万元以下罚款。情节较轻的，可以处2万元以下罚款；情节严重的，可以处10万元以上20万元以下罚款。构成犯罪的，依法追究刑事责任。</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未经许可，在其制造、销售的产品或者该产品的包装上标注他人专利号</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1.涉案产品、产品包装数量较少；2.能及时停止违法行为，公开更正，消除影响；3.管理专利工作的部门介入后，能与被侵权人达成和解协议并及时履行；4.对权利人造成的危害后果轻微</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《四川省专利保护条例》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第四十三条 管理专利工作的部门对下列专利违法行为进行查处：...（六）未经许可，在其制造、销售的产品或者该产品的包装上标注他人专利号的；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第四十九条 有本条例第四十三条规定的专利违法行为的，由管理专利工作的部门责令当事人停止违法行为，公开更正，消除影响。有违法所得的，没收违法所得，可以并处违法所得1倍以上2倍以下的罚款。情节较轻的，可以并处违法所得1倍以下的罚款；情节严重的，可以并处违法所得2倍以上4倍以下的罚款。没有违法所得的，可以处2万元以上10万元以下罚款。情节较轻的，可以处2万元以下罚款；情节严重的，可以处10万元以上20万元以下罚款。构成犯罪的，依法追究刑事责任。</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未经许可，在广告等宣传材料或者合同、投标书等资料中使用他人专利号</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1.在自营场所或自营网站上发布宣传广告影响较小或合同、投标书涉及金额较小；2.能及时停止违法行为，公开更正，消除影响；3.对权利人造成的危害后果轻微</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《四川省专利保护条例》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第四十三条 管理专利工作的部门对下列专利违法行为进行查处：...（七）未经许可，在广告等宣传材料或者合同、投标书等资料中使用他人专利号的；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第四十九条 有本条例第四十三条规定的专利违法行为的，由管理专利工作的部门责令当事人停止违法行为，公开更正，消除影响。有违法所得的，没收违法所得，可以并处违法所得1倍以上2倍以下的罚款。情节较轻的，可以并处违法所得1倍以下的罚款；情节严重的，可以并处违法所得2倍以上4倍以下的罚款。没有违法所得的，可以处2万元以上10万元以下罚款。情节较轻的，可以处2万元以下罚款；情节严重的，可以处10万元以上20万元以下罚款。构成犯罪的，依法追究刑事责任。</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专利权人及利害关系人强制专利实施被许可人购买其他专利使用权</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1.实施此类违法行为次数较少；2.强制被许可人购买其他专利使用权的费用较少；3.能及时改正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《四川省专利保护条例》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第四十条　专利权人及利害关系人应当依法行使其权利，不得有下列行为：（一）强制专利实施被许可人购买其他专利使用权；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第四十八条　违反本条例第四十条规定的，由管理专利工作的部门责令改正，可以处1万元以上5万元以下的罚款；情节严重的，可以处5万元以上10万元以下的罚款。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专利权人及利害关系人强制专利实施被许可人只能将基于专利权人专利作出的改进专利卖回给专利权人</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《四川省专利保护条例》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第四十条　专利权人及利害关系人应当依法行使其权利，不得有下列行为：...（二）强制专利实施被许可人只能将基于专利权人专利作出的改进专利卖回给专利权人；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第四十八条　违反本条例第四十条规定的，由管理专利工作的部门责令改正，可以处1万元以上5万元以下的罚款；情节严重的，可以处5万元以上10万元以下的罚款。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专利权人及利害关系人禁止专利实施被许可人对该专利的有效性提出异议</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《四川省专利保护条例》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第四十条　专利权人及利害关系人应当依法行使其权利，不得有下列行为：...（三）禁止专利实施被许可人对该专利的有效性提出异议。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第四十八条　违反本条例第四十条规定的，由管理专利工作的部门责令改正，可以处1万元以上5万元以下的罚款；情节严重的，可以处5万元以上10万元以下的罚款。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属于强制检定范围的计量器具，未按照规定申请检定和属于非强制检定范围的计量器具未自行定期检定或者送其他计量检定机构定期检定的，以及经检定不合格继续使用</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1.违法行为时间较短；2.能够主动改正或者及时中止违法行为；3.未造成危害后果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《中华人民共和国计量法实施细则》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第四十三条 属于强制检定范围的计量器具，未按照规定申请检定和属于非强制检定范围的计量器具未自行定期检定或者送其他计量检定机构定期检定的，以及经检定不合格继续使用的，责令其停止使用，可并处1000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制造、销售未经型式批准或样机试验合格的计量器具新产品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1.违法行为时间不足6个月；2.危害后果轻微；3.能及时改正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《中华人民共和国计量法实施细则》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第四十四条 制造、销售未经型式批准或样机试验合格的计量器具新产品的，责令其停止制造、销售，封存该种新产品，没收全部违法所得，可并处3000元以下的罚款。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经营销售残次计量器具零配件</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1.涉案销售残次计量器具零配件数量较少；2.违法所得较少；3.能及时停止经营销售</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《中华人民共和国计量法实施细则》                                                                                                                        第二十一条 任何单位和个人不得经营销售残次计量器具零配件，不得使用残次零配件组装和修理计量器具。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第四十七条 经营销售残次计量器具零配件的，责令其停止经营销售，没收残次计量器具零配件和全部违法所得，可并处 2000 元以下的罚款;情节严重的，由工商行政管理部门吊销其营业执照。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《计量违法行为处罚细则》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第十六条 经营销售残次计量器具零配件的，使用残次计量器具零配件组装、修理计量器具的，责令其停止经营销售，没收残次计量器具零配件及组装的计量器具和全部违法所得，可并处二千元以下的罚款；情节严重的，吊销其营业执照。</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眼镜制配者拒不提供账目，使违法所得难以计算</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1.违法行为时间较短；2.能够主动改正或者及时中止违法行为</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《眼镜制配计量监督管理办法》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第十二条 眼镜制配者违反本办法规定，拒不提供眼镜制配账目，使违法所得难以计算的，可根据违法行为的情节轻重处以最高不超过30000元的罚款。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3015" w:type="dxa"/>
            <w:vAlign w:val="center"/>
          </w:tcPr>
          <w:p>
            <w:pPr>
              <w:keepNext w:val="0"/>
              <w:keepLines w:val="0"/>
              <w:widowControl/>
              <w:suppressLineNumbers w:val="0"/>
              <w:spacing w:after="160" w:afterAutospacing="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眼镜镜片、角膜接触镜、成品眼镜销售者以及从事配镜验光、定配眼镜、角膜接触镜配戴的经营者未配备与销售、经营业务相适应的验光、瞳距、顶焦度、透过率、厚度等计量检测设备</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1.违法行为时间较短；2.能够主动改正或者及时中止违法行为；3.未造成危害后果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《眼镜制配计量监督管理办法》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第六条 眼镜镜片、角膜接触镜、成品眼镜销售者以及从事配镜验光、定配眼镜、角膜接触镜配戴的经营者除遵守本办法第四条规定外，还应当遵守以下规定：（二）配备与销售、经营业务相适应的验光、瞳距、顶焦度、透过率、厚度等计量检测设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第十一条 从事眼镜镜片、角膜接触镜、成品眼镜销售以及从事配镜验光、定配眼镜、角膜接触镜配戴经营者违反本办法第六条有关规定，应当按照以下规定进行处罚：（二）违反本办法第六条第二项规定的，责令改正，可以并处1000元以上10000元以下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使用不合格的计量器具或者破坏计量器具准确度和伪造数据，给国家和消费者造成损失</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1.违法行为时间较短；2.能够主动改正或者及时中止违法行为；3.未造成危害后果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《中华人民共和国计量法实施细则》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第四十六条 使用不合格计量器具或者破坏计量器具准确度和伪造数据，给国家和消费者造成损失的，责令其赔偿损失，没收计量器具和全部违法所得，可并处2000元以下的罚款。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集市主办者未设置符合要求的公平称</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1.违法行为时间较短；2.能够主动改正或者及时中止违法行为</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《集贸市场计量监督管理办法》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第五条 集市主办者应当做到：(六) 集市应当设置符合要求的公平秤，并负责保管、维护和监督检查，定期送当地质量技术监督部门所属的法定计量检定机构进行检定。公平秤是指对经营者和消费者之间因商品量称量结果发生的纠纷具有裁决作用的衡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第十一条 集市主办者违反本办法第五条第（四）项规定的，责令改正，逾期不改的，处以1000元以下的罚款。集市主办者违反本办法第五条第(五)项规定的，责令停止使用，限期改正，没收淘汰的计量器具，并处以1000元以下的罚款；情节严重的，由当地工商行政管理部门吊销集市主办者营业执照。集市主办者违反本办法第五条第(六)项规定的，限期改正，并处以1000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销售者销售的定量包装商品或者零售商品，其实际量与标注量或者实际量与贸易结算量不相符</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1.违法行为时间较短；2.能及时改正；3.未造成危害后果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《商品量计量违法行为处罚规定》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第五条 销售者销售的定量包装商品或者零售商品，其实际量与标注量或者实际量与贸易结算量不相符，计量偏差超过《定量包装商品计量监督管理办法》、《零售商品称重计量监督管理办法》或者国家其它有关规定的，市场监督管理部门责令改正，并处30000元以下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限期使用的产品，未在显著位置清晰地标明生产日期和安全使用期或者失效日期</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1.产品未销售；2.及时改正的；3.未造成危害后果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《中华人民共和国产品质量法》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第二十七条 产品或者其包装上的标识必须真实，并符合下列要求：（四）限期使用的产品，应当在显著位置清晰地标明生产日期和安全使用期或者失效日期；</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第五十四条 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使用不当，容易造成产品本身损坏或者可能危及人身、财产安全的产品，未按规定标注警示标志或者中文警示说明</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1.产品未销售；2.及时改正的；3.未造成危害后果</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《中华人民共和国产品质量法》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第二十七条 产品或者其包装上的标识必须真实，并符合下列要求：（五）使用不当，容易造成产品本身损坏或者可能危及人身、财产安全的产品，应当有警示标志或者中文警示说明。</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第五十四条 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特种设备的设计文件未经鉴定，擅自用于制造</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1.已按设计进行制造活动，但尚未制造成品；2.能够主动改正或者及时中止违法行为</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《中华人民共和国特种设备安全法》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第七十五条 违反本法规定，特种设备的设计文件未经鉴定，擅自用于制造的，责令改正，没收违法制造的特种设备，处五万元以上五十万元以下罚款。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29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特种设备使用单位使用未取得许可生产的，未经检验或者检验不合格的，国家明令淘汰、已经报废的特种设备</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1.违法行为不超过90天；2.未造成事故或严重后果、重大影响；3.能及时改正，完全消除安全隐患的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《中华人民共和国特种设备安全法》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第八十四条 违反本法规定，特种设备使用单位有下列行为之一的，责令停止使用有关特种设备，处三万元以上三十万元以下罚款:（一）使用未取得许可生产，未经检验或者检验不合格的特种设备，或者国家明令淘汰、已经报废的特种设备的；</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特种设备使用单位未对达到安全技术规范规定的其他报废条件的特种设备依法履行报废义务，并办理使用登记证书注销手续</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1.违法行为时间较短；2.未继续使用该特种设备；3.未造成事故或严重后果、重大影响；4.及时改正，完全消除安全隐患的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《中华人民共和国特种设备安全法》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第八十四条 违反本法规定，特种设备使用单位有下列行为之一的，责令停止使用有关特种设备，处三万元以上三十万元以下罚款:（三）特种设备存在严重事故隐患，无改造、修理价值，或者达到安全技术规范规定的其他报废条件，未依法履行报废义务，并办理使用登记证书注销手续的。</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电梯的维护保养单位未按照本法规定以及安全技术规范的要求，进行电梯维护保养</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1.违法行为时间较短；2.未造成事故或严重后果、重大影响；3.能及时改正，完全消除安全隐患的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《中华人民共和国特种设备安全法》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第八十八条 违反本法规定，未经许可，擅自从事电梯维护保养的，责令停止违法行为，处一万元以上十万元以下罚款；有违法所得的，没收违法所得。电梯的维护保养单位未按照本法规定以及安全技术规范的要求，进行电梯维护保养的，依照前款规定处罚。</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企业未依照本条例规定申请取得生产许可证而擅自生产列入目录产品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《中华人民共和国工业产品生产许可证管理条例》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第五条 任何企业未取得生产许可证不得生产列入目录的产品。任何单位和个人不得销售或者在经营活动中使用未取得生产许可证的列入目录的产品。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第四十五条 企业未依照本条例规定申请取得生产许可证而擅自生产列入目录产品的，由工业产品生产许可证主管部门责令停止生产，没收违法生产的产品，处违法生产产品货值金额等值以上3倍以下的罚款；有违法所得的，没收违法所得；构成犯罪的，依法追究刑事责任。</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销售或者在经营活动中使用未取得生产许可证的列入目录产品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1.违法行为时间较短；2.未造成危害后果；3.能及时改正；4.因过失而使用</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《中华人民共和国工业产品生产许可证管理条例》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第四十八条 销售或者在经营活动中使用未取得生产许可证的列入目录产品的，责令改正，处5万元以上20万元以下的罚款；有违法所得的，没收违法所得；构成犯罪的，依法追究刑事责任。</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检验机构和检验人员从事与其检验的列入目录产品相关的生产、销售活动，或者以其名义推荐或者监制、监销其检验的列入目录产品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《中华人民共和国工业产品生产许可证管理条例》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第二十二条 检验机构和检验人员不得从事与其检验的列入目录产品相关的生产、销售活动，不得以其名义推荐或者监制、监销其检验的列入目录产品。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第五十七条 检验机构和检验人员从事与其检验的列入目录产品相关的生产、销售活动，或者以其名义推荐或者监制、监销其检验的列入目录产品的，由工业产品生产许可证主管部门处2万元以上10万元以下的罚款；有违法所得的，没收违法所得；情节严重的，撤销其检验资格。</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变造许可证证书、生产许可证标志和编号</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1.违法行为时间较短；2.未造成危害后果；3.产品尚未销售的并及时改正的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《中华人民共和国工业产品生产许可证管理条例》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第五十一条 伪造、变造许可证证书、生产许可证标志和编号的，责令改正，没收违法生产、销售的产品，并处违法生产、销售产品货值金额等值以上3倍以下的罚款；有违法所得的，没收违法所得；构成犯罪的，依法追究刑事责任。</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取得生产许可证的企业出租、出借或者转让许可证证书、生产许可证标志和编号</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《中华人民共和国工业产品生产许可证管理条例》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第四十九条 取得生产许可证的企业出租、出借或者转让许可证证书、生产许可证标志和编号的，责令限期改正，处20万元以下的罚款；情节严重的，吊销生产许可证。违法接受并使用他人提供的许可证证书、生产许可证标志和编号的，责令停止生产、销售，没收违法生产、销售的产品，处违法生产、销售产品货值金额等值以上3倍以下的罚款；有违法所得的，没收违法所得；构成犯罪的，依法追究刑事责任。</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擅自动用、调换、转移被查封、扣押财物</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1.违法行为时间较短；2.主动将被动用、调换、转移物品追回恢复原状的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《中华人民共和国工业产品生产许可证管理条例》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第五十条 擅自动用、调换、转移、损毁被查封、扣押财物的，责令改正，处被动用、调换、转移、损毁财物价值5%以上20%以下的罚款；拒不改正的，处被动用、调换、转移、损毁财物价值1倍以上3倍以下的罚款。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未取得食品生产经营许可从事食品生产经营活动，或者未取得食品添加剂生产许可从事食品添加剂生产活动</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1.违法行为时间较短；2.未造成危害后果；3.能及时改正，积极采取有效措施减轻或者消除食品安全风险</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《中华人民共和国食品安全法》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第三十五条　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第一百二十二条 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39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酒类生产加工小作坊使用食用酒精加工生产酒类、生产预包装酒类</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1.违法行为时间较短；2.未造成危害后果；3.能及时改正;4.涉案酒类食品符合食品安全标准的；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《四川省酒类管理条例》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第十四条 酒类生产加工小作坊生产加工白酒应当使用纯粮固态法酿造，禁止使用食用酒精加工生产酒类，禁止生产预包装酒类。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第三十九条 违反本条例第十四条规定，使用食用酒精加工生产酒类、生产预包装酒类的，由县级以上地方人民政府食品安全监督管理部门没收违法所得和违法生产经营的酒类，没收用于违法生产经营的工具、设备、原料等物品；违法生产的酒类货值金额不足一万元的，可并处五千元以上五万元以下罚款；货值金额一万元以上的，可并处货值金额五倍以上十倍以下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流动销售散装白酒</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1.违法行为时间较短；2.未造成危害后果；3.能及时改正;4.涉案酒类食品符合食品安全标准的；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《四川省酒类管理条例》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第十六条 经营散装酒类食品的，经营者应当在固定的经营场所销售。禁止流动销售散装白酒。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第四十条第一款 违反本条例第十六条第一款规定，流动销售散装白酒的，由县级以上地方人民政府食品安全监督管理部门责令改正，给予警告；违法经营的酒类货值金额不足一万元的，可并处二千元以上三万元以下罚款；货值金额一万元以上的，可并处货值金额三倍以上十倍以下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医疗机构将其配制的制剂在市场销售</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《中华人民共和国药品管理法》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第七十六条 ......医疗机构配制的制剂不得在市场上销售。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第一百三十三条 违反本法规定，医疗机构将其配制的制剂在市场上销售的，责令改正，没收违法销售的制剂和违法所得，并处违法销售制剂货值金额二倍以上五倍以下的罚款；情节严重的，并处货值金额五倍以上十五倍以下的罚款；货值金额不足五万元的，按五万元计算。</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擅自使用他人有一定影响的域名主体部分、网站名称、网页</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1.违法行为时间较短；2.未造成危害后果；3.能及时改正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《中华人民共和国反不正当竞争法 》                                                                                                                       第六条 经营者不得实施下列混淆行为，引人误认为是他人商品或者与他人存在特定联系：......（三）擅自使用他人有一定影响的域名主体部分、网站名称、网页等；</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第十八条 经营者违反本法第六条规定实施混淆行为的，由监督检查部门责令停止违法行为，没收违法商品。违法经营额五万元以上的，可以并处违法经营额五倍以下的罚款；没有违法经营额或者违法经营额不足五万元的，可以并处二十五万元以下的罚款。情节严重的，吊销营业执照。经营者登记的企业名称违反本法第六条规定的，应当及时办理名称变更登记；名称变更前，由原企业登记机关以统一社会信用代码代替其名称。</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对其商品的销售状况、用户评价、曾获荣誉等作虚假或者引人误解的商业宣传，欺骗、误导消费者</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1.在自营场所或自营网站进行宣传发布，关注度不高；2.发布的商品内容与事实轻微不符；3.能及时改正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《中华人民共和国反不正当竞争法 》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第八条　经营者不得对其商品的性能、功能、质量、销售状况、用户评价、曾获荣誉等作虚假或者引人误解的商业宣传，欺骗、误导消费者。                                                                                                   第二十条　经营者违反本法第八条规定对其商品作虚假或者引人误解的商业宣传，或者通过组织虚假交易等方式帮助其他经营者进行虚假或者引人误解的商业宣传的，由监督检查部门责令停止违法行为，处二十万元以上一百万元以下的罚款;情节严重的，处一百万元以上二百万元以下的罚款，可以吊销营业执照。经营者违反本法第八条规定，属于发布虚假广告的，依照《中华人民共和国广告法》的规定处罚。</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所设奖的种类、兑奖条件、奖金金额或者奖品等有奖销售信息不明确，影响兑奖</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1.有奖销售信息不明确，但内容真实；2.能及时改正、明确信息，通过解释明确后不影响兑奖</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《中华人民共和国反不正当竞争法 》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第十条　经营者进行有奖销售不得存在下列情形：（一）所设奖的种类、兑奖条件、奖金金额或者奖品等有奖销售信息不明确，影响兑奖；                                第二十二条　经营者违反本法第十条规定进行有奖销售的，由监督检查部门责令停止违法行为，处五万元以上五十万元以下的罚款。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未经其他经营者同意，在其合法提供的网络产品或者服务中，插入链接、强制进行目标跳转；</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1.未对用户使用其他经营者网络产品造成严重影响；2.能及时改正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《中华人民共和国反不正当竞争法》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第十二条　经营者利用网络从事生产经营活动，应当遵守本法的各项规定。　　经营者不得利用技术手段，通过影响用户选择或者其他方式，实施下列妨碍、破坏其他经营者合法提供的网络产品或者服务正常运行的行为：（一）未经其他经营者同意，在其合法提供的网络产品或者服务中，插入链接、强制进行目标跳转；</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第二十四条　经营者违反本法第十二条规定妨碍、破坏其他经营者合法提供的网络产品或者服务正常运行的，由监督检查部门责令停止违法行为，处十万元以上五十万元以下的罚款；情节严重的，处五十万元以上三百万元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零售商促销活动的广告和其他宣传，使用含糊、易引起误解的语言、文字、图片或影像</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1.促销的商品不涉及人体健康、生命安全的；2.在店内发布，影响范围小；3.能及时改正。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《零售商促销行为管理办法》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第六条 零售商促销活动的广告和其他宣传，其内容应当真实、合法、清晰、易懂，不得使用含糊、易引起误解的语言、文字、图片或影像。不得以保留最终解释权为由，损害消费者的合法权益。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第二十三条 零售商违反本办法规定，法律法规有规定的，从其规定；没有规定的，责令改正，有违法所得的，可处违法所得3倍以下罚款，但最高不超过3万元；没有违法所得的，可处1万元以下罚款；并可予以公告。</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 零售商以促销为由拒绝退换货或者为消费者退换货设置障碍</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1.未给消费者权益造成较大损失；2.涉及的消费者人数较少，不超过10名；3.能及时改正</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 xml:space="preserve">《零售商促销行为管理办法》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第十八条 零售商不得以促销为由拒绝退换货或者为消费者退换货设置障碍。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第二十三条 零售商违反本办法规定，法律法规有规定的，从其规定；没有规定的，责令改正，有违法所得的，可处违法所得3倍以下罚款，但最高不超过3万元；没有违法所得的，可处1万元以下罚款；并可予以公告。</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对拍卖人及其工作人员参与竞买或者委托他人代为竞买行为的处罚</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1.违法行为较轻且未损害委托人或竞买人利益；2.主动消除或减轻违法行为危害后果的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《中华人民共和国拍卖法》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第二十二条 拍卖人及其工作人员不得以竞买人的身份参与自己组织的拍卖活动，并不得委托他人代为竞买。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第六十二条 拍卖人及其工作人员违反本法第二十二条的规定，参与竞买或者委托他人代为竞买的，由工商行政管理部门对拍卖人给予警告，可以处拍卖佣金一倍以上五倍以下的罚款；情节严重的，吊销营业执照。</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49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未经许可从事拍卖业务</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1.主动消除或减轻违法行为危害后果；2.违法所得三万元以下的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《中华人民共和国拍卖法》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第十一条 企业取得从事拍卖业务的许可必须经所在地的省、自治区、直辖市人民政府负责管理拍卖业的部门审核批准。拍卖企业可以在设区的市设立。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第六十条 违反本法第十一条的规定，未经许可从事拍卖业务的，由工商行政管理部门予以取缔，没收违法所得，并可以处违法所得一倍以上五倍以下的罚款。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trPr>
        <w:tc>
          <w:tcPr>
            <w:tcW w:w="1020" w:type="dxa"/>
            <w:vAlign w:val="center"/>
          </w:tcPr>
          <w:p>
            <w:pPr>
              <w:keepNext w:val="0"/>
              <w:keepLines w:val="0"/>
              <w:widowControl/>
              <w:suppressLineNumbers w:val="0"/>
              <w:jc w:val="left"/>
              <w:textAlignment w:val="center"/>
              <w:rPr>
                <w:rFonts w:hint="default"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50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委托人参与竞买或者委托他人代为竞买</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1.主动消除或减轻违法行为危害后果；2.未竞得拍卖标的也未造成其他竞买人等损害或有其他从轻处罚情形的</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《中华人民共和国拍卖法》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第三十条 委托人不得参与竞买，也不得委托他人代为竞买。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第六十四条 违反本法第三十条的规定，委托人参与竞买或者委托他人代为竞买的，工商行政管理部门可以对委托人处拍卖成交价百分之三十以下的罚款。</w:t>
            </w:r>
          </w:p>
        </w:tc>
        <w:tc>
          <w:tcPr>
            <w:tcW w:w="188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bl>
    <w:p>
      <w:pPr>
        <w:jc w:val="both"/>
        <w:rPr>
          <w:rFonts w:hint="default" w:ascii="仿宋" w:hAnsi="仿宋" w:eastAsia="仿宋" w:cs="仿宋"/>
          <w:b w:val="0"/>
          <w:bCs w:val="0"/>
          <w:sz w:val="32"/>
          <w:szCs w:val="32"/>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楷体" w:hAnsi="楷体" w:eastAsia="楷体" w:cs="楷体"/>
          <w:b/>
          <w:bCs/>
          <w:sz w:val="40"/>
          <w:szCs w:val="48"/>
          <w:lang w:val="en-US" w:eastAsia="zh-CN"/>
        </w:rPr>
      </w:pPr>
    </w:p>
    <w:p>
      <w:pPr>
        <w:jc w:val="center"/>
        <w:rPr>
          <w:rFonts w:hint="eastAsia" w:ascii="宋体" w:hAnsi="宋体" w:eastAsia="宋体" w:cs="宋体"/>
          <w:b/>
          <w:bCs/>
          <w:sz w:val="44"/>
          <w:szCs w:val="52"/>
          <w:lang w:val="en-US" w:eastAsia="zh-CN"/>
        </w:rPr>
      </w:pPr>
      <w:r>
        <w:rPr>
          <w:rFonts w:hint="eastAsia" w:ascii="楷体" w:hAnsi="楷体" w:eastAsia="楷体" w:cs="楷体"/>
          <w:b/>
          <w:bCs/>
          <w:sz w:val="40"/>
          <w:szCs w:val="48"/>
          <w:lang w:val="en-US" w:eastAsia="zh-CN"/>
        </w:rPr>
        <w:t>五、从重行政处罚事项清单</w:t>
      </w:r>
    </w:p>
    <w:tbl>
      <w:tblPr>
        <w:tblStyle w:val="4"/>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2903"/>
        <w:gridCol w:w="2872"/>
        <w:gridCol w:w="1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trPr>
        <w:tc>
          <w:tcPr>
            <w:tcW w:w="14240" w:type="dxa"/>
            <w:gridSpan w:val="6"/>
          </w:tcPr>
          <w:p>
            <w:pPr>
              <w:jc w:val="both"/>
              <w:rPr>
                <w:rFonts w:hint="default" w:ascii="宋体" w:hAnsi="宋体" w:eastAsia="宋体" w:cs="宋体"/>
                <w:b/>
                <w:bCs/>
                <w:sz w:val="52"/>
                <w:szCs w:val="72"/>
                <w:vertAlign w:val="baseline"/>
                <w:lang w:val="en-US" w:eastAsia="zh-Hans"/>
              </w:rPr>
            </w:pPr>
            <w:r>
              <w:rPr>
                <w:rFonts w:hint="eastAsia" w:ascii="宋体" w:hAnsi="宋体" w:eastAsia="宋体" w:cs="宋体"/>
                <w:b/>
                <w:bCs/>
                <w:sz w:val="36"/>
                <w:szCs w:val="44"/>
                <w:vertAlign w:val="baseline"/>
                <w:lang w:val="en-US" w:eastAsia="zh-CN"/>
              </w:rPr>
              <w:t>单位：</w:t>
            </w:r>
            <w:r>
              <w:rPr>
                <w:rFonts w:hint="eastAsia" w:ascii="宋体" w:hAnsi="宋体" w:eastAsia="宋体" w:cs="宋体"/>
                <w:b/>
                <w:bCs/>
                <w:sz w:val="36"/>
                <w:szCs w:val="44"/>
                <w:vertAlign w:val="baseline"/>
                <w:lang w:val="en-US" w:eastAsia="zh-Hans"/>
              </w:rPr>
              <w:t>理县市场监督管理局</w:t>
            </w:r>
          </w:p>
        </w:tc>
      </w:tr>
      <w:tr>
        <w:trPr>
          <w:trHeight w:val="634" w:hRule="atLeast"/>
        </w:trPr>
        <w:tc>
          <w:tcPr>
            <w:tcW w:w="102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序号</w:t>
            </w:r>
          </w:p>
        </w:tc>
        <w:tc>
          <w:tcPr>
            <w:tcW w:w="3015"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行政处罚事项</w:t>
            </w:r>
          </w:p>
        </w:tc>
        <w:tc>
          <w:tcPr>
            <w:tcW w:w="255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实施机关</w:t>
            </w:r>
          </w:p>
        </w:tc>
        <w:tc>
          <w:tcPr>
            <w:tcW w:w="2903" w:type="dxa"/>
          </w:tcPr>
          <w:p>
            <w:pPr>
              <w:jc w:val="center"/>
              <w:rPr>
                <w:rFonts w:hint="default"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从重处罚使用条件</w:t>
            </w:r>
          </w:p>
        </w:tc>
        <w:tc>
          <w:tcPr>
            <w:tcW w:w="2872"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法律依据</w:t>
            </w:r>
          </w:p>
        </w:tc>
        <w:tc>
          <w:tcPr>
            <w:tcW w:w="1880" w:type="dxa"/>
          </w:tcPr>
          <w:p>
            <w:pPr>
              <w:jc w:val="center"/>
              <w:rPr>
                <w:rFonts w:hint="eastAsia" w:ascii="仿宋" w:hAnsi="仿宋" w:eastAsia="仿宋" w:cs="仿宋"/>
                <w:b w:val="0"/>
                <w:bCs w:val="0"/>
                <w:sz w:val="32"/>
                <w:szCs w:val="40"/>
                <w:vertAlign w:val="baseline"/>
                <w:lang w:val="en-US" w:eastAsia="zh-CN"/>
              </w:rPr>
            </w:pPr>
            <w:r>
              <w:rPr>
                <w:rFonts w:hint="eastAsia" w:ascii="仿宋" w:hAnsi="仿宋" w:eastAsia="仿宋" w:cs="仿宋"/>
                <w:b w:val="0"/>
                <w:bCs w:val="0"/>
                <w:sz w:val="32"/>
                <w:szCs w:val="40"/>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（一）违法行为造成他人人身伤亡或者重大财产损失等严重危害后果的；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（二）教唆、胁迫、诱骗他人实施违法行为的；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（三）因同一性质的违法行为受过刑事处罚，或者一年内因同一性质的违法行为受过行政处罚的；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（四）阻碍或者拒不配合行政执法人员依法执行职务或者对行政执法人员打击报复的；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（五）隐藏、转移、损毁、使用、处置市场监管部门依法查封、扣押的财物或者先行登记保存的证据的；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（六）伪造、隐匿、毁灭证据的；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（七）其他依法可以从重行政处罚的。</w:t>
            </w:r>
          </w:p>
        </w:tc>
        <w:tc>
          <w:tcPr>
            <w:tcW w:w="2550" w:type="dxa"/>
            <w:vAlign w:val="center"/>
          </w:tcPr>
          <w:p>
            <w:pPr>
              <w:widowControl/>
              <w:snapToGrid w:val="0"/>
              <w:jc w:val="left"/>
              <w:textAlignment w:val="center"/>
              <w:rPr>
                <w:rFonts w:hint="default" w:ascii="仿宋_GB2312" w:hAnsi="仿宋_GB2312" w:eastAsia="仿宋_GB2312" w:cs="仿宋_GB2312"/>
                <w:color w:val="000000"/>
                <w:kern w:val="0"/>
                <w:sz w:val="24"/>
                <w:szCs w:val="24"/>
                <w:lang w:val="en-US" w:eastAsia="zh-Hans"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符合《关于规范市场监督管理行政处罚裁量权的指导意见》第十六条的规定，可以从重处罚。</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《关于规范市场监督管理行政处罚裁量权的指导意见》第十六条　有下列情形之一的，可以依法从重行政处罚：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（一）违法行为造成他人人身伤亡或者重大财产损失等严重危害后果的；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（二）教唆、胁迫、诱骗他人实施违法行为的；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（三）因同一性质的违法行为受过刑事处罚，或者一年内因同一性质的违法行为受过行政处罚的；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（四）阻碍或者拒不配合行政执法人员依法执行职务或者对行政执法人员打击报复的；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（五）隐藏、转移、损毁、使用、处置市场监管部门依法查封、扣押的财物或者先行登记保存的证据的；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（六）伪造、隐匿、毁灭证据的；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（七）其他依法可以从重行政处罚的。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当事人因前款第四至六项所涉行为已被行政处罚的，该行为不再作为从重行政处罚情节。</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（一）以麻醉药品、精神药品、医疗用毒性药品、放射性药品、药品类易制毒化学品冒充其他药品，或者以其他药品冒充上述药品；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（二）生产、销售以孕产妇、儿童为主要使用对象的假药、劣药；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（三）生产、销售的生物制品属于假药、劣药；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（四）生产、销售假药、劣药，造成人身伤害后果；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（五）生产、销售假药、劣药，经处理后再犯；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（六）拒绝、逃避监督检查，伪造、销毁、隐匿有关证据材料，或者擅自动用查封、扣押物品。</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违反《中华人民共和国药品管理法》第一百三十七条的规定，从重处罚。</w:t>
            </w:r>
          </w:p>
        </w:tc>
        <w:tc>
          <w:tcPr>
            <w:tcW w:w="2872"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《中华人民共和国药品管理法》第一百三十七条：</w:t>
            </w:r>
            <w:r>
              <w:rPr>
                <w:rStyle w:val="9"/>
                <w:lang w:val="en-US" w:eastAsia="zh-CN" w:bidi="ar"/>
              </w:rPr>
              <w:t>有下列行为之一的，在本法规定的处罚幅度内从重处罚：</w:t>
            </w:r>
            <w:r>
              <w:rPr>
                <w:rStyle w:val="9"/>
                <w:lang w:val="en-US" w:eastAsia="zh-CN" w:bidi="ar"/>
              </w:rPr>
              <w:br w:type="textWrapping"/>
            </w:r>
            <w:r>
              <w:rPr>
                <w:rStyle w:val="9"/>
                <w:lang w:val="en-US" w:eastAsia="zh-CN" w:bidi="ar"/>
              </w:rPr>
              <w:t>（一）以麻醉药品、精神药品、医疗用毒性药品、放射性药品、药品类易制毒化学品冒充其他药品，或者以其他药品冒充上述药品；</w:t>
            </w:r>
            <w:r>
              <w:rPr>
                <w:rStyle w:val="9"/>
                <w:lang w:val="en-US" w:eastAsia="zh-CN" w:bidi="ar"/>
              </w:rPr>
              <w:br w:type="textWrapping"/>
            </w:r>
            <w:r>
              <w:rPr>
                <w:rStyle w:val="9"/>
                <w:lang w:val="en-US" w:eastAsia="zh-CN" w:bidi="ar"/>
              </w:rPr>
              <w:t>（二）生产、销售以孕产妇、儿童为主要使用对象的假药、劣药；</w:t>
            </w:r>
            <w:r>
              <w:rPr>
                <w:rStyle w:val="9"/>
                <w:lang w:val="en-US" w:eastAsia="zh-CN" w:bidi="ar"/>
              </w:rPr>
              <w:br w:type="textWrapping"/>
            </w:r>
            <w:r>
              <w:rPr>
                <w:rStyle w:val="9"/>
                <w:lang w:val="en-US" w:eastAsia="zh-CN" w:bidi="ar"/>
              </w:rPr>
              <w:t>（三）生产、销售的生物制品属于假药、劣药；</w:t>
            </w:r>
            <w:r>
              <w:rPr>
                <w:rStyle w:val="9"/>
                <w:lang w:val="en-US" w:eastAsia="zh-CN" w:bidi="ar"/>
              </w:rPr>
              <w:br w:type="textWrapping"/>
            </w:r>
            <w:r>
              <w:rPr>
                <w:rStyle w:val="9"/>
                <w:lang w:val="en-US" w:eastAsia="zh-CN" w:bidi="ar"/>
              </w:rPr>
              <w:t>（四）生产、销售假药、劣药，造成人身伤害后果；</w:t>
            </w:r>
            <w:r>
              <w:rPr>
                <w:rStyle w:val="9"/>
                <w:lang w:val="en-US" w:eastAsia="zh-CN" w:bidi="ar"/>
              </w:rPr>
              <w:br w:type="textWrapping"/>
            </w:r>
            <w:r>
              <w:rPr>
                <w:rStyle w:val="9"/>
                <w:lang w:val="en-US" w:eastAsia="zh-CN" w:bidi="ar"/>
              </w:rPr>
              <w:t>（五）生产、销售假药、劣药，经处理后再犯；</w:t>
            </w:r>
            <w:r>
              <w:rPr>
                <w:rStyle w:val="9"/>
                <w:lang w:val="en-US" w:eastAsia="zh-CN" w:bidi="ar"/>
              </w:rPr>
              <w:br w:type="textWrapping"/>
            </w:r>
            <w:r>
              <w:rPr>
                <w:rStyle w:val="9"/>
                <w:lang w:val="en-US" w:eastAsia="zh-CN" w:bidi="ar"/>
              </w:rPr>
              <w:t>（六）拒绝、逃避监督检查，伪造、销毁、隐匿有关证据材料，或者擅自动用查封、扣押物品。</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一）以麻醉药品、精神药品、医疗用毒性药品、放射性药品冒充其他药品，或者以其他药品冒充上述药品的；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（二）生产、销售以孕产妇、婴幼儿及儿童为主要使用对象的假药、劣药的；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（三）生产、销售的生物制品、血液制品属于假药、劣药的；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（四）生产、销售、使用假药、劣药，造成人员伤害后果的；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（五）生产、销售、使用假药、劣药，经处理后重犯的；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（六）拒绝、逃避监督检查，或者伪造、销毁、隐匿有关证据材料的，或者擅自动用查封、扣押物品的。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违反《中华人民共和国药品管理法实施条例》第七十三条的规定，从重处罚。</w:t>
            </w:r>
          </w:p>
        </w:tc>
        <w:tc>
          <w:tcPr>
            <w:tcW w:w="2872"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《中华人民共和国药品管理法实施条例》第七十三条：违反《药品管理法》和本条例的规定，有下列行为之一的，由药品监督管理部门在《药品管理法》和本条例规定的处罚幅度内从重处罚：第七十三条　违反《药品管理法》和本条例的规定，有下列行为之一的，由药品监督管理部门在《药品管理法》和本条例规定的处罚幅度内从重处罚：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（一）以麻醉药品、精神药品、医疗用毒性药品、放射性药品冒充其他药品，或者以其他药品冒充上述药品的；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（二）生产、销售以孕产妇、婴幼儿及儿童为主要使用对象的假药、劣药的；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（三）生产、销售的生物制品、血液制品属于假药、劣药的；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（四）生产、销售、使用假药、劣药，造成人员伤害后果的；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（五）生产、销售、使用假药、劣药，经处理后重犯的；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（六）拒绝、逃避监督检查，或者伪造、销毁、隐匿有关证据材料的，或者擅自动用查封、扣押物品的。</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被检查单位因违法行为应当受到行政处罚，且具有拒绝、逃避监督检查或者伪造、销毁、隐匿有关证据材料等情形的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被检查单位因违法行为应当受到行政处罚，且具有拒绝、逃避监督检查或者伪造、销毁、隐匿有关证据材料等情形的，由食品药品监督管理部门按照《中华人民共和国药品管理法》、《中华人民共和国药品管理法实施条例》、《医疗器械监督管理条例》等有关规定从重处罚。</w:t>
            </w:r>
          </w:p>
        </w:tc>
        <w:tc>
          <w:tcPr>
            <w:tcW w:w="2872"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药品医疗器械飞行检查办法》第二十九条：被检查单位因违法行为应当受到行政处罚，且具有拒绝、逃避监督检查或者伪造、销毁、隐匿有关证据材料等情形的，由食品药品监督管理部门按照《中华人民共和国药品管理法》、《中华人民共和国药品管理法实施条例》、《医疗器械监督管理条例》等有关规定从重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生产、销售不合格的消防产品或者国家命令淘汰的消防产品（标签不合格的除外）</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生产、销售不合格的消防产品或者国家明令淘汰的消防产品的，依照《中华人民共和国产品质量法》的规定从重处罚。</w:t>
            </w:r>
          </w:p>
        </w:tc>
        <w:tc>
          <w:tcPr>
            <w:tcW w:w="2872"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中华人民共和国消防法》第六十五条第一款：违反本法规定，生产、销售不合格的消防产品或者国家明令淘汰的消防产品的，由产品质量监督部门或者工商行政管理部门依照《中华人民共和国产品质量法》的规定从重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对五年内实施两次以上商标侵权行为或者有其他严重情节的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违反《中华人民共和国商标法》第五十七条，侵犯注册商标专用权，五年内实施两次以上商标侵权行为或者有其他严重情节的，应当从重处罚。</w:t>
            </w:r>
          </w:p>
        </w:tc>
        <w:tc>
          <w:tcPr>
            <w:tcW w:w="2872"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《中华人民共和国商标法》第五十七条：有下列行为之一的，均属侵犯注册商标专用权：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（一）未经商标注册人的许可，在同一种商品上使用与其注册商标相同的商标的；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（二）未经商标注册人的许可，在同一种商品上使用与其注册商标近似的商标，或者在类似商品上使用与其注册商标相同或者近似的商标，容易导致混淆的；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（三）销售侵犯注册商标专用权的商品的；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（四）伪造、擅自制造他人注册商标标识或者销售伪造、擅自制造的注册商标标识的；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（五）未经商标注册人同意，更换其注册商标并将该更换商标的商品又投入市场的；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（六）故意为侵犯他人商标专用权行为提供便利条件，帮助他人实施侵犯商标专用权行为的；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（七）给他人的注册商标专用权造成其他损害的。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《中华人民共和国商标法》第六十条第一款、第二款　有本法第五十七条所列侵犯注册商标专用权行为之一，引起纠纷的，由当事人协商解决；不愿协商或者协商不成的，商标注册人或者利害关系人可以向人民法院起诉，也可以请求工商行政管理部门处理。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商行政管理部门处理时，认定侵权行为成立的，责令立即停止侵权行为，没收、销毁侵权商品和主要用于制造侵权商品、伪造注册商标标识的工具，违法经营额五万元以上的，可以处违法经营额五倍以下的罚款，没有违法经营额或者违法经营额不足五万元的，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违反《中华人民共和国食品安全法》第一百二十三条至第一百二十六条、第一百三十二条以及《食品安全法实施条例》第七十二条、第七十三条规定的“情节严重”情形的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违反《中华人民共和国食品安全法》第一百二十三条至第一百二十六条、第一百三十二条以及《食品安全法实施条例》第七十二条、第七十三条规定的“情节严重”情形的，对情节严重的违法行为处以罚款时，应当从重处罚。</w:t>
            </w:r>
          </w:p>
        </w:tc>
        <w:tc>
          <w:tcPr>
            <w:tcW w:w="2872"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《中华人民共和国食品安全法实施条例》第六十七条：有下列情形之一的,属于食品安全法第一百二十三条至第一百二十六条、第一百三十二条以及本条例第七十二条、第七十三条规定的情节严重情形: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(一)违法行为涉及的产品货值金额2万元以上或者违法行为持续时间3个月以上;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(二)造成食源性疾病并出现死亡病例,或者造成30人以上食源性疾病但未出现死亡病例;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(三)故意提供虚假信息或者隐瞒真实情况;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(四)拒绝、逃避监督检查;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(五)因违反食品安全法律、法规受到行政处罚后1年内又实施同一性质的食品安全违法行为,或者因违反食品安全法律、法规受到刑事处罚后又实施食品安全违法行为;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(六)其他情节严重的情形。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对情节严重的违法行为处以罚款时,应当依法从重从严。</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生产、销售不符合标准婴幼儿奶粉的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违反《乳品质量安全监督管理条例》第五十八条的规定，从重处罚。</w:t>
            </w:r>
          </w:p>
        </w:tc>
        <w:tc>
          <w:tcPr>
            <w:tcW w:w="2872"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乳品质量安全监督管理条例》第五十八条：违反本条例规定，在婴幼儿奶粉生产过程中，加入非食品用化学物质或其他可能危害人体健康的物质的，或者生产、销售的婴幼儿奶粉营养成分不足、不符合乳品质量安全国家标准的，依照本条例规定，从重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（一）使用禁止用于化妆品生产的原料、应当注册但未经注册的新原料生产儿童化妆品，或者在儿童化妆品中非法添加可能危害人体健康的物质；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（二）故意提供虚假信息或者隐瞒真实情况；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（三）拒绝、逃避监督检查；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（四）因化妆品违法行为受到行政处罚后1年内又实施同一性质的违法行为，或者因违反化妆品质量安全法律、法规受到刑事处罚后又实施化妆品质量安全违法行为；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（五）其他情节严重的情形。</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符合《化妆品生产经营监督管理办法》第六十一条规定的情节严重情形，处以罚款时，应当依法从重从严。</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《化妆品生产经营监督管理办法》第六十一条　有下列情形之一的，属于化妆品监督管理条例规定的情节严重情形：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（一）使用禁止用于化妆品生产的原料、应当注册但未经注册的新原料生产儿童化妆品，或者在儿童化妆品中非法添加可能危害人体健康的物质；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（二）故意提供虚假信息或者隐瞒真实情况；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（三）拒绝、逃避监督检查；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（四）因化妆品违法行为受到行政处罚后1年内又实施同一性质的违法行为，或者因违反化妆品质量安全法律、法规受到刑事处罚后又实施化妆品质量安全违法行为；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（五）其他情节严重的情形。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对情节严重的违法行为处以罚款时，应当依法从重从严。</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对侵权人拒不执行处罚决定，继续实施《国家工商行政管理局关于禁止侵犯商业秘密行为的若干规定》第三条所列行为</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符合《国家工商行政管理局关于禁止侵犯商业秘密行为的若干规定》第八条的规定，从重予以处罚。</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《国家工商行政管理局关于禁止侵犯商业秘密行为的若干规定》第八条　对侵权人拒不执行处罚决定，继续实施本规定第三条所列行为的，视为新的违法行为，从重予以处罚。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发生重大传染病疫情等突发事件，违反突发事件应对措施</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符合《市场监督管理行政处罚程序规定》第六十五条的规定，从重处罚。</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《市场监督管理行政处罚程序规定》第六十五条　发生重大传染病疫情等突发事件，为了控制、减轻和消除突发事件引起的社会危害，市场监督管理部门对违反突发事件应对措施的行为，依法快速、从重处罚。</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（一）捏造、散布商品供求关系紧张的虚假信息，引发市场恐慌，推高价格预期的；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（二）同时使用多种手段哄抬价格的；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（三）哄抬价格行为持续时间长、影响范围广的；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（四）一年内有两次以上哄抬价格违法行为被查处的；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（五）伪造、隐匿、毁灭相关证据材料的；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（六）阻碍或者拒不配合依法开展的价格监督检查的；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（七）其他可以被认定为依法从重的情形。</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符合《市场监管总局关于查处哄抬价格违法行为的指导意见》第二条的规定，可以从重处罚</w:t>
            </w:r>
          </w:p>
        </w:tc>
        <w:tc>
          <w:tcPr>
            <w:tcW w:w="2872"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《市场监管总局关于查处哄抬价格违法行为的指导意见》二、法律适用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经营者构成哄抬价格违法行为的，依据《中华人民共和国价格法》第十四条、第四十条和《价格违法行为行政处罚规定》第六条规定处罚。经营者有下列情形之一的，可以依法从重处罚：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（一）捏造、散布商品供求关系紧张的虚假信息，引发市场恐慌，推高价格预期的；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（二）同时使用多种手段哄抬价格的；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（三）哄抬价格行为持续时间长、影响范围广的；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（四）一年内有两次以上哄抬价格违法行为被查处的；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（五）伪造、隐匿、毁灭相关证据材料的；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（六）阻碍或者拒不配合依法开展的价格监督检查的；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（七）其他可以被认定为依法从重的情形。</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102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3015"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（一）价格违法行为严重或者社会影响较大的；                                                                                                                                                                            （二）屡查屡犯的；                                                                                                                                                                                   （三）伪造、涂改或者转移、销毁证据的；                                                                                                                                                                （四）转移与价格违法行为有关的资金或者商品的；                                                                                                                                                   （五）经营者拒不按照本规定第十六条第一款规定退还消费者或者其他经营者多付价款的。</w:t>
            </w:r>
          </w:p>
        </w:tc>
        <w:tc>
          <w:tcPr>
            <w:tcW w:w="2550" w:type="dxa"/>
            <w:vAlign w:val="center"/>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Hans" w:bidi="ar"/>
              </w:rPr>
              <w:t>理县市场监督管理局</w:t>
            </w:r>
          </w:p>
        </w:tc>
        <w:tc>
          <w:tcPr>
            <w:tcW w:w="2903" w:type="dxa"/>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违反《价格违法行为行政处罚规定》第十七条，经营者有下列行为：（一）价格违法行为严重或者社会影响较大的；（二）屡查屡犯的；（三）伪造、涂改或者转移、销毁证据的；（四）转移与价格违法行为有关的资金或者商品的；（五）经营者拒不按照本规定第十六条第一款规定退还消费者或者其他经营者多付价款的，应当从重处罚。</w:t>
            </w:r>
          </w:p>
        </w:tc>
        <w:tc>
          <w:tcPr>
            <w:tcW w:w="2872" w:type="dxa"/>
            <w:vAlign w:val="center"/>
          </w:tcPr>
          <w:p>
            <w:pPr>
              <w:keepNext w:val="0"/>
              <w:keepLines w:val="0"/>
              <w:widowControl/>
              <w:suppressLineNumbers w:val="0"/>
              <w:jc w:val="both"/>
              <w:textAlignment w:val="center"/>
              <w:rPr>
                <w:rFonts w:hint="eastAsia" w:ascii="仿宋_GB2312" w:hAnsi="仿宋_GB2312" w:eastAsia="仿宋_GB2312" w:cs="仿宋_GB2312"/>
                <w:color w:val="000000"/>
                <w:kern w:val="0"/>
                <w:sz w:val="24"/>
                <w:szCs w:val="24"/>
                <w:lang w:val="en-US" w:eastAsia="zh-CN" w:bidi="ar"/>
              </w:rPr>
            </w:pPr>
            <w:r>
              <w:rPr>
                <w:rFonts w:hint="eastAsia" w:ascii="宋体" w:hAnsi="宋体" w:eastAsia="宋体" w:cs="宋体"/>
                <w:i w:val="0"/>
                <w:iCs w:val="0"/>
                <w:color w:val="000000"/>
                <w:kern w:val="0"/>
                <w:sz w:val="20"/>
                <w:szCs w:val="20"/>
                <w:u w:val="none"/>
                <w:lang w:val="en-US" w:eastAsia="zh-CN" w:bidi="ar"/>
              </w:rPr>
              <w:t>《价格违法行为行政处罚规定》第十七条：经营者有《中华人民共和国行政处罚法》第二十七条所列情形的，应当依法从轻或者减轻处罚。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经营者有下列情形之一的，应当从重处罚：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（一）价格违法行为严重或者社会影响较大的；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（二）屡查屡犯的；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（三）伪造、涂改或者转移、销毁证据的；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（四）转移与价格违法行为有关的资金或者商品的；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（五）经营者拒不按照本规定第十六条第一款规定退还消费者或者其他经营者多付价款的；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（六）应予从重处罚的其他价格违法行为。</w:t>
            </w:r>
          </w:p>
        </w:tc>
        <w:tc>
          <w:tcPr>
            <w:tcW w:w="1880" w:type="dxa"/>
          </w:tcPr>
          <w:p>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p>
        </w:tc>
      </w:tr>
    </w:tbl>
    <w:p>
      <w:pPr>
        <w:pStyle w:val="6"/>
        <w:rPr>
          <w:rFonts w:hint="eastAsia" w:ascii="仿宋" w:hAnsi="仿宋" w:eastAsia="仿宋" w:cs="仿宋"/>
          <w:b w:val="0"/>
          <w:bCs w:val="0"/>
          <w:sz w:val="32"/>
          <w:szCs w:val="32"/>
          <w:lang w:val="en-US" w:eastAsia="zh-CN"/>
        </w:rPr>
      </w:pPr>
    </w:p>
    <w:p>
      <w:pPr>
        <w:pStyle w:val="6"/>
        <w:rPr>
          <w:rFonts w:hint="default" w:ascii="仿宋" w:hAnsi="仿宋" w:eastAsia="仿宋" w:cs="仿宋"/>
          <w:b w:val="0"/>
          <w:bCs w:val="0"/>
          <w:sz w:val="32"/>
          <w:szCs w:val="32"/>
          <w:lang w:val="en-US" w:eastAsia="zh-CN"/>
        </w:rPr>
      </w:pPr>
    </w:p>
    <w:p>
      <w:pP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000" w:usb1="00000000" w:usb2="00000000" w:usb3="00000000" w:csb0="00000000"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方正小标宋_GBK">
    <w:altName w:val="汉仪书宋二KW"/>
    <w:panose1 w:val="03000509000000000000"/>
    <w:charset w:val="86"/>
    <w:family w:val="auto"/>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0" w:usb1="00000000" w:usb2="00000000" w:usb3="00000000" w:csb0="0016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方正仿宋简体">
    <w:altName w:val="方正仿宋_GBK"/>
    <w:panose1 w:val="02010601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35F8A0"/>
    <w:multiLevelType w:val="singleLevel"/>
    <w:tmpl w:val="7B35F8A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dkMzhhZmYyNzFhZGFhYWY5Y2Y1NjFiMzUzM2VhZTQifQ=="/>
  </w:docVars>
  <w:rsids>
    <w:rsidRoot w:val="64F61A81"/>
    <w:rsid w:val="0A393B71"/>
    <w:rsid w:val="1E3E2F64"/>
    <w:rsid w:val="64F61A81"/>
    <w:rsid w:val="6E745C57"/>
    <w:rsid w:val="E7BFA88C"/>
    <w:rsid w:val="FBF99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文档正文"/>
    <w:basedOn w:val="1"/>
    <w:qFormat/>
    <w:uiPriority w:val="0"/>
    <w:pPr>
      <w:adjustRightInd w:val="0"/>
      <w:spacing w:line="480" w:lineRule="atLeast"/>
      <w:textAlignment w:val="baseline"/>
    </w:pPr>
    <w:rPr>
      <w:rFonts w:ascii="Arial" w:hAnsi="Arial"/>
      <w:kern w:val="0"/>
    </w:rPr>
  </w:style>
  <w:style w:type="character" w:customStyle="1" w:styleId="7">
    <w:name w:val="font21"/>
    <w:basedOn w:val="5"/>
    <w:uiPriority w:val="0"/>
    <w:rPr>
      <w:rFonts w:hint="eastAsia" w:ascii="宋体" w:hAnsi="宋体" w:eastAsia="宋体" w:cs="宋体"/>
      <w:color w:val="000000"/>
      <w:sz w:val="16"/>
      <w:szCs w:val="16"/>
      <w:u w:val="none"/>
    </w:rPr>
  </w:style>
  <w:style w:type="character" w:customStyle="1" w:styleId="8">
    <w:name w:val="font11"/>
    <w:basedOn w:val="5"/>
    <w:uiPriority w:val="0"/>
    <w:rPr>
      <w:rFonts w:hint="eastAsia" w:ascii="宋体" w:hAnsi="宋体" w:eastAsia="宋体" w:cs="宋体"/>
      <w:b/>
      <w:bCs/>
      <w:color w:val="000000"/>
      <w:sz w:val="16"/>
      <w:szCs w:val="16"/>
      <w:u w:val="none"/>
    </w:rPr>
  </w:style>
  <w:style w:type="character" w:customStyle="1" w:styleId="9">
    <w:name w:val="font01"/>
    <w:basedOn w:val="5"/>
    <w:uiPriority w:val="0"/>
    <w:rPr>
      <w:rFonts w:hint="eastAsia" w:ascii="宋体" w:hAnsi="宋体" w:eastAsia="宋体" w:cs="宋体"/>
      <w:color w:val="333333"/>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379</Words>
  <Characters>392</Characters>
  <Lines>0</Lines>
  <Paragraphs>0</Paragraphs>
  <TotalTime>4</TotalTime>
  <ScaleCrop>false</ScaleCrop>
  <LinksUpToDate>false</LinksUpToDate>
  <CharactersWithSpaces>393</CharactersWithSpaces>
  <Application>WPS Office_5.2.1.7798_F1E327BC-269C-435d-A152-05C5408002CA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2023-08-04T09:20:00Z</dcterms:created>
  <dc:creator>冬末初春</dc:creator>
  <cp:lastModifiedBy>糖糖</cp:lastModifiedBy>
  <dcterms:modified xsi:type="dcterms:W3CDTF">2023-08-07T17:30:46Z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2052-5.2.1.7798</vt:lpwstr>
  </property>
  <property fmtid="{D5CDD505-2E9C-101B-9397-08002B2CF9AE}" pid="3" name="ICV">
    <vt:lpwstr>D8C492E07BF1D997C7B5D0641E8C3AFB_43</vt:lpwstr>
  </property>
</Properties>
</file>