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C3C6F">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440" w:firstLineChars="100"/>
        <w:jc w:val="center"/>
        <w:textAlignment w:val="auto"/>
        <w:rPr>
          <w:rFonts w:hint="eastAsia" w:ascii="宋体" w:hAnsi="宋体" w:eastAsia="宋体" w:cs="宋体"/>
          <w:kern w:val="0"/>
          <w:sz w:val="44"/>
          <w:szCs w:val="44"/>
          <w:lang w:val="en-US" w:eastAsia="zh-CN" w:bidi="ar"/>
        </w:rPr>
      </w:pPr>
      <w:r>
        <w:rPr>
          <w:rFonts w:ascii="宋体" w:hAnsi="宋体" w:eastAsia="宋体" w:cs="宋体"/>
          <w:kern w:val="0"/>
          <w:sz w:val="44"/>
          <w:szCs w:val="44"/>
          <w:lang w:val="en-US" w:eastAsia="zh-CN" w:bidi="ar"/>
        </w:rPr>
        <w:t>关于规范</w:t>
      </w:r>
      <w:r>
        <w:rPr>
          <w:rFonts w:hint="eastAsia" w:ascii="宋体" w:hAnsi="宋体" w:eastAsia="宋体" w:cs="宋体"/>
          <w:kern w:val="0"/>
          <w:sz w:val="44"/>
          <w:szCs w:val="44"/>
          <w:lang w:val="en-US" w:eastAsia="zh-CN" w:bidi="ar"/>
        </w:rPr>
        <w:t>理县</w:t>
      </w:r>
      <w:r>
        <w:rPr>
          <w:rFonts w:ascii="宋体" w:hAnsi="宋体" w:eastAsia="宋体" w:cs="宋体"/>
          <w:kern w:val="0"/>
          <w:sz w:val="44"/>
          <w:szCs w:val="44"/>
          <w:lang w:val="en-US" w:eastAsia="zh-CN" w:bidi="ar"/>
        </w:rPr>
        <w:t>涉企行政检查</w:t>
      </w:r>
      <w:r>
        <w:rPr>
          <w:rFonts w:hint="eastAsia" w:ascii="宋体" w:hAnsi="宋体" w:eastAsia="宋体" w:cs="宋体"/>
          <w:kern w:val="0"/>
          <w:sz w:val="44"/>
          <w:szCs w:val="44"/>
          <w:lang w:val="en-US" w:eastAsia="zh-CN" w:bidi="ar"/>
        </w:rPr>
        <w:t>计划</w:t>
      </w:r>
    </w:p>
    <w:p w14:paraId="41565A65">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440" w:firstLineChars="100"/>
        <w:jc w:val="center"/>
        <w:textAlignment w:val="auto"/>
        <w:rPr>
          <w:color w:val="3F3F3F"/>
          <w:sz w:val="24"/>
          <w:szCs w:val="24"/>
        </w:rPr>
      </w:pPr>
      <w:r>
        <w:rPr>
          <w:rFonts w:ascii="宋体" w:hAnsi="宋体" w:eastAsia="宋体" w:cs="宋体"/>
          <w:kern w:val="0"/>
          <w:sz w:val="44"/>
          <w:szCs w:val="44"/>
          <w:lang w:val="en-US" w:eastAsia="zh-CN" w:bidi="ar"/>
        </w:rPr>
        <w:t>实施方案</w:t>
      </w:r>
    </w:p>
    <w:p w14:paraId="1055EEE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ascii="宋体" w:hAnsi="宋体" w:eastAsia="宋体" w:cs="宋体"/>
          <w:spacing w:val="15"/>
          <w:kern w:val="0"/>
          <w:sz w:val="24"/>
          <w:szCs w:val="24"/>
          <w:lang w:val="en-US" w:eastAsia="zh-CN" w:bidi="ar"/>
        </w:rPr>
      </w:pPr>
      <w:r>
        <w:rPr>
          <w:rFonts w:hint="eastAsia" w:ascii="方正仿宋_GBK" w:hAnsi="方正仿宋_GBK" w:eastAsia="方正仿宋_GBK" w:cs="方正仿宋_GBK"/>
          <w:color w:val="3F3F3F"/>
          <w:sz w:val="32"/>
          <w:szCs w:val="32"/>
        </w:rPr>
        <w:t>为贯彻落实党中央、国务院和</w:t>
      </w:r>
      <w:r>
        <w:rPr>
          <w:rFonts w:hint="eastAsia" w:ascii="方正仿宋_GBK" w:hAnsi="方正仿宋_GBK" w:eastAsia="方正仿宋_GBK" w:cs="方正仿宋_GBK"/>
          <w:color w:val="3F3F3F"/>
          <w:sz w:val="32"/>
          <w:szCs w:val="32"/>
          <w:lang w:val="en-US" w:eastAsia="zh-CN"/>
        </w:rPr>
        <w:t>省</w:t>
      </w:r>
      <w:r>
        <w:rPr>
          <w:rFonts w:hint="eastAsia" w:ascii="方正仿宋_GBK" w:hAnsi="方正仿宋_GBK" w:eastAsia="方正仿宋_GBK" w:cs="方正仿宋_GBK"/>
          <w:color w:val="3F3F3F"/>
          <w:sz w:val="32"/>
          <w:szCs w:val="32"/>
        </w:rPr>
        <w:t>委、</w:t>
      </w:r>
      <w:r>
        <w:rPr>
          <w:rFonts w:hint="eastAsia" w:ascii="方正仿宋_GBK" w:hAnsi="方正仿宋_GBK" w:eastAsia="方正仿宋_GBK" w:cs="方正仿宋_GBK"/>
          <w:color w:val="3F3F3F"/>
          <w:sz w:val="32"/>
          <w:szCs w:val="32"/>
          <w:lang w:val="en-US" w:eastAsia="zh-CN"/>
        </w:rPr>
        <w:t>省</w:t>
      </w:r>
      <w:r>
        <w:rPr>
          <w:rFonts w:hint="eastAsia" w:ascii="方正仿宋_GBK" w:hAnsi="方正仿宋_GBK" w:eastAsia="方正仿宋_GBK" w:cs="方正仿宋_GBK"/>
          <w:color w:val="3F3F3F"/>
          <w:sz w:val="32"/>
          <w:szCs w:val="32"/>
        </w:rPr>
        <w:t>政府关于规范涉企行政检查的决策部署，进一步规范</w:t>
      </w:r>
      <w:bookmarkStart w:id="0" w:name="_GoBack"/>
      <w:bookmarkEnd w:id="0"/>
      <w:r>
        <w:rPr>
          <w:rFonts w:hint="eastAsia" w:ascii="方正仿宋_GBK" w:hAnsi="方正仿宋_GBK" w:eastAsia="方正仿宋_GBK" w:cs="方正仿宋_GBK"/>
          <w:color w:val="3F3F3F"/>
          <w:sz w:val="32"/>
          <w:szCs w:val="32"/>
        </w:rPr>
        <w:t>涉企行政检查行为，切实减轻企业负担，促进严格规范公正文明执法，营造良好营商环境，制定本实施方案。</w:t>
      </w:r>
      <w:r>
        <w:rPr>
          <w:rFonts w:ascii="宋体" w:hAnsi="宋体" w:eastAsia="宋体" w:cs="宋体"/>
          <w:color w:val="auto"/>
          <w:kern w:val="0"/>
          <w:sz w:val="24"/>
          <w:szCs w:val="24"/>
          <w:lang w:val="en-US" w:eastAsia="zh-CN" w:bidi="ar"/>
        </w:rPr>
        <w:br w:type="textWrapping"/>
      </w:r>
      <w:r>
        <w:rPr>
          <w:rFonts w:hint="eastAsia" w:ascii="宋体" w:hAnsi="宋体" w:eastAsia="宋体" w:cs="宋体"/>
          <w:color w:val="auto"/>
          <w:kern w:val="0"/>
          <w:sz w:val="24"/>
          <w:szCs w:val="24"/>
          <w:lang w:val="en-US" w:eastAsia="zh-CN" w:bidi="ar"/>
        </w:rPr>
        <w:t xml:space="preserve"> </w:t>
      </w:r>
      <w:r>
        <w:rPr>
          <w:rFonts w:hint="eastAsia" w:ascii="方正黑体_GBK" w:hAnsi="方正黑体_GBK" w:eastAsia="方正黑体_GBK" w:cs="方正黑体_GBK"/>
          <w:color w:val="auto"/>
          <w:kern w:val="0"/>
          <w:sz w:val="32"/>
          <w:szCs w:val="32"/>
          <w:lang w:val="en-US" w:eastAsia="zh-CN" w:bidi="ar"/>
        </w:rPr>
        <w:t xml:space="preserve">  一、</w:t>
      </w:r>
      <w:r>
        <w:rPr>
          <w:rStyle w:val="5"/>
          <w:rFonts w:hint="eastAsia" w:ascii="方正黑体_GBK" w:hAnsi="方正黑体_GBK" w:eastAsia="方正黑体_GBK" w:cs="方正黑体_GBK"/>
          <w:spacing w:val="15"/>
          <w:kern w:val="0"/>
          <w:sz w:val="32"/>
          <w:szCs w:val="32"/>
          <w:lang w:val="en-US" w:eastAsia="zh-CN" w:bidi="ar"/>
        </w:rPr>
        <w:t>工作目标</w:t>
      </w:r>
    </w:p>
    <w:p w14:paraId="1F2C9D8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pPr>
      <w:r>
        <w:rPr>
          <w:rFonts w:hint="eastAsia" w:ascii="方正仿宋_GBK" w:hAnsi="方正仿宋_GBK" w:eastAsia="方正仿宋_GBK" w:cs="方正仿宋_GBK"/>
          <w:color w:val="3F3F3F"/>
          <w:sz w:val="32"/>
          <w:szCs w:val="32"/>
        </w:rPr>
        <w:t>聚焦“随意检查、重复检查、多头检查”等突出问题，加强</w:t>
      </w:r>
      <w:r>
        <w:rPr>
          <w:rFonts w:hint="eastAsia" w:ascii="方正仿宋_GBK" w:hAnsi="方正仿宋_GBK" w:eastAsia="方正仿宋_GBK" w:cs="方正仿宋_GBK"/>
          <w:color w:val="3F3F3F"/>
          <w:sz w:val="32"/>
          <w:szCs w:val="32"/>
          <w:lang w:val="en-US" w:eastAsia="zh-CN"/>
        </w:rPr>
        <w:t>各乡（镇）人民政府、县级各执法部门</w:t>
      </w:r>
      <w:r>
        <w:rPr>
          <w:rFonts w:hint="eastAsia" w:ascii="方正仿宋_GBK" w:hAnsi="方正仿宋_GBK" w:eastAsia="方正仿宋_GBK" w:cs="方正仿宋_GBK"/>
          <w:color w:val="3F3F3F"/>
          <w:sz w:val="32"/>
          <w:szCs w:val="32"/>
        </w:rPr>
        <w:t>依法行政，落实检查事项“双透明”，检查规范“双认可”，检查方式“双随机”的工作要求，进一步明确“谁来查”“检查谁”“查什么”“怎么查”，打造依法、科学、精准、高效的涉企行政检查工作体系，促进执法与服务相统一，在实现有效监管的基础上，减少涉企检查计划数、减少入企检查次数、减少现场检查内容、减少检查对企影响，提高有计划检查运用率、提高非现场检查率、提高跨部门联合检查率、提高检查问题发现率。实现</w:t>
      </w:r>
      <w:r>
        <w:rPr>
          <w:rFonts w:hint="eastAsia" w:ascii="方正仿宋_GBK" w:hAnsi="方正仿宋_GBK" w:eastAsia="方正仿宋_GBK" w:cs="方正仿宋_GBK"/>
          <w:color w:val="3F3F3F"/>
          <w:sz w:val="32"/>
          <w:szCs w:val="32"/>
          <w:lang w:val="en-US" w:eastAsia="zh-CN"/>
        </w:rPr>
        <w:t>我县各</w:t>
      </w:r>
      <w:r>
        <w:rPr>
          <w:rFonts w:hint="eastAsia" w:ascii="方正仿宋_GBK" w:hAnsi="方正仿宋_GBK" w:eastAsia="方正仿宋_GBK" w:cs="方正仿宋_GBK"/>
          <w:color w:val="3F3F3F"/>
          <w:sz w:val="32"/>
          <w:szCs w:val="32"/>
        </w:rPr>
        <w:t>涉企行政检查数量明显下降，行政检查质效明显提升。</w:t>
      </w:r>
      <w:r>
        <w:rPr>
          <w:rFonts w:hint="eastAsia" w:ascii="方正仿宋_GBK" w:hAnsi="方正仿宋_GBK" w:eastAsia="方正仿宋_GBK" w:cs="方正仿宋_GBK"/>
          <w:color w:val="3F3F3F"/>
          <w:sz w:val="32"/>
          <w:szCs w:val="32"/>
          <w:lang w:val="en-US" w:eastAsia="zh-CN"/>
        </w:rPr>
        <w:br w:type="textWrapping"/>
      </w:r>
      <w:r>
        <w:rPr>
          <w:rFonts w:hint="eastAsia" w:ascii="方正仿宋_GBK" w:hAnsi="方正仿宋_GBK" w:eastAsia="方正仿宋_GBK" w:cs="方正仿宋_GBK"/>
          <w:color w:val="3F3F3F"/>
          <w:sz w:val="32"/>
          <w:szCs w:val="32"/>
          <w:lang w:val="en-US" w:eastAsia="zh-CN"/>
        </w:rPr>
        <w:br w:type="textWrapping"/>
      </w:r>
      <w:r>
        <w:rPr>
          <w:rFonts w:hint="eastAsia" w:ascii="宋体" w:hAnsi="宋体" w:eastAsia="宋体" w:cs="宋体"/>
          <w:kern w:val="0"/>
          <w:sz w:val="24"/>
          <w:szCs w:val="24"/>
          <w:lang w:val="en-US" w:eastAsia="zh-CN" w:bidi="ar"/>
        </w:rPr>
        <w:t xml:space="preserve">  </w:t>
      </w:r>
      <w:r>
        <w:rPr>
          <w:rFonts w:hint="eastAsia" w:ascii="方正黑体_GBK" w:hAnsi="方正黑体_GBK" w:eastAsia="方正黑体_GBK" w:cs="方正黑体_GBK"/>
          <w:color w:val="auto"/>
          <w:kern w:val="0"/>
          <w:sz w:val="32"/>
          <w:szCs w:val="32"/>
          <w:lang w:val="en-US" w:eastAsia="zh-CN" w:bidi="ar"/>
        </w:rPr>
        <w:t xml:space="preserve"> 二、适用范围和分类</w:t>
      </w:r>
    </w:p>
    <w:p w14:paraId="7F2C461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本实施方案所指涉企行政检查是指</w:t>
      </w:r>
      <w:r>
        <w:rPr>
          <w:rFonts w:hint="eastAsia" w:ascii="方正仿宋_GBK" w:hAnsi="方正仿宋_GBK" w:eastAsia="方正仿宋_GBK" w:cs="方正仿宋_GBK"/>
          <w:color w:val="3F3F3F"/>
          <w:sz w:val="32"/>
          <w:szCs w:val="32"/>
          <w:lang w:val="en-US" w:eastAsia="zh-CN"/>
        </w:rPr>
        <w:t>各乡（镇）人民政府、县级各执法部门</w:t>
      </w:r>
      <w:r>
        <w:rPr>
          <w:rFonts w:hint="eastAsia" w:ascii="方正仿宋_GBK" w:hAnsi="方正仿宋_GBK" w:eastAsia="方正仿宋_GBK" w:cs="方正仿宋_GBK"/>
          <w:color w:val="3F3F3F"/>
          <w:sz w:val="32"/>
          <w:szCs w:val="32"/>
        </w:rPr>
        <w:t>及其执法机构依照法定职权，对经营主体（包括法人、非法人组织和个体工商户等，以下统称“检查对象”）遵守法律、法规、规章和执行行政决定的情况进行强制性了解、核查的行为。</w:t>
      </w:r>
    </w:p>
    <w:p w14:paraId="0C4F555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涉企行政检查主要包括监督检查和执法检查。实施方式分为有计划行政检查和触发式行政检查。有计划行政检查是指日常监督检查、专项检查和其他有检查计划的行政检查；触发式行政检查是指因投诉举报、转办交办、非现场检查等发现环境问题线索引发的行政检查。</w:t>
      </w:r>
    </w:p>
    <w:p w14:paraId="6F79309A">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对以下检查行为暂不纳入本次规范涉企行政检查的范围：（1）行政处罚立案后的现场检查、整改复查等行为；（2）按保密规定开展的涉密检查行为；（3）对外省</w:t>
      </w:r>
      <w:r>
        <w:rPr>
          <w:rFonts w:hint="eastAsia" w:ascii="方正仿宋_GBK" w:hAnsi="方正仿宋_GBK" w:eastAsia="方正仿宋_GBK" w:cs="方正仿宋_GBK"/>
          <w:color w:val="3F3F3F"/>
          <w:sz w:val="32"/>
          <w:szCs w:val="32"/>
          <w:lang w:val="en-US" w:eastAsia="zh-CN"/>
        </w:rPr>
        <w:t>州县</w:t>
      </w:r>
      <w:r>
        <w:rPr>
          <w:rFonts w:hint="eastAsia" w:ascii="方正仿宋_GBK" w:hAnsi="方正仿宋_GBK" w:eastAsia="方正仿宋_GBK" w:cs="方正仿宋_GBK"/>
          <w:color w:val="3F3F3F"/>
          <w:sz w:val="32"/>
          <w:szCs w:val="32"/>
        </w:rPr>
        <w:t>经营主体在管辖范围内开展经营活动的检查行为；（4）对无照经营者的检查行为。</w:t>
      </w:r>
    </w:p>
    <w:p w14:paraId="17E62873">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left"/>
        <w:textAlignment w:val="auto"/>
      </w:pPr>
      <w:r>
        <w:rPr>
          <w:rFonts w:hint="eastAsia" w:ascii="方正黑体_GBK" w:hAnsi="方正黑体_GBK" w:eastAsia="方正黑体_GBK" w:cs="方正黑体_GBK"/>
          <w:color w:val="auto"/>
          <w:kern w:val="0"/>
          <w:sz w:val="32"/>
          <w:szCs w:val="32"/>
          <w:lang w:val="en-US" w:eastAsia="zh-CN" w:bidi="ar"/>
        </w:rPr>
        <w:t xml:space="preserve">   三、明确涉企行政检查主体及职责分工</w:t>
      </w:r>
    </w:p>
    <w:p w14:paraId="01A30E7A">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楷体_GBK" w:hAnsi="方正楷体_GBK" w:eastAsia="方正楷体_GBK" w:cs="方正楷体_GBK"/>
          <w:sz w:val="32"/>
          <w:szCs w:val="32"/>
        </w:rPr>
      </w:pPr>
      <w:r>
        <w:rPr>
          <w:rStyle w:val="5"/>
          <w:rFonts w:hint="eastAsia" w:ascii="方正楷体_GBK" w:hAnsi="方正楷体_GBK" w:eastAsia="方正楷体_GBK" w:cs="方正楷体_GBK"/>
          <w:color w:val="3F3F3F"/>
          <w:sz w:val="32"/>
          <w:szCs w:val="32"/>
        </w:rPr>
        <w:t>（一）涉企行政检查主体</w:t>
      </w:r>
    </w:p>
    <w:p w14:paraId="72039C4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lang w:val="en-US" w:eastAsia="zh-CN"/>
        </w:rPr>
        <w:t>各乡（镇）人民政府、县级各执法部门</w:t>
      </w:r>
      <w:r>
        <w:rPr>
          <w:rFonts w:hint="eastAsia" w:ascii="方正仿宋_GBK" w:hAnsi="方正仿宋_GBK" w:eastAsia="方正仿宋_GBK" w:cs="方正仿宋_GBK"/>
          <w:color w:val="3F3F3F"/>
          <w:sz w:val="32"/>
          <w:szCs w:val="32"/>
        </w:rPr>
        <w:t>及其执法机构是本方案所指涉企行政检查的主体，在法定职责范围内或者委托范围内实施行政检查。除上述主体外，任何组织和个人不得实施行政检查。</w:t>
      </w:r>
    </w:p>
    <w:p w14:paraId="175878B9">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根据工作需要，</w:t>
      </w:r>
      <w:r>
        <w:rPr>
          <w:rFonts w:hint="eastAsia" w:ascii="方正仿宋_GBK" w:hAnsi="方正仿宋_GBK" w:eastAsia="方正仿宋_GBK" w:cs="方正仿宋_GBK"/>
          <w:color w:val="3F3F3F"/>
          <w:sz w:val="32"/>
          <w:szCs w:val="32"/>
          <w:lang w:val="en-US" w:eastAsia="zh-CN"/>
        </w:rPr>
        <w:t>各乡（镇）人民政府、县级各执法部门</w:t>
      </w:r>
      <w:r>
        <w:rPr>
          <w:rFonts w:hint="eastAsia" w:ascii="方正仿宋_GBK" w:hAnsi="方正仿宋_GBK" w:eastAsia="方正仿宋_GBK" w:cs="方正仿宋_GBK"/>
          <w:color w:val="3F3F3F"/>
          <w:sz w:val="32"/>
          <w:szCs w:val="32"/>
        </w:rPr>
        <w:t>及其执法机构可以邀请第三方专业机构或行业专家对行政检查予以协助。根据“谁使用、谁管理、谁负责”原则，行政检查主体应严格落实对行政检查辅助人员的监督管理责任。第三方专业机构或行业专家不得以协助行政检查为名，自行开展行政检查相关现场工作。</w:t>
      </w:r>
    </w:p>
    <w:p w14:paraId="71D141CD">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（二）行政检查职责分工</w:t>
      </w:r>
    </w:p>
    <w:p w14:paraId="7B610FA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sz w:val="24"/>
          <w:szCs w:val="24"/>
        </w:rPr>
      </w:pPr>
      <w:r>
        <w:rPr>
          <w:rFonts w:hint="eastAsia" w:ascii="方正仿宋_GBK" w:hAnsi="方正仿宋_GBK" w:eastAsia="方正仿宋_GBK" w:cs="方正仿宋_GBK"/>
          <w:color w:val="3F3F3F"/>
          <w:sz w:val="32"/>
          <w:szCs w:val="32"/>
          <w:lang w:val="en-US" w:eastAsia="zh-CN"/>
        </w:rPr>
        <w:t>各乡（镇）人民政府、县级各执法部门要</w:t>
      </w:r>
      <w:r>
        <w:rPr>
          <w:rFonts w:hint="eastAsia" w:ascii="方正仿宋_GBK" w:hAnsi="方正仿宋_GBK" w:eastAsia="方正仿宋_GBK" w:cs="方正仿宋_GBK"/>
          <w:color w:val="3F3F3F"/>
          <w:sz w:val="32"/>
          <w:szCs w:val="32"/>
        </w:rPr>
        <w:t>厘清涉企行政检查权行使依据，依法合理确定行使层级和范围。对于</w:t>
      </w:r>
      <w:r>
        <w:rPr>
          <w:rFonts w:hint="eastAsia" w:ascii="方正仿宋_GBK" w:hAnsi="方正仿宋_GBK" w:eastAsia="方正仿宋_GBK" w:cs="方正仿宋_GBK"/>
          <w:color w:val="3F3F3F"/>
          <w:sz w:val="32"/>
          <w:szCs w:val="32"/>
          <w:lang w:val="en-US" w:eastAsia="zh-CN"/>
        </w:rPr>
        <w:t>县乡（镇）</w:t>
      </w:r>
      <w:r>
        <w:rPr>
          <w:rFonts w:hint="eastAsia" w:ascii="方正仿宋_GBK" w:hAnsi="方正仿宋_GBK" w:eastAsia="方正仿宋_GBK" w:cs="方正仿宋_GBK"/>
          <w:color w:val="3F3F3F"/>
          <w:sz w:val="32"/>
          <w:szCs w:val="32"/>
        </w:rPr>
        <w:t>均可行使行政检查权的行政检查事项，一般由</w:t>
      </w:r>
      <w:r>
        <w:rPr>
          <w:rFonts w:hint="eastAsia" w:ascii="方正仿宋_GBK" w:hAnsi="方正仿宋_GBK" w:eastAsia="方正仿宋_GBK" w:cs="方正仿宋_GBK"/>
          <w:color w:val="3F3F3F"/>
          <w:sz w:val="32"/>
          <w:szCs w:val="32"/>
          <w:lang w:val="en-US" w:eastAsia="zh-CN"/>
        </w:rPr>
        <w:t>乡（镇）</w:t>
      </w:r>
      <w:r>
        <w:rPr>
          <w:rFonts w:hint="eastAsia" w:ascii="方正仿宋_GBK" w:hAnsi="方正仿宋_GBK" w:eastAsia="方正仿宋_GBK" w:cs="方正仿宋_GBK"/>
          <w:color w:val="3F3F3F"/>
          <w:sz w:val="32"/>
          <w:szCs w:val="32"/>
        </w:rPr>
        <w:t>行使；有重大影响或跨</w:t>
      </w:r>
      <w:r>
        <w:rPr>
          <w:rFonts w:hint="eastAsia" w:ascii="方正仿宋_GBK" w:hAnsi="方正仿宋_GBK" w:eastAsia="方正仿宋_GBK" w:cs="方正仿宋_GBK"/>
          <w:color w:val="3F3F3F"/>
          <w:sz w:val="32"/>
          <w:szCs w:val="32"/>
          <w:lang w:val="en-US" w:eastAsia="zh-CN"/>
        </w:rPr>
        <w:t>乡（镇）</w:t>
      </w:r>
      <w:r>
        <w:rPr>
          <w:rFonts w:hint="eastAsia" w:ascii="方正仿宋_GBK" w:hAnsi="方正仿宋_GBK" w:eastAsia="方正仿宋_GBK" w:cs="方正仿宋_GBK"/>
          <w:color w:val="3F3F3F"/>
          <w:sz w:val="32"/>
          <w:szCs w:val="32"/>
        </w:rPr>
        <w:t>的行政检查事项，原则上由</w:t>
      </w:r>
      <w:r>
        <w:rPr>
          <w:rFonts w:hint="eastAsia" w:ascii="方正仿宋_GBK" w:hAnsi="方正仿宋_GBK" w:eastAsia="方正仿宋_GBK" w:cs="方正仿宋_GBK"/>
          <w:color w:val="3F3F3F"/>
          <w:sz w:val="32"/>
          <w:szCs w:val="32"/>
          <w:lang w:val="en-US" w:eastAsia="zh-CN"/>
        </w:rPr>
        <w:t>县</w:t>
      </w:r>
      <w:r>
        <w:rPr>
          <w:rFonts w:hint="eastAsia" w:ascii="方正仿宋_GBK" w:hAnsi="方正仿宋_GBK" w:eastAsia="方正仿宋_GBK" w:cs="方正仿宋_GBK"/>
          <w:color w:val="3F3F3F"/>
          <w:sz w:val="32"/>
          <w:szCs w:val="32"/>
        </w:rPr>
        <w:t>级负责；对新产业、新业态、新模式，按照“谁审批、谁监管，谁主管、谁监管”的原则确定行政检查主体。</w:t>
      </w:r>
      <w:r>
        <w:rPr>
          <w:rFonts w:hint="eastAsia" w:ascii="方正仿宋_GBK" w:hAnsi="方正仿宋_GBK" w:eastAsia="方正仿宋_GBK" w:cs="方正仿宋_GBK"/>
          <w:color w:val="3F3F3F"/>
          <w:sz w:val="32"/>
          <w:szCs w:val="32"/>
          <w:lang w:val="en-US" w:eastAsia="zh-CN"/>
        </w:rPr>
        <w:br w:type="textWrapping"/>
      </w:r>
      <w:r>
        <w:rPr>
          <w:rFonts w:hint="eastAsia" w:ascii="方正黑体_GBK" w:hAnsi="方正黑体_GBK" w:eastAsia="方正黑体_GBK" w:cs="方正黑体_GBK"/>
          <w:color w:val="auto"/>
          <w:kern w:val="0"/>
          <w:sz w:val="32"/>
          <w:szCs w:val="32"/>
          <w:lang w:val="en-US" w:eastAsia="zh-CN" w:bidi="ar"/>
        </w:rPr>
        <w:br w:type="textWrapping"/>
      </w:r>
      <w:r>
        <w:rPr>
          <w:rFonts w:hint="eastAsia" w:ascii="方正黑体_GBK" w:hAnsi="方正黑体_GBK" w:eastAsia="方正黑体_GBK" w:cs="方正黑体_GBK"/>
          <w:color w:val="auto"/>
          <w:kern w:val="0"/>
          <w:sz w:val="32"/>
          <w:szCs w:val="32"/>
          <w:lang w:val="en-US" w:eastAsia="zh-CN" w:bidi="ar"/>
        </w:rPr>
        <w:t xml:space="preserve">    四、健全完善行政检查事项库</w:t>
      </w:r>
    </w:p>
    <w:p w14:paraId="251704EE">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w:t>
      </w:r>
      <w:r>
        <w:rPr>
          <w:rStyle w:val="5"/>
          <w:rFonts w:hint="eastAsia" w:ascii="方正楷体_GBK" w:hAnsi="方正楷体_GBK" w:eastAsia="方正楷体_GBK" w:cs="方正楷体_GBK"/>
          <w:color w:val="3F3F3F"/>
          <w:sz w:val="32"/>
          <w:szCs w:val="32"/>
          <w:lang w:val="en-US" w:eastAsia="zh-CN"/>
        </w:rPr>
        <w:t>一</w:t>
      </w:r>
      <w:r>
        <w:rPr>
          <w:rStyle w:val="5"/>
          <w:rFonts w:hint="eastAsia" w:ascii="方正楷体_GBK" w:hAnsi="方正楷体_GBK" w:eastAsia="方正楷体_GBK" w:cs="方正楷体_GBK"/>
          <w:color w:val="3F3F3F"/>
          <w:sz w:val="32"/>
          <w:szCs w:val="32"/>
        </w:rPr>
        <w:t>）实行检查事项分类管理</w:t>
      </w:r>
    </w:p>
    <w:p w14:paraId="6F6046B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行政检查事项实施分类管理。对于问题发生率低、投诉举报量少、危害后果轻微、通过非现场检查可以实现监管目标的低风险事项，列入“无事不扰”检查事项清单，除上级部署、收到违法线索和法律、法规、规章有明确规定的外，原则上不主动开展现场检查。</w:t>
      </w:r>
    </w:p>
    <w:p w14:paraId="6D7E427A">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（三）完善行政检查标准</w:t>
      </w:r>
    </w:p>
    <w:p w14:paraId="2A2CCB8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lang w:val="en-US" w:eastAsia="zh-CN"/>
        </w:rPr>
        <w:t>各乡（镇）人民政府、县级各执法部门</w:t>
      </w:r>
      <w:r>
        <w:rPr>
          <w:rFonts w:hint="eastAsia" w:ascii="方正仿宋_GBK" w:hAnsi="方正仿宋_GBK" w:eastAsia="方正仿宋_GBK" w:cs="方正仿宋_GBK"/>
          <w:color w:val="3F3F3F"/>
          <w:sz w:val="32"/>
          <w:szCs w:val="32"/>
        </w:rPr>
        <w:t>应结合行政检查事项清单，按监督检查和执法检查的具体要求梳理风险点和行政检查要点，编制现场检查指引，</w:t>
      </w:r>
      <w:r>
        <w:rPr>
          <w:rFonts w:hint="eastAsia" w:ascii="方正仿宋_GBK" w:hAnsi="方正仿宋_GBK" w:eastAsia="方正仿宋_GBK" w:cs="方正仿宋_GBK"/>
          <w:color w:val="3F3F3F"/>
          <w:sz w:val="32"/>
          <w:szCs w:val="32"/>
          <w:lang w:val="en-US" w:eastAsia="zh-CN"/>
        </w:rPr>
        <w:t>规范涉企</w:t>
      </w:r>
      <w:r>
        <w:rPr>
          <w:rFonts w:hint="eastAsia" w:ascii="方正仿宋_GBK" w:hAnsi="方正仿宋_GBK" w:eastAsia="方正仿宋_GBK" w:cs="方正仿宋_GBK"/>
          <w:color w:val="3F3F3F"/>
          <w:sz w:val="32"/>
          <w:szCs w:val="32"/>
        </w:rPr>
        <w:t>行政检查标准</w:t>
      </w:r>
      <w:r>
        <w:rPr>
          <w:rFonts w:hint="eastAsia" w:ascii="方正仿宋_GBK" w:hAnsi="方正仿宋_GBK" w:eastAsia="方正仿宋_GBK" w:cs="方正仿宋_GBK"/>
          <w:color w:val="3F3F3F"/>
          <w:sz w:val="32"/>
          <w:szCs w:val="32"/>
          <w:lang w:val="en-US" w:eastAsia="zh-CN"/>
        </w:rPr>
        <w:t>并</w:t>
      </w:r>
      <w:r>
        <w:rPr>
          <w:rFonts w:hint="eastAsia" w:ascii="方正仿宋_GBK" w:hAnsi="方正仿宋_GBK" w:eastAsia="方正仿宋_GBK" w:cs="方正仿宋_GBK"/>
          <w:color w:val="3F3F3F"/>
          <w:sz w:val="32"/>
          <w:szCs w:val="32"/>
        </w:rPr>
        <w:t>应当严格按照行政检查标准开展行政检查。</w:t>
      </w:r>
    </w:p>
    <w:p w14:paraId="3779500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600" w:firstLineChars="200"/>
        <w:jc w:val="both"/>
        <w:textAlignment w:val="auto"/>
        <w:rPr>
          <w:rFonts w:hint="eastAsia" w:ascii="方正黑体_GBK" w:hAnsi="方正黑体_GBK" w:eastAsia="方正黑体_GBK" w:cs="方正黑体_GBK"/>
          <w:kern w:val="0"/>
          <w:sz w:val="30"/>
          <w:szCs w:val="30"/>
          <w:lang w:val="en-US" w:eastAsia="zh-CN" w:bidi="ar"/>
        </w:rPr>
      </w:pPr>
      <w:r>
        <w:rPr>
          <w:rFonts w:hint="eastAsia" w:ascii="方正黑体_GBK" w:hAnsi="方正黑体_GBK" w:eastAsia="方正黑体_GBK" w:cs="方正黑体_GBK"/>
          <w:kern w:val="0"/>
          <w:sz w:val="30"/>
          <w:szCs w:val="30"/>
          <w:lang w:val="en-US" w:eastAsia="zh-CN" w:bidi="ar"/>
        </w:rPr>
        <w:t>五、规范实施有计划行政检查</w:t>
      </w:r>
    </w:p>
    <w:p w14:paraId="003EBFC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（一）编制年度和月度行政检查计划</w:t>
      </w:r>
    </w:p>
    <w:p w14:paraId="1E79680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除触发式检查外，有计划行政检查均应制定行政检查计划。按照“分级负责、协同补充”的原则，根据管理与执法需求，编制年度</w:t>
      </w:r>
      <w:r>
        <w:rPr>
          <w:rFonts w:hint="eastAsia" w:ascii="方正仿宋_GBK" w:hAnsi="方正仿宋_GBK" w:eastAsia="方正仿宋_GBK" w:cs="方正仿宋_GBK"/>
          <w:color w:val="3F3F3F"/>
          <w:sz w:val="32"/>
          <w:szCs w:val="32"/>
          <w:lang w:val="en-US" w:eastAsia="zh-CN"/>
        </w:rPr>
        <w:t>涉企</w:t>
      </w:r>
      <w:r>
        <w:rPr>
          <w:rFonts w:hint="eastAsia" w:ascii="方正仿宋_GBK" w:hAnsi="方正仿宋_GBK" w:eastAsia="方正仿宋_GBK" w:cs="方正仿宋_GBK"/>
          <w:color w:val="3F3F3F"/>
          <w:sz w:val="32"/>
          <w:szCs w:val="32"/>
        </w:rPr>
        <w:t>行政检查计划。根据年度行政检查计划和月度工作需要，进一步细化月度行政检查计划，明确检查事项、检查依据、检查主体、检查对象、检查方式、检查项目等内容。无上级部署或其他触发情况，月度行政检查计划不得安排年度行政检查计划外任务，切实提高有计划检查的运用率。</w:t>
      </w:r>
    </w:p>
    <w:p w14:paraId="2968575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lang w:val="en-US" w:eastAsia="zh-CN"/>
        </w:rPr>
      </w:pPr>
      <w:r>
        <w:rPr>
          <w:rStyle w:val="5"/>
          <w:rFonts w:hint="eastAsia" w:ascii="方正楷体_GBK" w:hAnsi="方正楷体_GBK" w:eastAsia="方正楷体_GBK" w:cs="方正楷体_GBK"/>
          <w:color w:val="3F3F3F"/>
          <w:sz w:val="32"/>
          <w:szCs w:val="32"/>
          <w:lang w:eastAsia="zh-CN"/>
        </w:rPr>
        <w:t>（</w:t>
      </w:r>
      <w:r>
        <w:rPr>
          <w:rStyle w:val="5"/>
          <w:rFonts w:hint="eastAsia" w:ascii="方正楷体_GBK" w:hAnsi="方正楷体_GBK" w:eastAsia="方正楷体_GBK" w:cs="方正楷体_GBK"/>
          <w:color w:val="3F3F3F"/>
          <w:sz w:val="32"/>
          <w:szCs w:val="32"/>
          <w:lang w:val="en-US" w:eastAsia="zh-CN"/>
        </w:rPr>
        <w:t>三</w:t>
      </w:r>
      <w:r>
        <w:rPr>
          <w:rStyle w:val="5"/>
          <w:rFonts w:hint="eastAsia" w:ascii="方正楷体_GBK" w:hAnsi="方正楷体_GBK" w:eastAsia="方正楷体_GBK" w:cs="方正楷体_GBK"/>
          <w:color w:val="3F3F3F"/>
          <w:sz w:val="32"/>
          <w:szCs w:val="32"/>
          <w:lang w:eastAsia="zh-CN"/>
        </w:rPr>
        <w:t>）</w:t>
      </w:r>
      <w:r>
        <w:rPr>
          <w:rStyle w:val="5"/>
          <w:rFonts w:hint="eastAsia" w:ascii="方正楷体_GBK" w:hAnsi="方正楷体_GBK" w:eastAsia="方正楷体_GBK" w:cs="方正楷体_GBK"/>
          <w:color w:val="3F3F3F"/>
          <w:sz w:val="32"/>
          <w:szCs w:val="32"/>
        </w:rPr>
        <w:t>落实</w:t>
      </w:r>
      <w:r>
        <w:rPr>
          <w:rStyle w:val="5"/>
          <w:rFonts w:hint="eastAsia" w:ascii="方正楷体_GBK" w:hAnsi="方正楷体_GBK" w:eastAsia="方正楷体_GBK" w:cs="方正楷体_GBK"/>
          <w:color w:val="3F3F3F"/>
          <w:sz w:val="32"/>
          <w:szCs w:val="32"/>
          <w:lang w:val="en-US" w:eastAsia="zh-CN"/>
        </w:rPr>
        <w:t>行政检查公示</w:t>
      </w:r>
    </w:p>
    <w:p w14:paraId="2E178F5A">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ascii="方正仿宋_GBK" w:hAnsi="方正仿宋_GBK" w:eastAsia="方正仿宋_GBK" w:cs="方正仿宋_GBK"/>
          <w:color w:val="3F3F3F"/>
          <w:kern w:val="0"/>
          <w:sz w:val="32"/>
          <w:szCs w:val="32"/>
          <w:lang w:val="en-US" w:eastAsia="zh-CN" w:bidi="ar"/>
        </w:rPr>
      </w:pPr>
      <w:r>
        <w:rPr>
          <w:rFonts w:hint="eastAsia" w:ascii="方正仿宋_GBK" w:hAnsi="方正仿宋_GBK" w:eastAsia="方正仿宋_GBK" w:cs="方正仿宋_GBK"/>
          <w:color w:val="3F3F3F"/>
          <w:kern w:val="0"/>
          <w:sz w:val="32"/>
          <w:szCs w:val="32"/>
          <w:lang w:val="en-US" w:eastAsia="zh-CN" w:bidi="ar"/>
        </w:rPr>
        <w:t>严格落实行政执法“三项制度”，各乡（镇）人民政府、县级各执法部门应当通过政府网站、部门门户网站或者其他互联网政务媒体、办事大厅公示栏、服务窗口等载体向社会公开行政执法基本信息、结果信息，并不断拓展行政执法公示的渠道和方式。监督检查中执法人员主动出示行政执法证件亮明身份，做好告知说明等注意事项，规范事中公开。执法决定作出后及时公开，动态更新信息内容等，加强事后公开。通过全过程公开，主动接受社会监督，全面规范行政执法行为。</w:t>
      </w:r>
    </w:p>
    <w:p w14:paraId="3C184EA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（三）加强行政检查计划统筹</w:t>
      </w:r>
    </w:p>
    <w:p w14:paraId="2A1A8141">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对于同一检查对象的同一事项，在一个年度内，已经完成检查的，不再重复组织检查。对同一检查对象</w:t>
      </w:r>
      <w:r>
        <w:rPr>
          <w:rFonts w:hint="eastAsia" w:ascii="方正仿宋_GBK" w:hAnsi="方正仿宋_GBK" w:eastAsia="方正仿宋_GBK" w:cs="方正仿宋_GBK"/>
          <w:color w:val="3F3F3F"/>
          <w:sz w:val="32"/>
          <w:szCs w:val="32"/>
          <w:lang w:val="en-US" w:eastAsia="zh-CN"/>
        </w:rPr>
        <w:t>县乡</w:t>
      </w:r>
      <w:r>
        <w:rPr>
          <w:rFonts w:hint="eastAsia" w:ascii="方正仿宋_GBK" w:hAnsi="方正仿宋_GBK" w:eastAsia="方正仿宋_GBK" w:cs="方正仿宋_GBK"/>
          <w:color w:val="3F3F3F"/>
          <w:sz w:val="32"/>
          <w:szCs w:val="32"/>
        </w:rPr>
        <w:t>均有检查计划任务的，应通过月度检查计划撮合，及时协商后由一方独立检查，或开展联合检查。</w:t>
      </w:r>
    </w:p>
    <w:p w14:paraId="77F5DA4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600" w:firstLineChars="200"/>
        <w:jc w:val="both"/>
        <w:textAlignment w:val="auto"/>
        <w:rPr>
          <w:rFonts w:hint="eastAsia" w:ascii="方正黑体_GBK" w:hAnsi="方正黑体_GBK" w:eastAsia="方正黑体_GBK" w:cs="方正黑体_GBK"/>
          <w:kern w:val="0"/>
          <w:sz w:val="30"/>
          <w:szCs w:val="30"/>
          <w:lang w:val="en-US" w:eastAsia="zh-CN" w:bidi="ar"/>
        </w:rPr>
      </w:pPr>
      <w:r>
        <w:rPr>
          <w:rFonts w:hint="eastAsia" w:ascii="方正黑体_GBK" w:hAnsi="方正黑体_GBK" w:eastAsia="方正黑体_GBK" w:cs="方正黑体_GBK"/>
          <w:kern w:val="0"/>
          <w:sz w:val="30"/>
          <w:szCs w:val="30"/>
          <w:lang w:val="en-US" w:eastAsia="zh-CN" w:bidi="ar"/>
        </w:rPr>
        <w:t>六、规范行政检查行为</w:t>
      </w:r>
    </w:p>
    <w:p w14:paraId="3B0D3D1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（一）优化行政检查方式</w:t>
      </w:r>
    </w:p>
    <w:p w14:paraId="0A4F429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对列入“无感监管”检查对象清单的及对于其他通过非现场检查能达到检查目的的行政检查对象，应优先安排非现场检查，切实提高非现场检查率。</w:t>
      </w:r>
    </w:p>
    <w:p w14:paraId="10AB84B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（二）规范行政检查程序</w:t>
      </w:r>
    </w:p>
    <w:p w14:paraId="4AC4F609">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行政检查由两名及以上行政检查人员依法实施。行政检查人员到达现场后，应向检查对象主动出示行政检查证件，当面告知行政检查的依据、内容、要求、程序，以及检查对象依法享有的权利和承担的义务。</w:t>
      </w:r>
    </w:p>
    <w:p w14:paraId="16F253F3">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现场检查时应落实“严格规范公正文明”的工作要求，严禁盲目检查和野蛮检查，不得要求企业提供与检查内容无关的材料，不得以配合检查为缘由干扰企业正常生产经营。行政检查人员应通过现场检查记录设备规范开展行政检查过程记录。</w:t>
      </w:r>
    </w:p>
    <w:p w14:paraId="69B87E9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（三）规范行政检查结果记录</w:t>
      </w:r>
    </w:p>
    <w:p w14:paraId="42CB23A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pPr>
      <w:r>
        <w:rPr>
          <w:rFonts w:hint="eastAsia" w:ascii="方正仿宋_GBK" w:hAnsi="方正仿宋_GBK" w:eastAsia="方正仿宋_GBK" w:cs="方正仿宋_GBK"/>
          <w:color w:val="3F3F3F"/>
          <w:sz w:val="32"/>
          <w:szCs w:val="32"/>
          <w:lang w:val="en-US" w:eastAsia="zh-CN"/>
        </w:rPr>
        <w:t>涉企行政检查开展需形成完整的工作记录，</w:t>
      </w:r>
      <w:r>
        <w:rPr>
          <w:rFonts w:hint="eastAsia" w:ascii="方正仿宋_GBK" w:hAnsi="方正仿宋_GBK" w:eastAsia="方正仿宋_GBK" w:cs="方正仿宋_GBK"/>
          <w:color w:val="3F3F3F"/>
          <w:sz w:val="32"/>
          <w:szCs w:val="32"/>
        </w:rPr>
        <w:t>行政检查人员完成行政检查后</w:t>
      </w:r>
      <w:r>
        <w:rPr>
          <w:rFonts w:hint="eastAsia" w:ascii="方正仿宋_GBK" w:hAnsi="方正仿宋_GBK" w:eastAsia="方正仿宋_GBK" w:cs="方正仿宋_GBK"/>
          <w:color w:val="3F3F3F"/>
          <w:sz w:val="32"/>
          <w:szCs w:val="32"/>
          <w:lang w:val="en-US" w:eastAsia="zh-CN"/>
        </w:rPr>
        <w:t>行成工作报告。行政检查结果</w:t>
      </w:r>
      <w:r>
        <w:rPr>
          <w:rFonts w:hint="eastAsia" w:ascii="方正仿宋_GBK" w:hAnsi="方正仿宋_GBK" w:eastAsia="方正仿宋_GBK" w:cs="方正仿宋_GBK"/>
          <w:color w:val="3F3F3F"/>
          <w:sz w:val="32"/>
          <w:szCs w:val="32"/>
        </w:rPr>
        <w:t>应</w:t>
      </w:r>
      <w:r>
        <w:rPr>
          <w:rFonts w:hint="eastAsia" w:ascii="方正仿宋_GBK" w:hAnsi="方正仿宋_GBK" w:eastAsia="方正仿宋_GBK" w:cs="方正仿宋_GBK"/>
          <w:color w:val="3F3F3F"/>
          <w:sz w:val="32"/>
          <w:szCs w:val="32"/>
          <w:lang w:val="en-US" w:eastAsia="zh-CN"/>
        </w:rPr>
        <w:t>通过政府网站、部门门户网站或者其他互联网政务媒体等载体向社会公开。</w:t>
      </w:r>
      <w:r>
        <w:rPr>
          <w:rFonts w:hint="eastAsia" w:ascii="方正仿宋_GBK" w:hAnsi="方正仿宋_GBK" w:eastAsia="方正仿宋_GBK" w:cs="方正仿宋_GBK"/>
          <w:color w:val="3F3F3F"/>
          <w:sz w:val="32"/>
          <w:szCs w:val="32"/>
          <w:lang w:val="en-US" w:eastAsia="zh-CN"/>
        </w:rPr>
        <w:br w:type="textWrapping"/>
      </w:r>
      <w:r>
        <w:rPr>
          <w:rFonts w:hint="eastAsia" w:ascii="方正黑体_GBK" w:hAnsi="方正黑体_GBK" w:eastAsia="方正黑体_GBK" w:cs="方正黑体_GBK"/>
          <w:kern w:val="0"/>
          <w:sz w:val="30"/>
          <w:szCs w:val="30"/>
          <w:lang w:val="en-US" w:eastAsia="zh-CN" w:bidi="ar"/>
        </w:rPr>
        <w:br w:type="textWrapping"/>
      </w:r>
      <w:r>
        <w:rPr>
          <w:rFonts w:hint="eastAsia" w:ascii="方正黑体_GBK" w:hAnsi="方正黑体_GBK" w:eastAsia="方正黑体_GBK" w:cs="方正黑体_GBK"/>
          <w:kern w:val="0"/>
          <w:sz w:val="30"/>
          <w:szCs w:val="30"/>
          <w:lang w:val="en-US" w:eastAsia="zh-CN" w:bidi="ar"/>
        </w:rPr>
        <w:t xml:space="preserve">    七、提升行政检查能力</w:t>
      </w:r>
    </w:p>
    <w:p w14:paraId="66BD9FE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pPr>
      <w:r>
        <w:rPr>
          <w:rFonts w:hint="eastAsia" w:ascii="方正仿宋_GBK" w:hAnsi="方正仿宋_GBK" w:eastAsia="方正仿宋_GBK" w:cs="方正仿宋_GBK"/>
          <w:color w:val="3F3F3F"/>
          <w:sz w:val="32"/>
          <w:szCs w:val="32"/>
          <w:lang w:val="en-US" w:eastAsia="zh-CN"/>
        </w:rPr>
        <w:t>行政各乡（镇）人民政府、县级各执法部门</w:t>
      </w:r>
      <w:r>
        <w:rPr>
          <w:rFonts w:hint="eastAsia" w:ascii="方正仿宋_GBK" w:hAnsi="方正仿宋_GBK" w:eastAsia="方正仿宋_GBK" w:cs="方正仿宋_GBK"/>
          <w:color w:val="3F3F3F"/>
          <w:sz w:val="32"/>
          <w:szCs w:val="32"/>
        </w:rPr>
        <w:t>及其执法机构要加大培训力度，通过组织理论学习、法规培训、交叉检查、实战比武、装备应用、岗位练兵等多种形式的岗位培训，全面提升行政检查人员发现问题的能力水平</w:t>
      </w:r>
      <w:r>
        <w:rPr>
          <w:color w:val="3F3F3F"/>
          <w:sz w:val="24"/>
          <w:szCs w:val="24"/>
        </w:rPr>
        <w:t>。</w:t>
      </w:r>
    </w:p>
    <w:p w14:paraId="0EB76FB6">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480" w:hanging="600" w:hangingChars="200"/>
        <w:jc w:val="left"/>
        <w:textAlignment w:val="auto"/>
        <w:rPr>
          <w:rFonts w:hint="eastAsia" w:ascii="方正黑体_GBK" w:hAnsi="方正黑体_GBK" w:eastAsia="方正黑体_GBK" w:cs="方正黑体_GBK"/>
          <w:sz w:val="30"/>
          <w:szCs w:val="30"/>
        </w:rPr>
      </w:pPr>
      <w:r>
        <w:rPr>
          <w:rFonts w:hint="eastAsia" w:ascii="方正黑体_GBK" w:hAnsi="方正黑体_GBK" w:eastAsia="方正黑体_GBK" w:cs="方正黑体_GBK"/>
          <w:kern w:val="0"/>
          <w:sz w:val="30"/>
          <w:szCs w:val="30"/>
          <w:lang w:val="en-US" w:eastAsia="zh-CN" w:bidi="ar"/>
        </w:rPr>
        <w:br w:type="textWrapping"/>
      </w:r>
      <w:r>
        <w:rPr>
          <w:rFonts w:hint="eastAsia" w:ascii="方正黑体_GBK" w:hAnsi="方正黑体_GBK" w:eastAsia="方正黑体_GBK" w:cs="方正黑体_GBK"/>
          <w:kern w:val="0"/>
          <w:sz w:val="30"/>
          <w:szCs w:val="30"/>
          <w:lang w:val="en-US" w:eastAsia="zh-CN" w:bidi="ar"/>
        </w:rPr>
        <w:t>八、</w:t>
      </w:r>
      <w:r>
        <w:rPr>
          <w:rStyle w:val="5"/>
          <w:rFonts w:hint="eastAsia" w:ascii="方正黑体_GBK" w:hAnsi="方正黑体_GBK" w:eastAsia="方正黑体_GBK" w:cs="方正黑体_GBK"/>
          <w:spacing w:val="15"/>
          <w:kern w:val="0"/>
          <w:sz w:val="30"/>
          <w:szCs w:val="30"/>
          <w:lang w:val="en-US" w:eastAsia="zh-CN" w:bidi="ar"/>
        </w:rPr>
        <w:t>加大实施力度</w:t>
      </w:r>
    </w:p>
    <w:p w14:paraId="59C4EA11">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（一）加强组织领导</w:t>
      </w:r>
    </w:p>
    <w:p w14:paraId="2A3821FB">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lang w:val="en-US" w:eastAsia="zh-CN"/>
        </w:rPr>
        <w:t>行政各乡（镇）人民政府、县级各执法部门</w:t>
      </w:r>
      <w:r>
        <w:rPr>
          <w:rFonts w:hint="eastAsia" w:ascii="方正仿宋_GBK" w:hAnsi="方正仿宋_GBK" w:eastAsia="方正仿宋_GBK" w:cs="方正仿宋_GBK"/>
          <w:color w:val="3F3F3F"/>
          <w:sz w:val="32"/>
          <w:szCs w:val="32"/>
        </w:rPr>
        <w:t>成立</w:t>
      </w:r>
      <w:r>
        <w:rPr>
          <w:rFonts w:hint="eastAsia" w:ascii="方正仿宋_GBK" w:hAnsi="方正仿宋_GBK" w:eastAsia="方正仿宋_GBK" w:cs="方正仿宋_GBK"/>
          <w:color w:val="3F3F3F"/>
          <w:sz w:val="32"/>
          <w:szCs w:val="32"/>
          <w:lang w:val="en-US" w:eastAsia="zh-CN"/>
        </w:rPr>
        <w:t>本部门</w:t>
      </w:r>
      <w:r>
        <w:rPr>
          <w:rFonts w:hint="eastAsia" w:ascii="方正仿宋_GBK" w:hAnsi="方正仿宋_GBK" w:eastAsia="方正仿宋_GBK" w:cs="方正仿宋_GBK"/>
          <w:color w:val="3F3F3F"/>
          <w:sz w:val="32"/>
          <w:szCs w:val="32"/>
        </w:rPr>
        <w:t>规范涉企行政检查工作组，由主要领导任组长，分管领导具体负责，各业务</w:t>
      </w:r>
      <w:r>
        <w:rPr>
          <w:rFonts w:hint="eastAsia" w:ascii="方正仿宋_GBK" w:hAnsi="方正仿宋_GBK" w:eastAsia="方正仿宋_GBK" w:cs="方正仿宋_GBK"/>
          <w:color w:val="3F3F3F"/>
          <w:sz w:val="32"/>
          <w:szCs w:val="32"/>
          <w:lang w:val="en-US" w:eastAsia="zh-CN"/>
        </w:rPr>
        <w:t>股室工作人员</w:t>
      </w:r>
      <w:r>
        <w:rPr>
          <w:rFonts w:hint="eastAsia" w:ascii="方正仿宋_GBK" w:hAnsi="方正仿宋_GBK" w:eastAsia="方正仿宋_GBK" w:cs="方正仿宋_GBK"/>
          <w:color w:val="3F3F3F"/>
          <w:sz w:val="32"/>
          <w:szCs w:val="32"/>
        </w:rPr>
        <w:t>推进具体工作，相关业务</w:t>
      </w:r>
      <w:r>
        <w:rPr>
          <w:rFonts w:hint="eastAsia" w:ascii="方正仿宋_GBK" w:hAnsi="方正仿宋_GBK" w:eastAsia="方正仿宋_GBK" w:cs="方正仿宋_GBK"/>
          <w:color w:val="3F3F3F"/>
          <w:sz w:val="32"/>
          <w:szCs w:val="32"/>
          <w:lang w:val="en-US" w:eastAsia="zh-CN"/>
        </w:rPr>
        <w:t>股</w:t>
      </w:r>
      <w:r>
        <w:rPr>
          <w:rFonts w:hint="eastAsia" w:ascii="方正仿宋_GBK" w:hAnsi="方正仿宋_GBK" w:eastAsia="方正仿宋_GBK" w:cs="方正仿宋_GBK"/>
          <w:color w:val="3F3F3F"/>
          <w:sz w:val="32"/>
          <w:szCs w:val="32"/>
        </w:rPr>
        <w:t>室协同配合，全面推进部门规范涉企行政检查工作。</w:t>
      </w:r>
    </w:p>
    <w:p w14:paraId="41FD2F5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（二）注重服务指导</w:t>
      </w:r>
    </w:p>
    <w:p w14:paraId="53EA118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坚持教育与处罚相结合、服务与管理相结合，综合运用说服教育、劝导示范、指导约谈等方式，推行全过程说理式行政检查，提高行政检查说服力和公信力。</w:t>
      </w:r>
    </w:p>
    <w:p w14:paraId="2977C4BA">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（三）落实检查责任</w:t>
      </w:r>
    </w:p>
    <w:p w14:paraId="386F39A0">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建立行政检查责任制，行政检查人员必须坚持严的要求，认真细致开展行政检查，注重检查实效。</w:t>
      </w:r>
      <w:r>
        <w:rPr>
          <w:rFonts w:hint="eastAsia" w:ascii="方正仿宋_GBK" w:hAnsi="方正仿宋_GBK" w:eastAsia="方正仿宋_GBK" w:cs="方正仿宋_GBK"/>
          <w:color w:val="3F3F3F"/>
          <w:sz w:val="32"/>
          <w:szCs w:val="32"/>
          <w:lang w:val="en-US" w:eastAsia="zh-CN"/>
        </w:rPr>
        <w:t>司法行政</w:t>
      </w:r>
      <w:r>
        <w:rPr>
          <w:rFonts w:hint="eastAsia" w:ascii="方正仿宋_GBK" w:hAnsi="方正仿宋_GBK" w:eastAsia="方正仿宋_GBK" w:cs="方正仿宋_GBK"/>
          <w:color w:val="3F3F3F"/>
          <w:sz w:val="32"/>
          <w:szCs w:val="32"/>
        </w:rPr>
        <w:t>部门要加强检查监督，结合执法稽查、效能评估及检查对象评价情况，加大对行政检查行为的监督力度，杜绝出现“走过场”“打卡式”的行政检查，扭转行政检查人员“卸责式检查”的错误观念，全面规范涉企行政检查行为。</w:t>
      </w:r>
    </w:p>
    <w:p w14:paraId="54F4021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Style w:val="5"/>
          <w:rFonts w:hint="eastAsia" w:ascii="方正楷体_GBK" w:hAnsi="方正楷体_GBK" w:eastAsia="方正楷体_GBK" w:cs="方正楷体_GBK"/>
          <w:color w:val="3F3F3F"/>
          <w:sz w:val="32"/>
          <w:szCs w:val="32"/>
        </w:rPr>
      </w:pPr>
      <w:r>
        <w:rPr>
          <w:rStyle w:val="5"/>
          <w:rFonts w:hint="eastAsia" w:ascii="方正楷体_GBK" w:hAnsi="方正楷体_GBK" w:eastAsia="方正楷体_GBK" w:cs="方正楷体_GBK"/>
          <w:color w:val="3F3F3F"/>
          <w:sz w:val="32"/>
          <w:szCs w:val="32"/>
        </w:rPr>
        <w:t>（四）开展效能评估</w:t>
      </w:r>
    </w:p>
    <w:p w14:paraId="17BAFE8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left="0" w:firstLine="459"/>
        <w:jc w:val="both"/>
        <w:textAlignment w:val="auto"/>
        <w:rPr>
          <w:rFonts w:hint="eastAsia" w:ascii="方正仿宋_GBK" w:hAnsi="方正仿宋_GBK" w:eastAsia="方正仿宋_GBK" w:cs="方正仿宋_GBK"/>
          <w:color w:val="3F3F3F"/>
          <w:sz w:val="32"/>
          <w:szCs w:val="32"/>
        </w:rPr>
      </w:pPr>
      <w:r>
        <w:rPr>
          <w:rFonts w:hint="eastAsia" w:ascii="方正仿宋_GBK" w:hAnsi="方正仿宋_GBK" w:eastAsia="方正仿宋_GBK" w:cs="方正仿宋_GBK"/>
          <w:color w:val="3F3F3F"/>
          <w:sz w:val="32"/>
          <w:szCs w:val="32"/>
        </w:rPr>
        <w:t>建立健全规范行政检查效能评估机制，重点关注涉企行政检查合法性、合理性、必要性和时效性，对有计划检查运用率、跨部门联合检查率、非现场检查率、检查问题发现率，以及检查计划统筹、检查任务实施等开展分析评估，持续完善工作机制，全面提升涉企行政检查工作效能。</w:t>
      </w:r>
    </w:p>
    <w:p w14:paraId="129C9C7D">
      <w:pPr>
        <w:keepNext w:val="0"/>
        <w:keepLines w:val="0"/>
        <w:pageBreakBefore w:val="0"/>
        <w:kinsoku/>
        <w:wordWrap/>
        <w:overflowPunct/>
        <w:topLinePunct w:val="0"/>
        <w:autoSpaceDE/>
        <w:autoSpaceDN/>
        <w:bidi w:val="0"/>
        <w:adjustRightInd/>
        <w:snapToGrid/>
        <w:spacing w:beforeAutospacing="0" w:afterAutospacing="0" w:line="576"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0916F2"/>
    <w:rsid w:val="50464CE7"/>
    <w:rsid w:val="5DE44768"/>
    <w:rsid w:val="70091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2916</Words>
  <Characters>2916</Characters>
  <Lines>0</Lines>
  <Paragraphs>0</Paragraphs>
  <TotalTime>267</TotalTime>
  <ScaleCrop>false</ScaleCrop>
  <LinksUpToDate>false</LinksUpToDate>
  <CharactersWithSpaces>2933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2025-04-02T02:03:00Z</dcterms:created>
  <dc:creator>Administrator</dc:creator>
  <cp:lastModifiedBy>Administrator</cp:lastModifiedBy>
  <dcterms:modified xsi:type="dcterms:W3CDTF">2025-04-02T08:54:54Z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1DBEF9D0F3C4460C8D25CC3708AE4BE8_11</vt:lpwstr>
  </property>
  <property fmtid="{D5CDD505-2E9C-101B-9397-08002B2CF9AE}" pid="4" name="KSOTemplateDocerSaveRecord">
    <vt:lpwstr>eyJoZGlkIjoiODczYzc4ZDViN2I5Y2ZlMmZmZDUyZmVjNWM4MjhmYmIifQ==</vt:lpwstr>
  </property>
</Properties>
</file>