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377F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textAlignment w:val="auto"/>
        <w:rPr>
          <w:color w:val="auto"/>
        </w:rPr>
      </w:pPr>
      <w:r>
        <w:rPr>
          <w:color w:val="auto"/>
        </w:rPr>
        <w:t xml:space="preserve">理论学习 |  行政执法文书——行政执法文书（行政许可、行政处罚）制作 </w:t>
      </w:r>
    </w:p>
    <w:p w14:paraId="05130C71">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700"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Fonts w:hint="eastAsia" w:ascii="仿宋_GB2312" w:hAnsi="仿宋_GB2312" w:eastAsia="仿宋_GB2312" w:cs="仿宋_GB2312"/>
          <w:color w:val="auto"/>
          <w:spacing w:val="15"/>
          <w:kern w:val="0"/>
          <w:sz w:val="32"/>
          <w:szCs w:val="32"/>
          <w:lang w:val="en-US" w:eastAsia="zh-CN" w:bidi="ar"/>
        </w:rPr>
        <w:t>行政许可、行政处罚两项具体行政行为约占的具体行政行为的90%左右。依照行政许可、行政处罚的程序规定，执法文书的形式较多，掌握行政许可、行政处罚文书制作，对于制作其他具体行政行为法律文书有借鉴意义。</w:t>
      </w:r>
    </w:p>
    <w:p w14:paraId="7014A156">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Style w:val="6"/>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行政许可文书制作</w:t>
      </w:r>
    </w:p>
    <w:p w14:paraId="76BD5B30">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行政许可文书的概念</w:t>
      </w:r>
      <w:r>
        <w:rPr>
          <w:rFonts w:hint="eastAsia" w:ascii="仿宋_GB2312" w:hAnsi="仿宋_GB2312" w:eastAsia="仿宋_GB2312" w:cs="仿宋_GB2312"/>
          <w:color w:val="auto"/>
          <w:spacing w:val="15"/>
          <w:kern w:val="0"/>
          <w:sz w:val="32"/>
          <w:szCs w:val="32"/>
          <w:lang w:val="en-US" w:eastAsia="zh-CN" w:bidi="ar"/>
        </w:rPr>
        <w:t>行政许可文书是指行政机关依照我国行政许可法等法律法规规定，根据公民、法人或者其他组织的申请，经依法审查作出的准予或者不准予其从事特定活动的执法文书。</w:t>
      </w:r>
    </w:p>
    <w:p w14:paraId="11B520FF">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76" w:lineRule="exact"/>
        <w:ind w:left="0" w:leftChars="0"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行政许可文书的种类及制作要求</w:t>
      </w:r>
    </w:p>
    <w:p w14:paraId="6910D179">
      <w:pPr>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受理</w:t>
      </w:r>
      <w:r>
        <w:rPr>
          <w:rFonts w:hint="eastAsia" w:ascii="仿宋_GB2312" w:hAnsi="仿宋_GB2312" w:eastAsia="仿宋_GB2312" w:cs="仿宋_GB2312"/>
          <w:color w:val="auto"/>
          <w:spacing w:val="15"/>
          <w:kern w:val="0"/>
          <w:sz w:val="32"/>
          <w:szCs w:val="32"/>
          <w:lang w:val="en-US" w:eastAsia="zh-CN" w:bidi="ar"/>
        </w:rPr>
        <w:t>主要执法文书有：行政许可申请书、行政许可申请材料清单、行政许可材料补正告知书、行政许可受理通知书、行政许可不予受理决定书等。以行政许可申请书为例，看一下受理阶段的行政许可文书的制作：（1）行政许可申请书。首先，填写行政许可宴请人基本情况。应写明单位名称（或者个人姓名、身份证号码）、法定代表人、工作单位、电话住址、邮编等；有委托代理人的，应写明委托代理人的基本情况。其次，申请行政许可事项。行政许可事项应当按照《国务院对确需保留的行政审批项目设定行政许可的决定》和省级政府或国务院部门依法保留的行政许可项目的规范名称填写；应写明申请是否为首次申请、变更、延续等。第三，申请行政许可事实和理由。应写明申请行政许可具备的条件和理由；第四，行政许可申请人、委托代理人签名或盖章及日期。（2）行政许可申请材料清单。首先，填写提交申请行政许可的材料名称、数量等，并说明情况（如复印件、原件等）；其次，行政许可申请人签名或盖章及日期；三是，行政承办人员签名、行政执法机关印章及日期......（3）行政许可受理通知书。首先，填写文号、行政许可申请人单位名称（或个人姓名）；其次，是行政许可申请事项......</w:t>
      </w:r>
    </w:p>
    <w:p w14:paraId="0759D737">
      <w:pPr>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76" w:lineRule="exact"/>
        <w:ind w:left="0" w:leftChars="0"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听证文书</w:t>
      </w:r>
      <w:r>
        <w:rPr>
          <w:rFonts w:hint="eastAsia" w:ascii="仿宋_GB2312" w:hAnsi="仿宋_GB2312" w:eastAsia="仿宋_GB2312" w:cs="仿宋_GB2312"/>
          <w:color w:val="auto"/>
          <w:spacing w:val="15"/>
          <w:kern w:val="0"/>
          <w:sz w:val="32"/>
          <w:szCs w:val="32"/>
          <w:lang w:val="en-US" w:eastAsia="zh-CN" w:bidi="ar"/>
        </w:rPr>
        <w:t>（1）听证告知书。（2）听证申请书</w:t>
      </w:r>
    </w:p>
    <w:p w14:paraId="122F676B">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bookmarkStart w:id="0" w:name="_GoBack"/>
      <w:bookmarkEnd w:id="0"/>
      <w:r>
        <w:rPr>
          <w:rStyle w:val="6"/>
          <w:rFonts w:hint="eastAsia" w:ascii="仿宋_GB2312" w:hAnsi="仿宋_GB2312" w:eastAsia="仿宋_GB2312" w:cs="仿宋_GB2312"/>
          <w:color w:val="auto"/>
          <w:spacing w:val="15"/>
          <w:kern w:val="0"/>
          <w:sz w:val="32"/>
          <w:szCs w:val="32"/>
          <w:lang w:val="en-US" w:eastAsia="zh-CN" w:bidi="ar"/>
        </w:rPr>
        <w:t>3.审查与决定</w:t>
      </w:r>
      <w:r>
        <w:rPr>
          <w:rFonts w:hint="eastAsia" w:ascii="仿宋_GB2312" w:hAnsi="仿宋_GB2312" w:eastAsia="仿宋_GB2312" w:cs="仿宋_GB2312"/>
          <w:color w:val="auto"/>
          <w:spacing w:val="15"/>
          <w:kern w:val="0"/>
          <w:sz w:val="32"/>
          <w:szCs w:val="32"/>
          <w:lang w:val="en-US" w:eastAsia="zh-CN" w:bidi="ar"/>
        </w:rPr>
        <w:t>检查（勘验）笔录、行政许可延期决定通知书、准予行政许可决定书、不予行政许可决定书、行政许可延续决定书、行政许可不予延续决定书、行政许可变更决定书、行政许可不予变更决定书、行政许可撤回决定书、行政许可撤销决定书、行政许可注销决定书等。</w:t>
      </w:r>
    </w:p>
    <w:p w14:paraId="1254D84B">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76" w:lineRule="exact"/>
        <w:ind w:left="0" w:leftChars="0" w:firstLine="703" w:firstLineChars="200"/>
        <w:jc w:val="left"/>
        <w:textAlignment w:val="auto"/>
        <w:rPr>
          <w:rStyle w:val="6"/>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行政处罚文书制作</w:t>
      </w:r>
    </w:p>
    <w:p w14:paraId="2C642830">
      <w:pPr>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576" w:lineRule="exact"/>
        <w:ind w:leftChars="200" w:firstLine="703" w:firstLineChars="200"/>
        <w:jc w:val="left"/>
        <w:textAlignment w:val="auto"/>
        <w:rPr>
          <w:rStyle w:val="6"/>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行政处罚文书的概念</w:t>
      </w:r>
      <w:r>
        <w:rPr>
          <w:rFonts w:hint="eastAsia" w:ascii="仿宋_GB2312" w:hAnsi="仿宋_GB2312" w:eastAsia="仿宋_GB2312" w:cs="仿宋_GB2312"/>
          <w:color w:val="auto"/>
          <w:spacing w:val="15"/>
          <w:kern w:val="0"/>
          <w:sz w:val="32"/>
          <w:szCs w:val="32"/>
          <w:lang w:val="en-US" w:eastAsia="zh-CN" w:bidi="ar"/>
        </w:rPr>
        <w:t>行政处罚文书是指行政执法主体依照我国行政处罚法等法律法规规定对当事人违法行为制作的记载处罚事实、理由、依据、决定和执行等事项的具有法律强制力的书面文书。</w:t>
      </w:r>
      <w:r>
        <w:rPr>
          <w:rStyle w:val="6"/>
          <w:rFonts w:hint="eastAsia" w:ascii="仿宋_GB2312" w:hAnsi="仿宋_GB2312" w:eastAsia="仿宋_GB2312" w:cs="仿宋_GB2312"/>
          <w:color w:val="auto"/>
          <w:spacing w:val="15"/>
          <w:kern w:val="0"/>
          <w:sz w:val="32"/>
          <w:szCs w:val="32"/>
          <w:lang w:val="en-US" w:eastAsia="zh-CN" w:bidi="ar"/>
        </w:rPr>
        <w:t>（二）行政处罚文书的种类及制作要求</w:t>
      </w:r>
    </w:p>
    <w:p w14:paraId="033A5C63">
      <w:pPr>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Fonts w:hint="eastAsia" w:ascii="仿宋_GB2312" w:hAnsi="仿宋_GB2312" w:eastAsia="仿宋_GB2312" w:cs="仿宋_GB2312"/>
          <w:color w:val="auto"/>
          <w:spacing w:val="15"/>
          <w:kern w:val="0"/>
          <w:sz w:val="32"/>
          <w:szCs w:val="32"/>
          <w:lang w:val="en-US" w:eastAsia="zh-CN" w:bidi="ar"/>
        </w:rPr>
      </w:pPr>
      <w:r>
        <w:rPr>
          <w:rStyle w:val="6"/>
          <w:rFonts w:hint="eastAsia" w:ascii="仿宋_GB2312" w:hAnsi="仿宋_GB2312" w:eastAsia="仿宋_GB2312" w:cs="仿宋_GB2312"/>
          <w:color w:val="auto"/>
          <w:spacing w:val="15"/>
          <w:kern w:val="0"/>
          <w:sz w:val="32"/>
          <w:szCs w:val="32"/>
          <w:lang w:val="en-US" w:eastAsia="zh-CN" w:bidi="ar"/>
        </w:rPr>
        <w:t>行政处罚简易程序文书</w:t>
      </w:r>
      <w:r>
        <w:rPr>
          <w:rFonts w:hint="eastAsia" w:ascii="仿宋_GB2312" w:hAnsi="仿宋_GB2312" w:eastAsia="仿宋_GB2312" w:cs="仿宋_GB2312"/>
          <w:color w:val="auto"/>
          <w:spacing w:val="15"/>
          <w:kern w:val="0"/>
          <w:sz w:val="32"/>
          <w:szCs w:val="32"/>
          <w:lang w:val="en-US" w:eastAsia="zh-CN" w:bidi="ar"/>
        </w:rPr>
        <w:t>简易程序行政处罚文书应当是预定格式并编有统一号码的行政处罚文书。（1）当事人的基本情况（2）有违法行为的具体时间、地点；（3）有违法行为的事项和证据记载；（4）有行政处罚的法律、法规、规章依据，准确引用到条、款、项、目；（5）有行政处罚决定的罚款金额或警告内容（6）行政处罚履行方式和期限；实行罚缴分离的，应当告知当事人罚款缴纳银行名称、地址等；......（7）救济途径（8）有作出行政处罚决定的行政执法机关印章、日期；（9）有当场实施行政处罚的行政执法人员、被行政处罚人员的签名或盖章（10）当场作出行政处罚文书留有存根或复印底联，即时备案。告知事项1.被处罚人必须立即停止违法行为，自行纠正错误；2.到期不缴纳罚款的，每日按罚款数额的3%加处罚款（也可以不加处罚款）3.如不服本处罚决定，可依法申请行政复议，也可以依法向人民法院提起行政诉讼。</w:t>
      </w:r>
    </w:p>
    <w:p w14:paraId="2D501B71">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76" w:lineRule="exact"/>
        <w:ind w:firstLine="703" w:firstLineChars="200"/>
        <w:jc w:val="left"/>
        <w:textAlignment w:val="auto"/>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color w:val="auto"/>
          <w:spacing w:val="15"/>
          <w:kern w:val="0"/>
          <w:sz w:val="32"/>
          <w:szCs w:val="32"/>
          <w:lang w:val="en-US" w:eastAsia="zh-CN" w:bidi="ar"/>
        </w:rPr>
        <w:t>2.行政处罚一般程序的文书（主要部分）</w:t>
      </w:r>
      <w:r>
        <w:rPr>
          <w:rFonts w:hint="eastAsia" w:ascii="仿宋_GB2312" w:hAnsi="仿宋_GB2312" w:eastAsia="仿宋_GB2312" w:cs="仿宋_GB2312"/>
          <w:color w:val="auto"/>
          <w:spacing w:val="15"/>
          <w:kern w:val="0"/>
          <w:sz w:val="32"/>
          <w:szCs w:val="32"/>
          <w:lang w:val="en-US" w:eastAsia="zh-CN" w:bidi="ar"/>
        </w:rPr>
        <w:t>（1）立案审批阶段行政处罚案件立案审批表。（2）调查取证阶段询问笔录：每份《询问笔录》只能对应一个被询问人。检查（勘验）笔录：一个案件有多处现场的，应分别制作笔录。（3）抽样取证文书抽样取证通知书抽样取证物品处理通知书（4）先行登记保存证据文书先行登记保存证据审批表先行登记保存证据通知书先行登记保存证据物品处理通知书物品清单（5）行政处罚先行告知书行政处罚先行告知书（6）陈述（申辩）材料陈述（申辩）笔录（7）听证文书听证告知书（8）审查决定案件处理审批表案件移送函（9）送达、执行送达回证强制执行申请书强制执行通知书（10）结案文书结案审批表</w:t>
      </w:r>
      <w:r>
        <w:rPr>
          <w:rFonts w:hint="eastAsia" w:ascii="仿宋_GB2312" w:hAnsi="仿宋_GB2312" w:eastAsia="仿宋_GB2312" w:cs="仿宋_GB2312"/>
          <w:color w:val="auto"/>
          <w:spacing w:val="0"/>
          <w:kern w:val="0"/>
          <w:sz w:val="32"/>
          <w:szCs w:val="32"/>
          <w:lang w:val="en-US" w:eastAsia="zh-CN" w:bidi="ar"/>
        </w:rPr>
        <w:t>结案报告</w:t>
      </w:r>
    </w:p>
    <w:p w14:paraId="332F28A3">
      <w:pPr>
        <w:keepNext w:val="0"/>
        <w:keepLines w:val="0"/>
        <w:pageBreakBefore w:val="0"/>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仿宋_GB2312" w:hAnsi="仿宋_GB2312" w:eastAsia="仿宋_GB2312" w:cs="仿宋_GB2312"/>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465B5"/>
    <w:multiLevelType w:val="singleLevel"/>
    <w:tmpl w:val="866465B5"/>
    <w:lvl w:ilvl="0" w:tentative="0">
      <w:start w:val="1"/>
      <w:numFmt w:val="decimal"/>
      <w:lvlText w:val="%1."/>
      <w:lvlJc w:val="left"/>
      <w:pPr>
        <w:tabs>
          <w:tab w:val="left" w:pos="312"/>
        </w:tabs>
      </w:pPr>
    </w:lvl>
  </w:abstractNum>
  <w:abstractNum w:abstractNumId="1">
    <w:nsid w:val="A29B4499"/>
    <w:multiLevelType w:val="singleLevel"/>
    <w:tmpl w:val="A29B4499"/>
    <w:lvl w:ilvl="0" w:tentative="0">
      <w:start w:val="1"/>
      <w:numFmt w:val="decimal"/>
      <w:lvlText w:val="%1."/>
      <w:lvlJc w:val="left"/>
      <w:pPr>
        <w:tabs>
          <w:tab w:val="left" w:pos="312"/>
        </w:tabs>
      </w:pPr>
    </w:lvl>
  </w:abstractNum>
  <w:abstractNum w:abstractNumId="2">
    <w:nsid w:val="B1005FBD"/>
    <w:multiLevelType w:val="singleLevel"/>
    <w:tmpl w:val="B1005FBD"/>
    <w:lvl w:ilvl="0" w:tentative="0">
      <w:start w:val="1"/>
      <w:numFmt w:val="chineseCounting"/>
      <w:suff w:val="nothing"/>
      <w:lvlText w:val="（%1）"/>
      <w:lvlJc w:val="left"/>
      <w:rPr>
        <w:rFonts w:hint="eastAsia"/>
      </w:rPr>
    </w:lvl>
  </w:abstractNum>
  <w:abstractNum w:abstractNumId="3">
    <w:nsid w:val="FC7FD0F8"/>
    <w:multiLevelType w:val="singleLevel"/>
    <w:tmpl w:val="FC7FD0F8"/>
    <w:lvl w:ilvl="0" w:tentative="0">
      <w:start w:val="1"/>
      <w:numFmt w:val="chineseCounting"/>
      <w:suff w:val="nothing"/>
      <w:lvlText w:val="%1、"/>
      <w:lvlJc w:val="left"/>
      <w:rPr>
        <w:rFonts w:hint="eastAsia"/>
      </w:rPr>
    </w:lvl>
  </w:abstractNum>
  <w:abstractNum w:abstractNumId="4">
    <w:nsid w:val="38106EA6"/>
    <w:multiLevelType w:val="singleLevel"/>
    <w:tmpl w:val="38106EA6"/>
    <w:lvl w:ilvl="0" w:tentative="0">
      <w:start w:val="1"/>
      <w:numFmt w:val="chineseCounting"/>
      <w:suff w:val="nothing"/>
      <w:lvlText w:val="（%1）"/>
      <w:lvlJc w:val="left"/>
      <w:rPr>
        <w:rFonts w:hint="eastAsia"/>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3615E"/>
    <w:rsid w:val="0A936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2025-04-30T03:16:00Z</dcterms:created>
  <dc:creator>夜始～相随</dc:creator>
  <cp:lastModifiedBy>夜始～相随</cp:lastModifiedBy>
  <dcterms:modified xsi:type="dcterms:W3CDTF">2025-04-30T03:19:21Z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B50D852E5BBC4407BC0199305CF87FF7_11</vt:lpwstr>
  </property>
  <property fmtid="{D5CDD505-2E9C-101B-9397-08002B2CF9AE}" pid="4" name="KSOTemplateDocerSaveRecord">
    <vt:lpwstr>eyJoZGlkIjoiODczYzc4ZDViN2I5Y2ZlMmZmZDUyZmVjNWM4MjhmYmIiLCJ1c2VySWQiOiI2NTAzNzEwMDgifQ==</vt:lpwstr>
  </property>
</Properties>
</file>